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863DBD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>
        <w:rPr>
          <w:smallCap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  <v:textbox>
              <w:txbxContent>
                <w:p w:rsidR="00514F33" w:rsidRPr="00240445" w:rsidRDefault="00E75152" w:rsidP="006572DB">
                  <w:pPr>
                    <w:spacing w:after="0"/>
                    <w:ind w:right="130"/>
                    <w:rPr>
                      <w:rFonts w:ascii="Times New Roman" w:hAnsi="Times New Roman"/>
                    </w:rPr>
                  </w:pPr>
                  <w:r w:rsidRPr="00240445">
                    <w:rPr>
                      <w:rFonts w:ascii="Times New Roman" w:hAnsi="Times New Roman"/>
                    </w:rPr>
                    <w:t xml:space="preserve">Warszawa, </w:t>
                  </w:r>
                  <w:r w:rsidR="006572DB">
                    <w:rPr>
                      <w:rFonts w:ascii="Times New Roman" w:hAnsi="Times New Roman"/>
                    </w:rPr>
                    <w:t>18.02.2016 r.</w:t>
                  </w:r>
                  <w:bookmarkStart w:id="0" w:name="_GoBack"/>
                  <w:bookmarkEnd w:id="0"/>
                </w:p>
                <w:p w:rsidR="00514F33" w:rsidRPr="00240445" w:rsidRDefault="00863DBD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75152"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E75152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E75152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863DBD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w:pict>
          <v:shape id="Pole tekstowe 2" o:spid="_x0000_s1026" type="#_x0000_t202" style="position:absolute;left:0;text-align:left;margin-left:286.35pt;margin-top:164.45pt;width:198.45pt;height:100.65pt;z-index:251659264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page;mso-height-relative:page;v-text-anchor:top" o:allowincell="f" filled="f" stroked="f">
            <v:textbox style="mso-next-textbox:#Pole tekstowe 2">
              <w:txbxContent>
                <w:p w:rsidR="00A30E4E" w:rsidRDefault="00863DBD" w:rsidP="001C3240">
                  <w:pPr>
                    <w:spacing w:after="0" w:line="260" w:lineRule="atLeast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bookmarkStart w:id="1" w:name="ezdSprawaZnak"/>
      <w:r w:rsidR="00E75152">
        <w:rPr>
          <w:rFonts w:ascii="Times New Roman" w:hAnsi="Times New Roman"/>
          <w:b/>
        </w:rPr>
        <w:t>KMP.401.2.2016</w:t>
      </w:r>
      <w:bookmarkEnd w:id="1"/>
      <w:r w:rsidR="002E343E">
        <w:rPr>
          <w:rFonts w:ascii="Times New Roman" w:hAnsi="Times New Roman"/>
          <w:b/>
        </w:rPr>
        <w:t>.WS</w:t>
      </w:r>
    </w:p>
    <w:p w:rsidR="00514F33" w:rsidRDefault="002E343E" w:rsidP="002E343E">
      <w:pPr>
        <w:spacing w:after="120" w:line="360" w:lineRule="exact"/>
        <w:jc w:val="both"/>
        <w:rPr>
          <w:rStyle w:val="TNR10"/>
          <w:rFonts w:cstheme="minorBidi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>Dnia 15 lutego 2016 r.</w:t>
      </w:r>
      <w:r w:rsidR="009B7755">
        <w:rPr>
          <w:rFonts w:ascii="Times New Roman" w:hAnsi="Times New Roman"/>
          <w:sz w:val="26"/>
          <w:szCs w:val="24"/>
        </w:rPr>
        <w:t>,</w:t>
      </w:r>
      <w:r>
        <w:rPr>
          <w:rFonts w:ascii="Times New Roman" w:hAnsi="Times New Roman"/>
          <w:sz w:val="26"/>
          <w:szCs w:val="24"/>
        </w:rPr>
        <w:t xml:space="preserve"> </w:t>
      </w:r>
      <w:r w:rsidR="002248EC">
        <w:rPr>
          <w:rFonts w:ascii="Times New Roman" w:hAnsi="Times New Roman"/>
          <w:sz w:val="26"/>
          <w:szCs w:val="24"/>
        </w:rPr>
        <w:t>w Brukseli</w:t>
      </w:r>
      <w:r w:rsidR="009B7755">
        <w:rPr>
          <w:rFonts w:ascii="Times New Roman" w:hAnsi="Times New Roman"/>
          <w:sz w:val="26"/>
          <w:szCs w:val="24"/>
        </w:rPr>
        <w:t>,</w:t>
      </w:r>
      <w:r w:rsidR="002248EC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przedstawiciel Zespołu „Krajowy Mechanizm Prewencji” uczestniczył w </w:t>
      </w:r>
      <w:proofErr w:type="spellStart"/>
      <w:r w:rsidR="009B7755" w:rsidRPr="009B7755">
        <w:rPr>
          <w:rStyle w:val="TNR10"/>
          <w:rFonts w:cstheme="minorBidi"/>
          <w:i/>
          <w:sz w:val="26"/>
          <w:szCs w:val="26"/>
        </w:rPr>
        <w:t>European</w:t>
      </w:r>
      <w:proofErr w:type="spellEnd"/>
      <w:r w:rsidRPr="009B7755">
        <w:rPr>
          <w:rStyle w:val="TNR10"/>
          <w:rFonts w:cstheme="minorBidi"/>
          <w:i/>
          <w:sz w:val="26"/>
          <w:szCs w:val="26"/>
        </w:rPr>
        <w:t xml:space="preserve"> </w:t>
      </w:r>
      <w:r w:rsidR="009B7755" w:rsidRPr="009B7755">
        <w:rPr>
          <w:rStyle w:val="TNR10"/>
          <w:rFonts w:cstheme="minorBidi"/>
          <w:i/>
          <w:sz w:val="26"/>
          <w:szCs w:val="26"/>
        </w:rPr>
        <w:t>Conference</w:t>
      </w:r>
      <w:r w:rsidRPr="009B7755">
        <w:rPr>
          <w:rStyle w:val="TNR10"/>
          <w:rFonts w:cstheme="minorBidi"/>
          <w:i/>
          <w:sz w:val="26"/>
          <w:szCs w:val="26"/>
        </w:rPr>
        <w:t xml:space="preserve"> </w:t>
      </w:r>
      <w:r w:rsidR="009B7755" w:rsidRPr="009B7755">
        <w:rPr>
          <w:rStyle w:val="TNR10"/>
          <w:rFonts w:cstheme="minorBidi"/>
          <w:i/>
          <w:sz w:val="26"/>
          <w:szCs w:val="26"/>
        </w:rPr>
        <w:t>on</w:t>
      </w:r>
      <w:r w:rsidRPr="009B7755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9B7755">
        <w:rPr>
          <w:rStyle w:val="TNR10"/>
          <w:rFonts w:cstheme="minorBidi"/>
          <w:i/>
          <w:sz w:val="26"/>
          <w:szCs w:val="26"/>
        </w:rPr>
        <w:t>C</w:t>
      </w:r>
      <w:r w:rsidR="009B7755" w:rsidRPr="009B7755">
        <w:rPr>
          <w:rStyle w:val="TNR10"/>
          <w:rFonts w:cstheme="minorBidi"/>
          <w:i/>
          <w:sz w:val="26"/>
          <w:szCs w:val="26"/>
        </w:rPr>
        <w:t>hildren</w:t>
      </w:r>
      <w:r w:rsidRPr="009B7755">
        <w:rPr>
          <w:rStyle w:val="TNR10"/>
          <w:rFonts w:cstheme="minorBidi"/>
          <w:i/>
          <w:sz w:val="26"/>
          <w:szCs w:val="26"/>
        </w:rPr>
        <w:t>'</w:t>
      </w:r>
      <w:r w:rsidR="009B7755" w:rsidRPr="009B7755">
        <w:rPr>
          <w:rStyle w:val="TNR10"/>
          <w:rFonts w:cstheme="minorBidi"/>
          <w:i/>
          <w:sz w:val="26"/>
          <w:szCs w:val="26"/>
        </w:rPr>
        <w:t>s</w:t>
      </w:r>
      <w:proofErr w:type="spellEnd"/>
      <w:r w:rsidRPr="009B7755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9B7755">
        <w:rPr>
          <w:rStyle w:val="TNR10"/>
          <w:rFonts w:cstheme="minorBidi"/>
          <w:i/>
          <w:sz w:val="26"/>
          <w:szCs w:val="26"/>
        </w:rPr>
        <w:t>R</w:t>
      </w:r>
      <w:r w:rsidR="009B7755" w:rsidRPr="009B7755">
        <w:rPr>
          <w:rStyle w:val="TNR10"/>
          <w:rFonts w:cstheme="minorBidi"/>
          <w:i/>
          <w:sz w:val="26"/>
          <w:szCs w:val="26"/>
        </w:rPr>
        <w:t>ights</w:t>
      </w:r>
      <w:proofErr w:type="spellEnd"/>
      <w:r w:rsidRPr="009B7755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9B7755">
        <w:rPr>
          <w:rStyle w:val="TNR10"/>
          <w:rFonts w:cstheme="minorBidi"/>
          <w:i/>
          <w:sz w:val="26"/>
          <w:szCs w:val="26"/>
        </w:rPr>
        <w:t>B</w:t>
      </w:r>
      <w:r w:rsidR="009B7755" w:rsidRPr="009B7755">
        <w:rPr>
          <w:rStyle w:val="TNR10"/>
          <w:rFonts w:cstheme="minorBidi"/>
          <w:i/>
          <w:sz w:val="26"/>
          <w:szCs w:val="26"/>
        </w:rPr>
        <w:t>ehind</w:t>
      </w:r>
      <w:proofErr w:type="spellEnd"/>
      <w:r w:rsidRPr="009B7755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9B7755">
        <w:rPr>
          <w:rStyle w:val="TNR10"/>
          <w:rFonts w:cstheme="minorBidi"/>
          <w:i/>
          <w:sz w:val="26"/>
          <w:szCs w:val="26"/>
        </w:rPr>
        <w:t>B</w:t>
      </w:r>
      <w:r w:rsidR="009B7755" w:rsidRPr="009B7755">
        <w:rPr>
          <w:rStyle w:val="TNR10"/>
          <w:rFonts w:cstheme="minorBidi"/>
          <w:i/>
          <w:sz w:val="26"/>
          <w:szCs w:val="26"/>
        </w:rPr>
        <w:t>ars</w:t>
      </w:r>
      <w:proofErr w:type="spellEnd"/>
      <w:r>
        <w:rPr>
          <w:rStyle w:val="TNR10"/>
          <w:rFonts w:cstheme="minorBidi"/>
          <w:sz w:val="26"/>
          <w:szCs w:val="26"/>
        </w:rPr>
        <w:t xml:space="preserve">. </w:t>
      </w:r>
    </w:p>
    <w:p w:rsidR="002248EC" w:rsidRDefault="002248EC" w:rsidP="002E343E">
      <w:pPr>
        <w:spacing w:after="120" w:line="360" w:lineRule="exact"/>
        <w:jc w:val="both"/>
        <w:rPr>
          <w:rStyle w:val="TNR10"/>
          <w:rFonts w:cstheme="minorBidi"/>
          <w:sz w:val="26"/>
          <w:szCs w:val="26"/>
        </w:rPr>
      </w:pPr>
      <w:r>
        <w:rPr>
          <w:rStyle w:val="TNR10"/>
          <w:rFonts w:cstheme="minorBidi"/>
          <w:sz w:val="26"/>
          <w:szCs w:val="26"/>
        </w:rPr>
        <w:t>Podczas spotkania omawiano zagadnieni</w:t>
      </w:r>
      <w:r w:rsidR="00B916B3">
        <w:rPr>
          <w:rStyle w:val="TNR10"/>
          <w:rFonts w:cstheme="minorBidi"/>
          <w:sz w:val="26"/>
          <w:szCs w:val="26"/>
        </w:rPr>
        <w:t>a</w:t>
      </w:r>
      <w:r>
        <w:rPr>
          <w:rStyle w:val="TNR10"/>
          <w:rFonts w:cstheme="minorBidi"/>
          <w:sz w:val="26"/>
          <w:szCs w:val="26"/>
        </w:rPr>
        <w:t xml:space="preserve"> praw dzieci pozbawionych wolności. Zaprezentowano także praktyczny podręcznik </w:t>
      </w:r>
      <w:r w:rsidRPr="002248EC">
        <w:rPr>
          <w:rStyle w:val="TNR10"/>
          <w:rFonts w:cstheme="minorBidi"/>
          <w:i/>
          <w:sz w:val="26"/>
          <w:szCs w:val="26"/>
        </w:rPr>
        <w:t xml:space="preserve">Monitoring </w:t>
      </w:r>
      <w:proofErr w:type="spellStart"/>
      <w:r w:rsidRPr="002248EC">
        <w:rPr>
          <w:rStyle w:val="TNR10"/>
          <w:rFonts w:cstheme="minorBidi"/>
          <w:i/>
          <w:sz w:val="26"/>
          <w:szCs w:val="26"/>
        </w:rPr>
        <w:t>places</w:t>
      </w:r>
      <w:proofErr w:type="spellEnd"/>
      <w:r w:rsidRPr="002248EC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2248EC">
        <w:rPr>
          <w:rStyle w:val="TNR10"/>
          <w:rFonts w:cstheme="minorBidi"/>
          <w:i/>
          <w:sz w:val="26"/>
          <w:szCs w:val="26"/>
        </w:rPr>
        <w:t>where</w:t>
      </w:r>
      <w:proofErr w:type="spellEnd"/>
      <w:r w:rsidRPr="002248EC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2248EC">
        <w:rPr>
          <w:rStyle w:val="TNR10"/>
          <w:rFonts w:cstheme="minorBidi"/>
          <w:i/>
          <w:sz w:val="26"/>
          <w:szCs w:val="26"/>
        </w:rPr>
        <w:t>children</w:t>
      </w:r>
      <w:proofErr w:type="spellEnd"/>
      <w:r w:rsidRPr="002248EC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2248EC">
        <w:rPr>
          <w:rStyle w:val="TNR10"/>
          <w:rFonts w:cstheme="minorBidi"/>
          <w:i/>
          <w:sz w:val="26"/>
          <w:szCs w:val="26"/>
        </w:rPr>
        <w:t>are</w:t>
      </w:r>
      <w:proofErr w:type="spellEnd"/>
      <w:r w:rsidRPr="002248EC">
        <w:rPr>
          <w:rStyle w:val="TNR10"/>
          <w:rFonts w:cstheme="minorBidi"/>
          <w:i/>
          <w:sz w:val="26"/>
          <w:szCs w:val="26"/>
        </w:rPr>
        <w:t xml:space="preserve"> </w:t>
      </w:r>
      <w:proofErr w:type="spellStart"/>
      <w:r w:rsidRPr="002248EC">
        <w:rPr>
          <w:rStyle w:val="TNR10"/>
          <w:rFonts w:cstheme="minorBidi"/>
          <w:i/>
          <w:sz w:val="26"/>
          <w:szCs w:val="26"/>
        </w:rPr>
        <w:t>deprived</w:t>
      </w:r>
      <w:proofErr w:type="spellEnd"/>
      <w:r w:rsidRPr="002248EC">
        <w:rPr>
          <w:rStyle w:val="TNR10"/>
          <w:rFonts w:cstheme="minorBidi"/>
          <w:i/>
          <w:sz w:val="26"/>
          <w:szCs w:val="26"/>
        </w:rPr>
        <w:t xml:space="preserve"> of </w:t>
      </w:r>
      <w:proofErr w:type="spellStart"/>
      <w:r w:rsidRPr="002248EC">
        <w:rPr>
          <w:rStyle w:val="TNR10"/>
          <w:rFonts w:cstheme="minorBidi"/>
          <w:i/>
          <w:sz w:val="26"/>
          <w:szCs w:val="26"/>
        </w:rPr>
        <w:t>liberty</w:t>
      </w:r>
      <w:proofErr w:type="spellEnd"/>
      <w:r>
        <w:rPr>
          <w:rStyle w:val="TNR10"/>
          <w:rFonts w:cstheme="minorBidi"/>
          <w:sz w:val="26"/>
          <w:szCs w:val="26"/>
        </w:rPr>
        <w:t>.</w:t>
      </w:r>
    </w:p>
    <w:p w:rsidR="002248EC" w:rsidRDefault="002248EC" w:rsidP="002E343E">
      <w:pPr>
        <w:spacing w:after="120" w:line="360" w:lineRule="exact"/>
        <w:jc w:val="both"/>
        <w:rPr>
          <w:rStyle w:val="TNR10"/>
          <w:rFonts w:cstheme="minorBidi"/>
          <w:sz w:val="26"/>
          <w:szCs w:val="26"/>
        </w:rPr>
      </w:pPr>
      <w:r>
        <w:rPr>
          <w:rStyle w:val="TNR10"/>
          <w:rFonts w:cstheme="minorBidi"/>
          <w:sz w:val="26"/>
          <w:szCs w:val="26"/>
        </w:rPr>
        <w:t>Swoje wystąpienia prezentowali przedstawiciele Europejskiego Komitetu ds. Zapobiegania Torturom oraz Nieludzkiemu lub Poniżającemu Traktowaniu, Specjalny Sprawozdawca ds.</w:t>
      </w:r>
      <w:r w:rsidR="00325992">
        <w:rPr>
          <w:rStyle w:val="TNR10"/>
          <w:rFonts w:cstheme="minorBidi"/>
          <w:sz w:val="26"/>
          <w:szCs w:val="26"/>
        </w:rPr>
        <w:t xml:space="preserve"> Tortur lub innego Okrutnego, Nieludzkiego lub Poniżającego Traktowania albo Karania, przedstawiciele instytucji Unii Europejskiej, nauki oraz członkowie organizacji pozarządowych. Obradom przewodniczył </w:t>
      </w:r>
      <w:proofErr w:type="spellStart"/>
      <w:r w:rsidR="00325992">
        <w:rPr>
          <w:rStyle w:val="TNR10"/>
          <w:rFonts w:cstheme="minorBidi"/>
          <w:sz w:val="26"/>
          <w:szCs w:val="26"/>
        </w:rPr>
        <w:t>Mykola</w:t>
      </w:r>
      <w:proofErr w:type="spellEnd"/>
      <w:r w:rsidR="00325992">
        <w:rPr>
          <w:rStyle w:val="TNR10"/>
          <w:rFonts w:cstheme="minorBidi"/>
          <w:sz w:val="26"/>
          <w:szCs w:val="26"/>
        </w:rPr>
        <w:t xml:space="preserve"> </w:t>
      </w:r>
      <w:proofErr w:type="spellStart"/>
      <w:r w:rsidR="00325992">
        <w:rPr>
          <w:rStyle w:val="TNR10"/>
          <w:rFonts w:cstheme="minorBidi"/>
          <w:sz w:val="26"/>
          <w:szCs w:val="26"/>
        </w:rPr>
        <w:t>Gnatovsky</w:t>
      </w:r>
      <w:proofErr w:type="spellEnd"/>
      <w:r w:rsidR="00325992">
        <w:rPr>
          <w:rStyle w:val="TNR10"/>
          <w:rFonts w:cstheme="minorBidi"/>
          <w:sz w:val="26"/>
          <w:szCs w:val="26"/>
        </w:rPr>
        <w:t>, prezydent Europejskiego Komitetu ds. Zapobiegania Torturom oraz Nieludzkiemu lub Poniżającemu Traktowaniu.</w:t>
      </w:r>
    </w:p>
    <w:p w:rsidR="002248EC" w:rsidRDefault="00325992" w:rsidP="002E343E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Jednym z głównych wniosków</w:t>
      </w:r>
      <w:r w:rsidR="00A06927">
        <w:rPr>
          <w:rFonts w:ascii="Times New Roman" w:hAnsi="Times New Roman"/>
          <w:sz w:val="26"/>
          <w:szCs w:val="24"/>
        </w:rPr>
        <w:t>,</w:t>
      </w:r>
      <w:r>
        <w:rPr>
          <w:rFonts w:ascii="Times New Roman" w:hAnsi="Times New Roman"/>
          <w:sz w:val="26"/>
          <w:szCs w:val="24"/>
        </w:rPr>
        <w:t xml:space="preserve"> podkreślanym niemal w każdym wystąpieniu było, </w:t>
      </w:r>
      <w:r w:rsidR="00A06927">
        <w:rPr>
          <w:rFonts w:ascii="Times New Roman" w:hAnsi="Times New Roman"/>
          <w:sz w:val="26"/>
          <w:szCs w:val="24"/>
        </w:rPr>
        <w:t>ż</w:t>
      </w:r>
      <w:r>
        <w:rPr>
          <w:rFonts w:ascii="Times New Roman" w:hAnsi="Times New Roman"/>
          <w:sz w:val="26"/>
          <w:szCs w:val="24"/>
        </w:rPr>
        <w:t>e pozbawienie wolności dzieci powinno stanowić całkowit</w:t>
      </w:r>
      <w:r w:rsidR="00A06927">
        <w:rPr>
          <w:rFonts w:ascii="Times New Roman" w:hAnsi="Times New Roman"/>
          <w:sz w:val="26"/>
          <w:szCs w:val="24"/>
        </w:rPr>
        <w:t>ą</w:t>
      </w:r>
      <w:r>
        <w:rPr>
          <w:rFonts w:ascii="Times New Roman" w:hAnsi="Times New Roman"/>
          <w:sz w:val="26"/>
          <w:szCs w:val="24"/>
        </w:rPr>
        <w:t xml:space="preserve"> ostateczność. Przywołane badania naukowe wskazywały, że detencja powoduje powstanie nieodwracalnych zmian z mózgach dzieci</w:t>
      </w:r>
      <w:r w:rsidR="006D1976">
        <w:rPr>
          <w:rFonts w:ascii="Times New Roman" w:hAnsi="Times New Roman"/>
          <w:sz w:val="26"/>
          <w:szCs w:val="24"/>
        </w:rPr>
        <w:t>. W przypadku problemów psychicznych, fakt pozbawienia wolności powoduje ich pogłębienie. Badania Światowej Organizacji Zdrowia wykazały, że dzieci cztery razy częściej niż dorośli popełniają samobójstwa w miejscach pozbawienia wolności.</w:t>
      </w:r>
    </w:p>
    <w:p w:rsidR="006D1976" w:rsidRPr="002E343E" w:rsidRDefault="006D1976" w:rsidP="002E343E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Sam podręcznik stanowi praktyczne narzędzie, do przeprowadzania wizytacji miejsc detencji, w których przebywają dzieci. Wydawnictwo to może posłużyć przedstawicielom instytucji monitorujący</w:t>
      </w:r>
      <w:r w:rsidR="00A06927">
        <w:rPr>
          <w:rFonts w:ascii="Times New Roman" w:hAnsi="Times New Roman"/>
          <w:sz w:val="26"/>
          <w:szCs w:val="24"/>
        </w:rPr>
        <w:t>ch</w:t>
      </w:r>
      <w:r>
        <w:rPr>
          <w:rFonts w:ascii="Times New Roman" w:hAnsi="Times New Roman"/>
          <w:sz w:val="26"/>
          <w:szCs w:val="24"/>
        </w:rPr>
        <w:t>, sędziom wizytatorom, organizacjom pozarządowym, prawnikom, ale także władzom i pracownikom miejsc pozbawienia wolności dla dzieci. Publikac</w:t>
      </w:r>
      <w:r w:rsidR="00A06927">
        <w:rPr>
          <w:rFonts w:ascii="Times New Roman" w:hAnsi="Times New Roman"/>
          <w:sz w:val="26"/>
          <w:szCs w:val="24"/>
        </w:rPr>
        <w:t>ja</w:t>
      </w:r>
      <w:r>
        <w:rPr>
          <w:rFonts w:ascii="Times New Roman" w:hAnsi="Times New Roman"/>
          <w:sz w:val="26"/>
          <w:szCs w:val="24"/>
        </w:rPr>
        <w:t xml:space="preserve"> jest dostępna na stronie: </w:t>
      </w:r>
      <w:r w:rsidRPr="006D1976">
        <w:rPr>
          <w:rFonts w:ascii="Times New Roman" w:hAnsi="Times New Roman"/>
          <w:sz w:val="26"/>
          <w:szCs w:val="24"/>
        </w:rPr>
        <w:t>http://www.childrensrightsbehindbars.eu/outputs/practical-guide</w:t>
      </w:r>
      <w:r>
        <w:rPr>
          <w:rFonts w:ascii="Times New Roman" w:hAnsi="Times New Roman"/>
          <w:sz w:val="26"/>
          <w:szCs w:val="24"/>
        </w:rPr>
        <w:t>.</w:t>
      </w:r>
    </w:p>
    <w:sectPr w:rsidR="006D1976" w:rsidRPr="002E343E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BD" w:rsidRDefault="00863DBD">
      <w:pPr>
        <w:spacing w:after="0" w:line="240" w:lineRule="auto"/>
      </w:pPr>
      <w:r>
        <w:separator/>
      </w:r>
    </w:p>
  </w:endnote>
  <w:endnote w:type="continuationSeparator" w:id="0">
    <w:p w:rsidR="00863DBD" w:rsidRDefault="0086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863D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863DBD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514F33" w:rsidRPr="00C30C1A" w:rsidRDefault="00E75152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B916B3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863DBD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514F33" w:rsidRPr="00A56197" w:rsidRDefault="00E75152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514F33" w:rsidRDefault="00E75152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514F33" w:rsidRDefault="00E75152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514F33" w:rsidRPr="00A56197" w:rsidRDefault="00E75152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2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strokecolor="#7f7f7f"/>
      </w:pict>
    </w:r>
    <w:r w:rsidR="00E75152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E75152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E75152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BD" w:rsidRDefault="00863DBD">
      <w:pPr>
        <w:spacing w:after="0" w:line="240" w:lineRule="auto"/>
      </w:pPr>
      <w:r>
        <w:separator/>
      </w:r>
    </w:p>
  </w:footnote>
  <w:footnote w:type="continuationSeparator" w:id="0">
    <w:p w:rsidR="00863DBD" w:rsidRDefault="0086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863D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863D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E75152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5176563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B9ACA5B6">
      <w:start w:val="1"/>
      <w:numFmt w:val="decimal"/>
      <w:lvlText w:val="%1."/>
      <w:lvlJc w:val="left"/>
      <w:pPr>
        <w:ind w:left="720" w:hanging="360"/>
      </w:pPr>
    </w:lvl>
    <w:lvl w:ilvl="1" w:tplc="EA86978C">
      <w:start w:val="1"/>
      <w:numFmt w:val="lowerLetter"/>
      <w:lvlText w:val="%2."/>
      <w:lvlJc w:val="left"/>
      <w:pPr>
        <w:ind w:left="1440" w:hanging="360"/>
      </w:pPr>
    </w:lvl>
    <w:lvl w:ilvl="2" w:tplc="67687C64" w:tentative="1">
      <w:start w:val="1"/>
      <w:numFmt w:val="lowerRoman"/>
      <w:lvlText w:val="%3."/>
      <w:lvlJc w:val="right"/>
      <w:pPr>
        <w:ind w:left="2160" w:hanging="180"/>
      </w:pPr>
    </w:lvl>
    <w:lvl w:ilvl="3" w:tplc="A02AE33E" w:tentative="1">
      <w:start w:val="1"/>
      <w:numFmt w:val="decimal"/>
      <w:lvlText w:val="%4."/>
      <w:lvlJc w:val="left"/>
      <w:pPr>
        <w:ind w:left="2880" w:hanging="360"/>
      </w:pPr>
    </w:lvl>
    <w:lvl w:ilvl="4" w:tplc="78746B68" w:tentative="1">
      <w:start w:val="1"/>
      <w:numFmt w:val="lowerLetter"/>
      <w:lvlText w:val="%5."/>
      <w:lvlJc w:val="left"/>
      <w:pPr>
        <w:ind w:left="3600" w:hanging="360"/>
      </w:pPr>
    </w:lvl>
    <w:lvl w:ilvl="5" w:tplc="00C27FB2" w:tentative="1">
      <w:start w:val="1"/>
      <w:numFmt w:val="lowerRoman"/>
      <w:lvlText w:val="%6."/>
      <w:lvlJc w:val="right"/>
      <w:pPr>
        <w:ind w:left="4320" w:hanging="180"/>
      </w:pPr>
    </w:lvl>
    <w:lvl w:ilvl="6" w:tplc="478AFAE4" w:tentative="1">
      <w:start w:val="1"/>
      <w:numFmt w:val="decimal"/>
      <w:lvlText w:val="%7."/>
      <w:lvlJc w:val="left"/>
      <w:pPr>
        <w:ind w:left="5040" w:hanging="360"/>
      </w:pPr>
    </w:lvl>
    <w:lvl w:ilvl="7" w:tplc="8E062744" w:tentative="1">
      <w:start w:val="1"/>
      <w:numFmt w:val="lowerLetter"/>
      <w:lvlText w:val="%8."/>
      <w:lvlJc w:val="left"/>
      <w:pPr>
        <w:ind w:left="5760" w:hanging="360"/>
      </w:pPr>
    </w:lvl>
    <w:lvl w:ilvl="8" w:tplc="DE9E1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714250B8">
      <w:start w:val="1"/>
      <w:numFmt w:val="decimal"/>
      <w:lvlText w:val="%1."/>
      <w:lvlJc w:val="left"/>
      <w:pPr>
        <w:ind w:left="720" w:hanging="360"/>
      </w:pPr>
    </w:lvl>
    <w:lvl w:ilvl="1" w:tplc="2AD6C0BC">
      <w:start w:val="1"/>
      <w:numFmt w:val="lowerLetter"/>
      <w:lvlText w:val="%2."/>
      <w:lvlJc w:val="left"/>
      <w:pPr>
        <w:ind w:left="1440" w:hanging="360"/>
      </w:pPr>
    </w:lvl>
    <w:lvl w:ilvl="2" w:tplc="9EAE0D36" w:tentative="1">
      <w:start w:val="1"/>
      <w:numFmt w:val="lowerRoman"/>
      <w:lvlText w:val="%3."/>
      <w:lvlJc w:val="right"/>
      <w:pPr>
        <w:ind w:left="2160" w:hanging="180"/>
      </w:pPr>
    </w:lvl>
    <w:lvl w:ilvl="3" w:tplc="194A8512" w:tentative="1">
      <w:start w:val="1"/>
      <w:numFmt w:val="decimal"/>
      <w:lvlText w:val="%4."/>
      <w:lvlJc w:val="left"/>
      <w:pPr>
        <w:ind w:left="2880" w:hanging="360"/>
      </w:pPr>
    </w:lvl>
    <w:lvl w:ilvl="4" w:tplc="73C48B1E" w:tentative="1">
      <w:start w:val="1"/>
      <w:numFmt w:val="lowerLetter"/>
      <w:lvlText w:val="%5."/>
      <w:lvlJc w:val="left"/>
      <w:pPr>
        <w:ind w:left="3600" w:hanging="360"/>
      </w:pPr>
    </w:lvl>
    <w:lvl w:ilvl="5" w:tplc="A956E2C8" w:tentative="1">
      <w:start w:val="1"/>
      <w:numFmt w:val="lowerRoman"/>
      <w:lvlText w:val="%6."/>
      <w:lvlJc w:val="right"/>
      <w:pPr>
        <w:ind w:left="4320" w:hanging="180"/>
      </w:pPr>
    </w:lvl>
    <w:lvl w:ilvl="6" w:tplc="CF5EEDA2" w:tentative="1">
      <w:start w:val="1"/>
      <w:numFmt w:val="decimal"/>
      <w:lvlText w:val="%7."/>
      <w:lvlJc w:val="left"/>
      <w:pPr>
        <w:ind w:left="5040" w:hanging="360"/>
      </w:pPr>
    </w:lvl>
    <w:lvl w:ilvl="7" w:tplc="EAC05394" w:tentative="1">
      <w:start w:val="1"/>
      <w:numFmt w:val="lowerLetter"/>
      <w:lvlText w:val="%8."/>
      <w:lvlJc w:val="left"/>
      <w:pPr>
        <w:ind w:left="5760" w:hanging="360"/>
      </w:pPr>
    </w:lvl>
    <w:lvl w:ilvl="8" w:tplc="A63CD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596015AC">
      <w:start w:val="1"/>
      <w:numFmt w:val="decimal"/>
      <w:lvlText w:val="%1."/>
      <w:lvlJc w:val="left"/>
      <w:pPr>
        <w:ind w:left="720" w:hanging="360"/>
      </w:pPr>
    </w:lvl>
    <w:lvl w:ilvl="1" w:tplc="BF8A9912" w:tentative="1">
      <w:start w:val="1"/>
      <w:numFmt w:val="lowerLetter"/>
      <w:lvlText w:val="%2."/>
      <w:lvlJc w:val="left"/>
      <w:pPr>
        <w:ind w:left="1440" w:hanging="360"/>
      </w:pPr>
    </w:lvl>
    <w:lvl w:ilvl="2" w:tplc="DB527E78" w:tentative="1">
      <w:start w:val="1"/>
      <w:numFmt w:val="lowerRoman"/>
      <w:lvlText w:val="%3."/>
      <w:lvlJc w:val="right"/>
      <w:pPr>
        <w:ind w:left="2160" w:hanging="180"/>
      </w:pPr>
    </w:lvl>
    <w:lvl w:ilvl="3" w:tplc="49A0E3A2" w:tentative="1">
      <w:start w:val="1"/>
      <w:numFmt w:val="decimal"/>
      <w:lvlText w:val="%4."/>
      <w:lvlJc w:val="left"/>
      <w:pPr>
        <w:ind w:left="2880" w:hanging="360"/>
      </w:pPr>
    </w:lvl>
    <w:lvl w:ilvl="4" w:tplc="44F61470" w:tentative="1">
      <w:start w:val="1"/>
      <w:numFmt w:val="lowerLetter"/>
      <w:lvlText w:val="%5."/>
      <w:lvlJc w:val="left"/>
      <w:pPr>
        <w:ind w:left="3600" w:hanging="360"/>
      </w:pPr>
    </w:lvl>
    <w:lvl w:ilvl="5" w:tplc="7F1A8B46" w:tentative="1">
      <w:start w:val="1"/>
      <w:numFmt w:val="lowerRoman"/>
      <w:lvlText w:val="%6."/>
      <w:lvlJc w:val="right"/>
      <w:pPr>
        <w:ind w:left="4320" w:hanging="180"/>
      </w:pPr>
    </w:lvl>
    <w:lvl w:ilvl="6" w:tplc="853A71E6" w:tentative="1">
      <w:start w:val="1"/>
      <w:numFmt w:val="decimal"/>
      <w:lvlText w:val="%7."/>
      <w:lvlJc w:val="left"/>
      <w:pPr>
        <w:ind w:left="5040" w:hanging="360"/>
      </w:pPr>
    </w:lvl>
    <w:lvl w:ilvl="7" w:tplc="1CC2B026" w:tentative="1">
      <w:start w:val="1"/>
      <w:numFmt w:val="lowerLetter"/>
      <w:lvlText w:val="%8."/>
      <w:lvlJc w:val="left"/>
      <w:pPr>
        <w:ind w:left="5760" w:hanging="360"/>
      </w:pPr>
    </w:lvl>
    <w:lvl w:ilvl="8" w:tplc="3D847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5756E55C">
      <w:start w:val="1"/>
      <w:numFmt w:val="lowerLetter"/>
      <w:lvlText w:val="%1."/>
      <w:lvlJc w:val="left"/>
      <w:pPr>
        <w:ind w:left="720" w:hanging="360"/>
      </w:pPr>
    </w:lvl>
    <w:lvl w:ilvl="1" w:tplc="8C74DFA6" w:tentative="1">
      <w:start w:val="1"/>
      <w:numFmt w:val="lowerLetter"/>
      <w:lvlText w:val="%2."/>
      <w:lvlJc w:val="left"/>
      <w:pPr>
        <w:ind w:left="1440" w:hanging="360"/>
      </w:pPr>
    </w:lvl>
    <w:lvl w:ilvl="2" w:tplc="A252AA62" w:tentative="1">
      <w:start w:val="1"/>
      <w:numFmt w:val="lowerRoman"/>
      <w:lvlText w:val="%3."/>
      <w:lvlJc w:val="right"/>
      <w:pPr>
        <w:ind w:left="2160" w:hanging="180"/>
      </w:pPr>
    </w:lvl>
    <w:lvl w:ilvl="3" w:tplc="E9A86424" w:tentative="1">
      <w:start w:val="1"/>
      <w:numFmt w:val="decimal"/>
      <w:lvlText w:val="%4."/>
      <w:lvlJc w:val="left"/>
      <w:pPr>
        <w:ind w:left="2880" w:hanging="360"/>
      </w:pPr>
    </w:lvl>
    <w:lvl w:ilvl="4" w:tplc="541AEFC8" w:tentative="1">
      <w:start w:val="1"/>
      <w:numFmt w:val="lowerLetter"/>
      <w:lvlText w:val="%5."/>
      <w:lvlJc w:val="left"/>
      <w:pPr>
        <w:ind w:left="3600" w:hanging="360"/>
      </w:pPr>
    </w:lvl>
    <w:lvl w:ilvl="5" w:tplc="805EFF78" w:tentative="1">
      <w:start w:val="1"/>
      <w:numFmt w:val="lowerRoman"/>
      <w:lvlText w:val="%6."/>
      <w:lvlJc w:val="right"/>
      <w:pPr>
        <w:ind w:left="4320" w:hanging="180"/>
      </w:pPr>
    </w:lvl>
    <w:lvl w:ilvl="6" w:tplc="6CA6A46E" w:tentative="1">
      <w:start w:val="1"/>
      <w:numFmt w:val="decimal"/>
      <w:lvlText w:val="%7."/>
      <w:lvlJc w:val="left"/>
      <w:pPr>
        <w:ind w:left="5040" w:hanging="360"/>
      </w:pPr>
    </w:lvl>
    <w:lvl w:ilvl="7" w:tplc="A896127A" w:tentative="1">
      <w:start w:val="1"/>
      <w:numFmt w:val="lowerLetter"/>
      <w:lvlText w:val="%8."/>
      <w:lvlJc w:val="left"/>
      <w:pPr>
        <w:ind w:left="5760" w:hanging="360"/>
      </w:pPr>
    </w:lvl>
    <w:lvl w:ilvl="8" w:tplc="3D460A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43E"/>
    <w:rsid w:val="000B68A0"/>
    <w:rsid w:val="002248EC"/>
    <w:rsid w:val="002E343E"/>
    <w:rsid w:val="00325992"/>
    <w:rsid w:val="006572DB"/>
    <w:rsid w:val="006D1976"/>
    <w:rsid w:val="00863DBD"/>
    <w:rsid w:val="009B7755"/>
    <w:rsid w:val="00A06927"/>
    <w:rsid w:val="00B916B3"/>
    <w:rsid w:val="00E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NR10">
    <w:name w:val="TNR10"/>
    <w:basedOn w:val="Domylnaczcionkaakapitu"/>
    <w:uiPriority w:val="1"/>
    <w:rsid w:val="002E343E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B2CD-723B-4F0C-9D2A-35E8016E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Zalacznik_nr_21.dotx</Template>
  <TotalTime>146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Justyna Lewandowska</cp:lastModifiedBy>
  <cp:revision>9</cp:revision>
  <cp:lastPrinted>2014-01-08T08:56:00Z</cp:lastPrinted>
  <dcterms:created xsi:type="dcterms:W3CDTF">2015-12-02T13:08:00Z</dcterms:created>
  <dcterms:modified xsi:type="dcterms:W3CDTF">2016-02-22T13:26:00Z</dcterms:modified>
</cp:coreProperties>
</file>