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5" w:rsidRPr="00576FCC" w:rsidRDefault="00F16777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F16777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286.35pt;margin-top:96.85pt;width:203.85pt;height:100.75pt;z-index:251659264;visibility:visible" o:allowincell="f" filled="f" stroked="f" strokecolor="#d8d8d8">
            <v:textbox>
              <w:txbxContent>
                <w:p w:rsidR="00F5302A" w:rsidRPr="00240445" w:rsidRDefault="007936D2" w:rsidP="00F5302A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16777">
        <w:rPr>
          <w:noProof/>
          <w:lang w:eastAsia="pl-PL"/>
        </w:rPr>
        <w:pict>
          <v:shape id="Pole tekstowe 1" o:spid="_x0000_s1026" type="#_x0000_t202" style="position:absolute;left:0;text-align:left;margin-left:241.2pt;margin-top:7.75pt;width:261.9pt;height:19.85pt;z-index:251658240;visibility:visible" filled="f" stroked="f">
            <v:textbox>
              <w:txbxContent>
                <w:p w:rsidR="00576FCC" w:rsidRPr="008A7C0E" w:rsidRDefault="002F7D53" w:rsidP="00920608">
                  <w:pPr>
                    <w:ind w:left="708" w:right="132" w:firstLine="708"/>
                    <w:rPr>
                      <w:rFonts w:ascii="Times New Roman" w:hAnsi="Times New Roman"/>
                    </w:rPr>
                  </w:pPr>
                  <w:r w:rsidRPr="008A7C0E">
                    <w:rPr>
                      <w:rFonts w:ascii="Times New Roman" w:hAnsi="Times New Roman"/>
                    </w:rPr>
                    <w:t xml:space="preserve">Warszawa, </w:t>
                  </w:r>
                  <w:r w:rsidR="00920608">
                    <w:rPr>
                      <w:rFonts w:ascii="Times New Roman" w:hAnsi="Times New Roman"/>
                    </w:rPr>
                    <w:t>dnia 18 listopada 2014 r.</w:t>
                  </w:r>
                </w:p>
                <w:p w:rsidR="00576FCC" w:rsidRPr="008A7C0E" w:rsidRDefault="007936D2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2F7D53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2F7D53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2F7D53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2F7D53" w:rsidP="00F80749">
      <w:pPr>
        <w:spacing w:after="0" w:line="240" w:lineRule="atLeast"/>
        <w:ind w:firstLine="284"/>
        <w:rPr>
          <w:rFonts w:ascii="Times New Roman" w:hAnsi="Times New Roman"/>
          <w:b/>
        </w:rPr>
      </w:pPr>
      <w:bookmarkStart w:id="0" w:name="ezdSprawaZnak"/>
      <w:r>
        <w:rPr>
          <w:rFonts w:ascii="Times New Roman" w:hAnsi="Times New Roman"/>
          <w:b/>
        </w:rPr>
        <w:t>KMP.401.15.2014</w:t>
      </w:r>
      <w:bookmarkEnd w:id="0"/>
    </w:p>
    <w:p w:rsidR="00F80749" w:rsidRDefault="00F80749" w:rsidP="00F80749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80749" w:rsidRDefault="00F80749" w:rsidP="00F80749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80749" w:rsidRDefault="00F80749" w:rsidP="00F80749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80749" w:rsidRDefault="00F80749" w:rsidP="00F80749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A1D1A" w:rsidRDefault="00920608" w:rsidP="00F80749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920608">
        <w:rPr>
          <w:rFonts w:ascii="Times New Roman" w:hAnsi="Times New Roman"/>
          <w:b/>
          <w:sz w:val="24"/>
          <w:szCs w:val="24"/>
        </w:rPr>
        <w:t xml:space="preserve">Notatka z konferencji </w:t>
      </w:r>
      <w:r>
        <w:rPr>
          <w:rFonts w:ascii="Times New Roman" w:hAnsi="Times New Roman"/>
          <w:b/>
          <w:sz w:val="24"/>
          <w:szCs w:val="24"/>
        </w:rPr>
        <w:t xml:space="preserve">KMP </w:t>
      </w:r>
      <w:r w:rsidRPr="00920608">
        <w:rPr>
          <w:rFonts w:ascii="Times New Roman" w:hAnsi="Times New Roman"/>
          <w:b/>
          <w:sz w:val="24"/>
          <w:szCs w:val="24"/>
        </w:rPr>
        <w:t>we Lwowie, 12-13 listopada 2014 r.</w:t>
      </w:r>
    </w:p>
    <w:p w:rsidR="00920608" w:rsidRDefault="00920608" w:rsidP="00F8074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0749" w:rsidRDefault="00920608" w:rsidP="00F8074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W dniach </w:t>
      </w:r>
      <w:r>
        <w:rPr>
          <w:rFonts w:ascii="Times New Roman" w:eastAsia="Times New Roman" w:hAnsi="Times New Roman"/>
          <w:color w:val="000000"/>
          <w:sz w:val="24"/>
          <w:szCs w:val="24"/>
        </w:rPr>
        <w:t>12-13 listopada</w:t>
      </w:r>
      <w:r w:rsidRP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 2014 r. Marcin Kusy – przedstawiciel Krajowego Mechanizmu Prewencji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 uczestniczył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piątej konferencji krajowych mechanizmów prewencji Europy Wschodniej</w:t>
      </w:r>
      <w:r w:rsidRP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. Organizatorem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spotkania </w:t>
      </w:r>
      <w:r w:rsidR="00F80749">
        <w:rPr>
          <w:rFonts w:ascii="Times New Roman" w:eastAsia="Times New Roman" w:hAnsi="Times New Roman"/>
          <w:color w:val="000000"/>
          <w:sz w:val="24"/>
          <w:szCs w:val="24"/>
        </w:rPr>
        <w:t>była</w:t>
      </w:r>
      <w:r w:rsidRP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Organizacja</w:t>
      </w:r>
      <w:r w:rsidRP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 Bezpieczeństwa i Współpracy w Europie</w:t>
      </w:r>
      <w:r w:rsidR="00F80749">
        <w:rPr>
          <w:rFonts w:ascii="Times New Roman" w:eastAsia="Times New Roman" w:hAnsi="Times New Roman"/>
          <w:color w:val="000000"/>
          <w:sz w:val="24"/>
          <w:szCs w:val="24"/>
        </w:rPr>
        <w:t xml:space="preserve"> – misja na Ukrainie oraz Ukraiński Pralamentarny Komisarz Praw Człowieka.</w:t>
      </w:r>
    </w:p>
    <w:p w:rsidR="00920608" w:rsidRDefault="00F80749" w:rsidP="00F80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80749">
        <w:rPr>
          <w:rFonts w:ascii="Times New Roman" w:hAnsi="Times New Roman"/>
          <w:sz w:val="24"/>
          <w:szCs w:val="24"/>
        </w:rPr>
        <w:t xml:space="preserve">W konferencji ponadto </w:t>
      </w:r>
      <w:r>
        <w:rPr>
          <w:rFonts w:ascii="Times New Roman" w:hAnsi="Times New Roman"/>
          <w:sz w:val="24"/>
          <w:szCs w:val="24"/>
        </w:rPr>
        <w:t>uczestniczyli przedstawicielie m</w:t>
      </w:r>
      <w:r w:rsidRPr="00F80749">
        <w:rPr>
          <w:rFonts w:ascii="Times New Roman" w:hAnsi="Times New Roman"/>
          <w:sz w:val="24"/>
          <w:szCs w:val="24"/>
        </w:rPr>
        <w:t>echanizmów z Niemiec, Wielkiej Brytanii, Gruzji oraz Kazachstanu</w:t>
      </w:r>
      <w:r>
        <w:rPr>
          <w:rFonts w:ascii="Times New Roman" w:hAnsi="Times New Roman"/>
          <w:sz w:val="24"/>
          <w:szCs w:val="24"/>
        </w:rPr>
        <w:t xml:space="preserve">. Wzięła w nim również udział </w:t>
      </w:r>
      <w:r w:rsidR="0091468C">
        <w:rPr>
          <w:rFonts w:ascii="Times New Roman" w:hAnsi="Times New Roman"/>
          <w:sz w:val="24"/>
          <w:szCs w:val="24"/>
        </w:rPr>
        <w:t xml:space="preserve">przedstawicielka </w:t>
      </w:r>
      <w:r>
        <w:rPr>
          <w:rFonts w:ascii="Times New Roman" w:hAnsi="Times New Roman"/>
          <w:sz w:val="24"/>
          <w:szCs w:val="24"/>
        </w:rPr>
        <w:t>Stowarzyszenia Zapobiegania Torturom z siedzibą w Genewie (APT).</w:t>
      </w:r>
    </w:p>
    <w:p w:rsidR="00F80749" w:rsidRDefault="00F80749" w:rsidP="00F80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swoich wystąpieniach reprezenta</w:t>
      </w:r>
      <w:r w:rsidR="003B06D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ci wyżej wymienionych mechanizmów omówili funkcjonowanie KMP w swoich krajach.</w:t>
      </w:r>
    </w:p>
    <w:p w:rsidR="00094B90" w:rsidRDefault="00094B90" w:rsidP="00F80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Funkcję krajowego mechanizmu Wielkiej Brytani pełni 20 niezależnych komisji, których prace koordynowane są przez Inspektorat Więziennictwa Jej Wysokości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 Komisje te podzielone są zarówno terytorialnie, jak i przedmiotowo. W konferencji uczestniczyły przedstawicielki komisji wizytujących zakłady karne dla przestępców seksulanych na terenie Anglii i Szkocji oraz przedstwiciel komisji wizytującej domy pomocy społecznej na wymienionym terenie.</w:t>
      </w:r>
    </w:p>
    <w:p w:rsidR="00094B90" w:rsidRDefault="00094B90" w:rsidP="00F80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Mandat mechanizmu prewencji w Niemczech realizowany jest przez Narodową Agencję </w:t>
      </w:r>
      <w:r w:rsidR="008C3F83">
        <w:rPr>
          <w:rFonts w:ascii="Times New Roman" w:hAnsi="Times New Roman"/>
          <w:sz w:val="24"/>
          <w:szCs w:val="24"/>
        </w:rPr>
        <w:t xml:space="preserve">Zapobiegania Torturom, która wizytuje wyłącznie miejsca pozbawienia wolności, </w:t>
      </w:r>
      <w:r w:rsidR="0091468C">
        <w:rPr>
          <w:rFonts w:ascii="Times New Roman" w:hAnsi="Times New Roman"/>
          <w:sz w:val="24"/>
          <w:szCs w:val="24"/>
        </w:rPr>
        <w:t>będące w </w:t>
      </w:r>
      <w:bookmarkStart w:id="1" w:name="_GoBack"/>
      <w:bookmarkEnd w:id="1"/>
      <w:r w:rsidR="008C3F83">
        <w:rPr>
          <w:rFonts w:ascii="Times New Roman" w:hAnsi="Times New Roman"/>
          <w:sz w:val="24"/>
          <w:szCs w:val="24"/>
        </w:rPr>
        <w:t>jurysdykcji fed</w:t>
      </w:r>
      <w:r w:rsidR="0091468C">
        <w:rPr>
          <w:rFonts w:ascii="Times New Roman" w:hAnsi="Times New Roman"/>
          <w:sz w:val="24"/>
          <w:szCs w:val="24"/>
        </w:rPr>
        <w:t>e</w:t>
      </w:r>
      <w:r w:rsidR="008C3F83">
        <w:rPr>
          <w:rFonts w:ascii="Times New Roman" w:hAnsi="Times New Roman"/>
          <w:sz w:val="24"/>
          <w:szCs w:val="24"/>
        </w:rPr>
        <w:t xml:space="preserve">ralnej. Miejsca detencji znajdujące się </w:t>
      </w:r>
      <w:r>
        <w:rPr>
          <w:rFonts w:ascii="Times New Roman" w:hAnsi="Times New Roman"/>
          <w:sz w:val="24"/>
          <w:szCs w:val="24"/>
        </w:rPr>
        <w:t xml:space="preserve"> </w:t>
      </w:r>
      <w:r w:rsidR="008C3F83">
        <w:rPr>
          <w:rFonts w:ascii="Times New Roman" w:hAnsi="Times New Roman"/>
          <w:sz w:val="24"/>
          <w:szCs w:val="24"/>
        </w:rPr>
        <w:t xml:space="preserve">w jurysdykcji poszczególnych landów wizytowane są przez Komisję Landów. Członkowie Narodowej Agencji powoływani są na czteroletnią kadencję przez </w:t>
      </w:r>
      <w:r w:rsidR="00233CF0">
        <w:rPr>
          <w:rFonts w:ascii="Times New Roman" w:hAnsi="Times New Roman"/>
          <w:sz w:val="24"/>
          <w:szCs w:val="24"/>
        </w:rPr>
        <w:t xml:space="preserve">Federalnego </w:t>
      </w:r>
      <w:r w:rsidR="008C3F83">
        <w:rPr>
          <w:rFonts w:ascii="Times New Roman" w:hAnsi="Times New Roman"/>
          <w:sz w:val="24"/>
          <w:szCs w:val="24"/>
        </w:rPr>
        <w:t xml:space="preserve">Ministra Sprawiedliwości, </w:t>
      </w:r>
      <w:r w:rsidR="00233CF0">
        <w:rPr>
          <w:rFonts w:ascii="Times New Roman" w:hAnsi="Times New Roman"/>
          <w:sz w:val="24"/>
          <w:szCs w:val="24"/>
        </w:rPr>
        <w:t xml:space="preserve">Federalnego </w:t>
      </w:r>
      <w:r w:rsidR="008C3F83">
        <w:rPr>
          <w:rFonts w:ascii="Times New Roman" w:hAnsi="Times New Roman"/>
          <w:sz w:val="24"/>
          <w:szCs w:val="24"/>
        </w:rPr>
        <w:t>Ministra Spraw Wewnętrznych oraz</w:t>
      </w:r>
      <w:r w:rsidR="00233CF0">
        <w:rPr>
          <w:rFonts w:ascii="Times New Roman" w:hAnsi="Times New Roman"/>
          <w:sz w:val="24"/>
          <w:szCs w:val="24"/>
        </w:rPr>
        <w:t xml:space="preserve"> Federalnego</w:t>
      </w:r>
      <w:r w:rsidR="008C3F83">
        <w:rPr>
          <w:rFonts w:ascii="Times New Roman" w:hAnsi="Times New Roman"/>
          <w:sz w:val="24"/>
          <w:szCs w:val="24"/>
        </w:rPr>
        <w:t xml:space="preserve"> Ministra Obrony.</w:t>
      </w:r>
      <w:r w:rsidR="00233CF0">
        <w:rPr>
          <w:rFonts w:ascii="Times New Roman" w:hAnsi="Times New Roman"/>
          <w:sz w:val="24"/>
          <w:szCs w:val="24"/>
        </w:rPr>
        <w:t xml:space="preserve"> Ministrowie Sprawiedliwości poszczególnych landów powołują wspólnie członków Komisji Landów.</w:t>
      </w:r>
    </w:p>
    <w:p w:rsidR="003B06D5" w:rsidRDefault="003B06D5" w:rsidP="00F80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Pracownik polskiego KMP przedstawił przyczyny powierzenia Rzecznikowi Praw Obywatelskich funkcji krajowego mechanizmu prewencji, podstawy prawne funkcjownowania </w:t>
      </w:r>
      <w:r>
        <w:rPr>
          <w:rFonts w:ascii="Times New Roman" w:hAnsi="Times New Roman"/>
          <w:sz w:val="24"/>
          <w:szCs w:val="24"/>
        </w:rPr>
        <w:lastRenderedPageBreak/>
        <w:t>M</w:t>
      </w:r>
      <w:r w:rsidR="00CB56B9">
        <w:rPr>
          <w:rFonts w:ascii="Times New Roman" w:hAnsi="Times New Roman"/>
          <w:sz w:val="24"/>
          <w:szCs w:val="24"/>
        </w:rPr>
        <w:t>echanizmu w Polsce, organizację</w:t>
      </w:r>
      <w:r>
        <w:rPr>
          <w:rFonts w:ascii="Times New Roman" w:hAnsi="Times New Roman"/>
          <w:sz w:val="24"/>
          <w:szCs w:val="24"/>
        </w:rPr>
        <w:t xml:space="preserve"> Zespołu w Biurze RPO. Ponadto omówił problem </w:t>
      </w:r>
      <w:r w:rsidR="00CB56B9">
        <w:rPr>
          <w:rFonts w:ascii="Times New Roman" w:hAnsi="Times New Roman"/>
          <w:sz w:val="24"/>
          <w:szCs w:val="24"/>
        </w:rPr>
        <w:t>wykonywania mandatu KMP w związku ze stanowiskiem Generalnego Inspektora Danych Osobowych oraz dokonaną noweliza</w:t>
      </w:r>
      <w:r w:rsidR="0091468C">
        <w:rPr>
          <w:rFonts w:ascii="Times New Roman" w:hAnsi="Times New Roman"/>
          <w:sz w:val="24"/>
          <w:szCs w:val="24"/>
        </w:rPr>
        <w:t>cję</w:t>
      </w:r>
      <w:r w:rsidR="00CB56B9">
        <w:rPr>
          <w:rFonts w:ascii="Times New Roman" w:hAnsi="Times New Roman"/>
          <w:sz w:val="24"/>
          <w:szCs w:val="24"/>
        </w:rPr>
        <w:t xml:space="preserve"> ustawy o Rzeczniku Praw Obywatelskich. Zaprezentował on również metodologię przeprowadzanych wizytacji wraz z najpoważniejszymi przykładami naruszeń praw osób pozbawionych wolności, uznanymi przez osoby wizytujące jako nieludzkie, niehumanutarne traktowanie lub karanie.</w:t>
      </w:r>
    </w:p>
    <w:p w:rsidR="009C664D" w:rsidRDefault="009C664D" w:rsidP="009C664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Kazachstanie oraz Gruzji, podobnie jak w Polsce, mandat mechanzimu powierzony został Ombudsmanowi. Jednakże w Kazachstanie jest on realizowany we współpracy z organizacjami pozarządowymi oraz kom</w:t>
      </w:r>
      <w:r w:rsidR="0091468C">
        <w:rPr>
          <w:rFonts w:ascii="Times New Roman" w:hAnsi="Times New Roman"/>
          <w:sz w:val="24"/>
          <w:szCs w:val="24"/>
        </w:rPr>
        <w:t>isjami monitoringu publicznego.</w:t>
      </w:r>
    </w:p>
    <w:p w:rsidR="00F80749" w:rsidRDefault="00F80749" w:rsidP="00F80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7D25" w:rsidRDefault="006D7D25" w:rsidP="00F80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0749" w:rsidRPr="00F80749" w:rsidRDefault="006D7D25" w:rsidP="00F80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Sporządził: Marcin Kusy</w:t>
      </w:r>
    </w:p>
    <w:sectPr w:rsidR="00F80749" w:rsidRPr="00F80749" w:rsidSect="004A371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D2" w:rsidRDefault="007936D2" w:rsidP="007B73D9">
      <w:pPr>
        <w:spacing w:after="0" w:line="240" w:lineRule="auto"/>
      </w:pPr>
      <w:r>
        <w:separator/>
      </w:r>
    </w:p>
  </w:endnote>
  <w:endnote w:type="continuationSeparator" w:id="0">
    <w:p w:rsidR="007936D2" w:rsidRDefault="007936D2" w:rsidP="007B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E" w:rsidRPr="004A371B" w:rsidRDefault="00F16777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98.3pt;margin-top:8.9pt;width:71.25pt;height:19.95pt;z-index:251660288;visibility:visible" filled="f" stroked="f">
          <v:textbox>
            <w:txbxContent>
              <w:p w:rsidR="004A371B" w:rsidRPr="00C30C1A" w:rsidRDefault="002F7D53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="00F16777"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="00F16777"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823E75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="00F16777"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88" w:rsidRPr="00A56197" w:rsidRDefault="00F16777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319.8pt;margin-top:14pt;width:171.75pt;height:56.75pt;z-index:251658240;visibility:visible" filled="f" stroked="f">
          <v:textbox>
            <w:txbxContent>
              <w:p w:rsidR="00824588" w:rsidRPr="00A56197" w:rsidRDefault="002F7D53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824588" w:rsidRDefault="002F7D53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867569" w:rsidRDefault="002F7D53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867569" w:rsidRPr="00A56197" w:rsidRDefault="002F7D53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2" type="#_x0000_t32" style="position:absolute;margin-left:-1.2pt;margin-top:4.75pt;width:484.5pt;height:0;z-index:251659264;visibility:visible" strokecolor="#7f7f7f"/>
      </w:pict>
    </w:r>
    <w:r w:rsidR="002F7D53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2F7D53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2F7D53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D2" w:rsidRDefault="007936D2" w:rsidP="007B73D9">
      <w:pPr>
        <w:spacing w:after="0" w:line="240" w:lineRule="auto"/>
      </w:pPr>
      <w:r>
        <w:separator/>
      </w:r>
    </w:p>
  </w:footnote>
  <w:footnote w:type="continuationSeparator" w:id="0">
    <w:p w:rsidR="007936D2" w:rsidRDefault="007936D2" w:rsidP="007B73D9">
      <w:pPr>
        <w:spacing w:after="0" w:line="240" w:lineRule="auto"/>
      </w:pPr>
      <w:r>
        <w:continuationSeparator/>
      </w:r>
    </w:p>
  </w:footnote>
  <w:footnote w:id="1">
    <w:p w:rsidR="00094B90" w:rsidRPr="0091468C" w:rsidRDefault="00094B9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1468C">
        <w:rPr>
          <w:lang w:val="en-US"/>
        </w:rPr>
        <w:t xml:space="preserve"> Her M</w:t>
      </w:r>
      <w:r w:rsidR="0091468C">
        <w:rPr>
          <w:lang w:val="en-US"/>
        </w:rPr>
        <w:t>ajesty Inspectorate of Prisons.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EC" w:rsidRDefault="007B73D9" w:rsidP="00F63BEC">
    <w:pPr>
      <w:pStyle w:val="Nagwek"/>
      <w:ind w:right="6944" w:firstLine="1701"/>
      <w:jc w:val="center"/>
    </w:pPr>
    <w:r>
      <w:object w:dxaOrig="1788" w:dyaOrig="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78934262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73D9"/>
    <w:rsid w:val="00083188"/>
    <w:rsid w:val="00094B90"/>
    <w:rsid w:val="00233CF0"/>
    <w:rsid w:val="002F7D53"/>
    <w:rsid w:val="00391289"/>
    <w:rsid w:val="003B06D5"/>
    <w:rsid w:val="005732FD"/>
    <w:rsid w:val="006D7D25"/>
    <w:rsid w:val="007936D2"/>
    <w:rsid w:val="007B73D9"/>
    <w:rsid w:val="00823E75"/>
    <w:rsid w:val="008C3F83"/>
    <w:rsid w:val="0091468C"/>
    <w:rsid w:val="00920608"/>
    <w:rsid w:val="009C664D"/>
    <w:rsid w:val="00CB56B9"/>
    <w:rsid w:val="00F16777"/>
    <w:rsid w:val="00F8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3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6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0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2FBA-7E07-4DBD-9BB2-D8DAA3E2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Ntt</cp:lastModifiedBy>
  <cp:revision>2</cp:revision>
  <cp:lastPrinted>2013-11-18T12:02:00Z</cp:lastPrinted>
  <dcterms:created xsi:type="dcterms:W3CDTF">2014-12-01T09:18:00Z</dcterms:created>
  <dcterms:modified xsi:type="dcterms:W3CDTF">2014-12-01T09:18:00Z</dcterms:modified>
</cp:coreProperties>
</file>