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134"/>
        <w:gridCol w:w="2410"/>
        <w:gridCol w:w="3260"/>
        <w:gridCol w:w="2835"/>
      </w:tblGrid>
      <w:tr w:rsidR="00B56E9C" w:rsidRPr="00772CDD" w14:paraId="6276FB9F" w14:textId="77777777" w:rsidTr="007E2F8B">
        <w:trPr>
          <w:cantSplit/>
          <w:trHeight w:hRule="exact" w:val="851"/>
        </w:trPr>
        <w:tc>
          <w:tcPr>
            <w:tcW w:w="1134" w:type="dxa"/>
            <w:tcBorders>
              <w:bottom w:val="single" w:sz="4" w:space="0" w:color="auto"/>
            </w:tcBorders>
            <w:vAlign w:val="bottom"/>
          </w:tcPr>
          <w:p w14:paraId="1C5CFF22" w14:textId="77777777" w:rsidR="00B56E9C" w:rsidRPr="00772CDD" w:rsidRDefault="00B56E9C" w:rsidP="00B6553F">
            <w:pPr>
              <w:spacing w:after="80"/>
              <w:rPr>
                <w:lang w:val="pl-PL"/>
              </w:rPr>
            </w:pPr>
          </w:p>
        </w:tc>
        <w:tc>
          <w:tcPr>
            <w:tcW w:w="2410" w:type="dxa"/>
            <w:tcBorders>
              <w:bottom w:val="single" w:sz="4" w:space="0" w:color="auto"/>
            </w:tcBorders>
            <w:vAlign w:val="bottom"/>
          </w:tcPr>
          <w:p w14:paraId="36B48E26" w14:textId="77777777" w:rsidR="00B56E9C" w:rsidRPr="00772CDD" w:rsidRDefault="00B56E9C" w:rsidP="00B6553F">
            <w:pPr>
              <w:spacing w:after="80" w:line="300" w:lineRule="exact"/>
              <w:rPr>
                <w:b/>
                <w:sz w:val="24"/>
                <w:szCs w:val="24"/>
                <w:lang w:val="pl-PL"/>
              </w:rPr>
            </w:pPr>
            <w:r w:rsidRPr="00772CDD">
              <w:rPr>
                <w:sz w:val="28"/>
                <w:szCs w:val="28"/>
                <w:lang w:val="pl-PL"/>
              </w:rPr>
              <w:t>Organizacja Narodów Zjednoczonych</w:t>
            </w:r>
            <w:bookmarkStart w:id="0" w:name="_GoBack"/>
            <w:bookmarkEnd w:id="0"/>
          </w:p>
        </w:tc>
        <w:tc>
          <w:tcPr>
            <w:tcW w:w="6095" w:type="dxa"/>
            <w:gridSpan w:val="2"/>
            <w:tcBorders>
              <w:bottom w:val="single" w:sz="4" w:space="0" w:color="auto"/>
            </w:tcBorders>
            <w:vAlign w:val="bottom"/>
          </w:tcPr>
          <w:p w14:paraId="47BE16A1" w14:textId="77777777" w:rsidR="00B56E9C" w:rsidRPr="00772CDD" w:rsidRDefault="00561CEF" w:rsidP="000C716F">
            <w:pPr>
              <w:jc w:val="right"/>
              <w:rPr>
                <w:lang w:val="pl-PL"/>
              </w:rPr>
            </w:pPr>
            <w:r w:rsidRPr="00772CDD">
              <w:rPr>
                <w:sz w:val="40"/>
                <w:lang w:val="pl-PL"/>
              </w:rPr>
              <w:t>CCPR</w:t>
            </w:r>
            <w:r w:rsidRPr="00772CDD">
              <w:rPr>
                <w:lang w:val="pl-PL"/>
              </w:rPr>
              <w:t>/C/GC/35</w:t>
            </w:r>
          </w:p>
        </w:tc>
      </w:tr>
      <w:tr w:rsidR="00B56E9C" w:rsidRPr="00772CDD" w14:paraId="290630FD" w14:textId="77777777" w:rsidTr="007E2F8B">
        <w:trPr>
          <w:cantSplit/>
          <w:trHeight w:hRule="exact" w:val="2835"/>
        </w:trPr>
        <w:tc>
          <w:tcPr>
            <w:tcW w:w="1134" w:type="dxa"/>
            <w:tcBorders>
              <w:top w:val="single" w:sz="4" w:space="0" w:color="auto"/>
              <w:bottom w:val="single" w:sz="12" w:space="0" w:color="auto"/>
            </w:tcBorders>
          </w:tcPr>
          <w:p w14:paraId="099FFA80" w14:textId="2179B697" w:rsidR="00B56E9C" w:rsidRPr="00772CDD" w:rsidRDefault="00DD455A" w:rsidP="00B6553F">
            <w:pPr>
              <w:spacing w:before="120"/>
              <w:rPr>
                <w:lang w:val="pl-PL"/>
              </w:rPr>
            </w:pPr>
            <w:r>
              <w:rPr>
                <w:noProof/>
                <w:lang w:val="pl-PL" w:eastAsia="pl-PL"/>
              </w:rPr>
              <w:drawing>
                <wp:inline distT="0" distB="0" distL="0" distR="0" wp14:anchorId="5A94CE55" wp14:editId="3767BAE5">
                  <wp:extent cx="718185" cy="593725"/>
                  <wp:effectExtent l="0" t="0" r="5715" b="0"/>
                  <wp:docPr id="1" name="Obraz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 cy="593725"/>
                          </a:xfrm>
                          <a:prstGeom prst="rect">
                            <a:avLst/>
                          </a:prstGeom>
                          <a:noFill/>
                          <a:ln>
                            <a:noFill/>
                          </a:ln>
                        </pic:spPr>
                      </pic:pic>
                    </a:graphicData>
                  </a:graphic>
                </wp:inline>
              </w:drawing>
            </w:r>
          </w:p>
        </w:tc>
        <w:tc>
          <w:tcPr>
            <w:tcW w:w="5670" w:type="dxa"/>
            <w:gridSpan w:val="2"/>
            <w:tcBorders>
              <w:top w:val="single" w:sz="4" w:space="0" w:color="auto"/>
              <w:bottom w:val="single" w:sz="12" w:space="0" w:color="auto"/>
            </w:tcBorders>
          </w:tcPr>
          <w:p w14:paraId="5959BE04" w14:textId="77777777" w:rsidR="00B56E9C" w:rsidRPr="00772CDD" w:rsidRDefault="00B56E9C" w:rsidP="00267F5F">
            <w:pPr>
              <w:spacing w:before="120" w:line="380" w:lineRule="exact"/>
              <w:rPr>
                <w:sz w:val="34"/>
                <w:lang w:val="pl-PL"/>
              </w:rPr>
            </w:pPr>
            <w:r w:rsidRPr="00772CDD">
              <w:rPr>
                <w:b/>
                <w:sz w:val="34"/>
                <w:szCs w:val="40"/>
                <w:lang w:val="pl-PL"/>
              </w:rPr>
              <w:t xml:space="preserve">Międzynarodowy </w:t>
            </w:r>
            <w:r w:rsidR="00060C3A" w:rsidRPr="00772CDD">
              <w:rPr>
                <w:b/>
                <w:sz w:val="34"/>
                <w:szCs w:val="40"/>
                <w:lang w:val="pl-PL"/>
              </w:rPr>
              <w:t xml:space="preserve">Pakt </w:t>
            </w:r>
            <w:r w:rsidR="00060C3A" w:rsidRPr="00772CDD">
              <w:rPr>
                <w:b/>
                <w:sz w:val="34"/>
                <w:szCs w:val="40"/>
                <w:lang w:val="pl-PL"/>
              </w:rPr>
              <w:br/>
              <w:t>Praw Obywatelskich i Politycznych</w:t>
            </w:r>
          </w:p>
        </w:tc>
        <w:tc>
          <w:tcPr>
            <w:tcW w:w="2835" w:type="dxa"/>
            <w:tcBorders>
              <w:top w:val="single" w:sz="4" w:space="0" w:color="auto"/>
              <w:bottom w:val="single" w:sz="12" w:space="0" w:color="auto"/>
            </w:tcBorders>
          </w:tcPr>
          <w:p w14:paraId="62DB7E29" w14:textId="77777777" w:rsidR="00B56E9C" w:rsidRPr="00772CDD" w:rsidRDefault="00561CEF" w:rsidP="00561CEF">
            <w:pPr>
              <w:spacing w:before="240" w:line="240" w:lineRule="exact"/>
              <w:rPr>
                <w:lang w:val="pl-PL"/>
              </w:rPr>
            </w:pPr>
            <w:r w:rsidRPr="00772CDD">
              <w:rPr>
                <w:lang w:val="pl-PL"/>
              </w:rPr>
              <w:t>Distr.: General</w:t>
            </w:r>
          </w:p>
          <w:p w14:paraId="1983DB84" w14:textId="77777777" w:rsidR="00561CEF" w:rsidRPr="00772CDD" w:rsidRDefault="00034932" w:rsidP="00530E4F">
            <w:pPr>
              <w:spacing w:line="240" w:lineRule="exact"/>
              <w:rPr>
                <w:lang w:val="pl-PL"/>
              </w:rPr>
            </w:pPr>
            <w:r w:rsidRPr="00772CDD">
              <w:rPr>
                <w:lang w:val="pl-PL"/>
              </w:rPr>
              <w:t>16 grudnia 2014 r.</w:t>
            </w:r>
          </w:p>
          <w:p w14:paraId="72890AA7" w14:textId="77777777" w:rsidR="00561CEF" w:rsidRPr="00772CDD" w:rsidRDefault="00561CEF" w:rsidP="00561CEF">
            <w:pPr>
              <w:spacing w:line="240" w:lineRule="exact"/>
              <w:rPr>
                <w:lang w:val="pl-PL"/>
              </w:rPr>
            </w:pPr>
          </w:p>
          <w:p w14:paraId="0E6A8F40" w14:textId="77777777" w:rsidR="00561CEF" w:rsidRPr="00772CDD" w:rsidRDefault="00561CEF" w:rsidP="00561CEF">
            <w:pPr>
              <w:spacing w:line="240" w:lineRule="exact"/>
              <w:rPr>
                <w:lang w:val="pl-PL"/>
              </w:rPr>
            </w:pPr>
            <w:r w:rsidRPr="00772CDD">
              <w:rPr>
                <w:lang w:val="pl-PL"/>
              </w:rPr>
              <w:t>Oryginał: j. angielski</w:t>
            </w:r>
          </w:p>
        </w:tc>
      </w:tr>
    </w:tbl>
    <w:p w14:paraId="6D92303A" w14:textId="72F75B74" w:rsidR="00561CEF" w:rsidRPr="00772CDD" w:rsidRDefault="00561CEF" w:rsidP="00561CEF">
      <w:pPr>
        <w:autoSpaceDE w:val="0"/>
        <w:autoSpaceDN w:val="0"/>
        <w:adjustRightInd w:val="0"/>
        <w:rPr>
          <w:b/>
          <w:bCs/>
          <w:sz w:val="24"/>
          <w:szCs w:val="24"/>
          <w:lang w:val="pl-PL"/>
        </w:rPr>
      </w:pPr>
      <w:r w:rsidRPr="00772CDD">
        <w:rPr>
          <w:b/>
          <w:bCs/>
          <w:sz w:val="24"/>
          <w:szCs w:val="24"/>
          <w:lang w:val="pl-PL"/>
        </w:rPr>
        <w:t>Komitet Praw Człowieka</w:t>
      </w:r>
      <w:r w:rsidR="00DD455A">
        <w:rPr>
          <w:b/>
          <w:bCs/>
          <w:noProof/>
          <w:sz w:val="24"/>
          <w:szCs w:val="24"/>
          <w:lang w:val="pl-PL" w:eastAsia="pl-PL"/>
        </w:rPr>
        <w:drawing>
          <wp:anchor distT="0" distB="0" distL="114300" distR="114300" simplePos="0" relativeHeight="251657728" behindDoc="0" locked="0" layoutInCell="1" allowOverlap="0" wp14:anchorId="19BC708B" wp14:editId="1ABD807F">
            <wp:simplePos x="0" y="0"/>
            <wp:positionH relativeFrom="margin">
              <wp:posOffset>5489575</wp:posOffset>
            </wp:positionH>
            <wp:positionV relativeFrom="margin">
              <wp:posOffset>8027670</wp:posOffset>
            </wp:positionV>
            <wp:extent cx="638175" cy="638175"/>
            <wp:effectExtent l="0" t="0" r="9525" b="9525"/>
            <wp:wrapNone/>
            <wp:docPr id="2" name="Obraz 2" descr="3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5&amp;Size=2 &amp;Lan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14:sizeRelH relativeFrom="page">
              <wp14:pctWidth>0</wp14:pctWidth>
            </wp14:sizeRelH>
            <wp14:sizeRelV relativeFrom="page">
              <wp14:pctHeight>0</wp14:pctHeight>
            </wp14:sizeRelV>
          </wp:anchor>
        </w:drawing>
      </w:r>
    </w:p>
    <w:p w14:paraId="1C510481" w14:textId="77777777" w:rsidR="00530E4F" w:rsidRPr="00772CDD" w:rsidRDefault="00CF75D6" w:rsidP="00EF7CB3">
      <w:pPr>
        <w:pStyle w:val="HChG"/>
        <w:outlineLvl w:val="0"/>
        <w:rPr>
          <w:lang w:val="pl-PL"/>
        </w:rPr>
      </w:pPr>
      <w:r w:rsidRPr="00772CDD">
        <w:rPr>
          <w:lang w:val="pl-PL"/>
        </w:rPr>
        <w:tab/>
      </w:r>
      <w:r w:rsidRPr="00772CDD">
        <w:rPr>
          <w:lang w:val="pl-PL"/>
        </w:rPr>
        <w:tab/>
      </w:r>
      <w:r w:rsidR="00292430" w:rsidRPr="00772CDD">
        <w:rPr>
          <w:lang w:val="pl-PL"/>
        </w:rPr>
        <w:t>Uwaga ogólna Nr. 35</w:t>
      </w:r>
    </w:p>
    <w:p w14:paraId="6B267DD6" w14:textId="77777777" w:rsidR="00EA0B10" w:rsidRPr="00772CDD" w:rsidRDefault="00530E4F" w:rsidP="00EF7CB3">
      <w:pPr>
        <w:pStyle w:val="HChG"/>
        <w:outlineLvl w:val="0"/>
        <w:rPr>
          <w:lang w:val="pl-PL"/>
        </w:rPr>
      </w:pPr>
      <w:r w:rsidRPr="00772CDD">
        <w:rPr>
          <w:lang w:val="pl-PL"/>
        </w:rPr>
        <w:tab/>
      </w:r>
      <w:r w:rsidRPr="00772CDD">
        <w:rPr>
          <w:lang w:val="pl-PL"/>
        </w:rPr>
        <w:tab/>
      </w:r>
      <w:r w:rsidR="000B35DD" w:rsidRPr="00772CDD">
        <w:rPr>
          <w:lang w:val="pl-PL"/>
        </w:rPr>
        <w:t>Artykuł 9 (Wolność i bezpieczeństwo osobiste)</w:t>
      </w:r>
      <w:r w:rsidRPr="00772CDD">
        <w:rPr>
          <w:rStyle w:val="Odwoanieprzypisudolnego"/>
          <w:b w:val="0"/>
          <w:bCs/>
          <w:sz w:val="20"/>
          <w:vertAlign w:val="baseline"/>
          <w:lang w:val="pl-PL"/>
        </w:rPr>
        <w:footnoteReference w:customMarkFollows="1" w:id="2"/>
        <w:t>*</w:t>
      </w:r>
    </w:p>
    <w:p w14:paraId="3EB664B1" w14:textId="77777777" w:rsidR="000828F9" w:rsidRPr="00772CDD" w:rsidRDefault="000828F9" w:rsidP="00EF7CB3">
      <w:pPr>
        <w:pStyle w:val="HChG"/>
        <w:outlineLvl w:val="0"/>
        <w:rPr>
          <w:lang w:val="pl-PL"/>
        </w:rPr>
      </w:pPr>
      <w:r w:rsidRPr="00772CDD">
        <w:rPr>
          <w:lang w:val="pl-PL"/>
        </w:rPr>
        <w:tab/>
        <w:t>I.</w:t>
      </w:r>
      <w:r w:rsidRPr="00772CDD">
        <w:rPr>
          <w:lang w:val="pl-PL"/>
        </w:rPr>
        <w:tab/>
        <w:t>Uwagi ogólne</w:t>
      </w:r>
    </w:p>
    <w:p w14:paraId="7641AE24" w14:textId="77777777" w:rsidR="007814B2" w:rsidRPr="00772CDD" w:rsidRDefault="00474154" w:rsidP="00677648">
      <w:pPr>
        <w:pStyle w:val="SingleTxtG"/>
        <w:numPr>
          <w:ilvl w:val="0"/>
          <w:numId w:val="9"/>
        </w:numPr>
        <w:ind w:left="1134" w:firstLine="0"/>
        <w:rPr>
          <w:lang w:val="pl-PL"/>
        </w:rPr>
      </w:pPr>
      <w:r w:rsidRPr="00772CDD">
        <w:rPr>
          <w:lang w:val="pl-PL"/>
        </w:rPr>
        <w:t xml:space="preserve">Niniejsza uwaga ogólna zastępuje uwagę ogólną nr 8 (sesja XVI) przyjętą w 1982 r. </w:t>
      </w:r>
    </w:p>
    <w:p w14:paraId="50C2A518" w14:textId="77777777" w:rsidR="007814B2" w:rsidRPr="00772CDD" w:rsidRDefault="00AB4143" w:rsidP="00CC5C8A">
      <w:pPr>
        <w:pStyle w:val="SingleTxtG"/>
        <w:numPr>
          <w:ilvl w:val="0"/>
          <w:numId w:val="9"/>
        </w:numPr>
        <w:ind w:left="1134" w:firstLine="0"/>
        <w:rPr>
          <w:lang w:val="pl-PL"/>
        </w:rPr>
      </w:pPr>
      <w:r w:rsidRPr="00772CDD">
        <w:rPr>
          <w:lang w:val="pl-PL"/>
        </w:rPr>
        <w:t>Artykuł 9 uznaje i chroni zarówno wolność, jak i bezpieczeństwo osobiste. Artykuł 3 Powszechnej Deklaracji Praw Człowieka stwierdza, że każdy człowiek ma prawo do życia, wolności i bezpieczeństwa swej osoby. Stanowi to pierwsze istotne prawo chronione przez Powszechną Deklarację, co wskazuje na ogromne znaczenie artykułu 9 Paktu zarówno dla jednostek, jak i całego społeczeństwa. Wolność i bezpieczeństwo same z siebie są cennymi wartościami, również dlatego, że pozbawienie wolności i bezpieczeństwa osobistego historycznie stanowiły główny środek ograniczenia możliwości korzystania z innych praw.</w:t>
      </w:r>
    </w:p>
    <w:p w14:paraId="56447A09" w14:textId="77777777" w:rsidR="007814B2" w:rsidRPr="00772CDD" w:rsidRDefault="007814B2" w:rsidP="00677648">
      <w:pPr>
        <w:pStyle w:val="SingleTxtG"/>
        <w:numPr>
          <w:ilvl w:val="0"/>
          <w:numId w:val="9"/>
        </w:numPr>
        <w:ind w:left="1134" w:firstLine="0"/>
        <w:rPr>
          <w:rStyle w:val="Odwoanieprzypisudolnego"/>
          <w:vertAlign w:val="baseline"/>
          <w:lang w:val="pl-PL"/>
        </w:rPr>
      </w:pPr>
      <w:r w:rsidRPr="00772CDD">
        <w:rPr>
          <w:lang w:val="pl-PL"/>
        </w:rPr>
        <w:t>Wolność osobista dotyczy wolności od uwięzienia, a nie ogólnej swobody działania.</w:t>
      </w:r>
      <w:r w:rsidRPr="00772CDD">
        <w:rPr>
          <w:rStyle w:val="Odwoanieprzypisudolnego"/>
          <w:lang w:val="pl-PL"/>
        </w:rPr>
        <w:footnoteReference w:id="3"/>
      </w:r>
      <w:r w:rsidRPr="00772CDD">
        <w:rPr>
          <w:lang w:val="pl-PL"/>
        </w:rPr>
        <w:t xml:space="preserve"> Bezpieczeństwo osobiste dotyczy wolności od obrażeń ciała i umysłu lub nietykalności cielesnej i psychicznej, jak omówiono w pkt. 9 poniżej</w:t>
      </w:r>
      <w:r w:rsidRPr="00772CDD">
        <w:rPr>
          <w:b/>
          <w:lang w:val="pl-PL"/>
        </w:rPr>
        <w:t>.</w:t>
      </w:r>
      <w:r w:rsidRPr="00772CDD">
        <w:rPr>
          <w:lang w:val="pl-PL"/>
        </w:rPr>
        <w:t xml:space="preserve"> </w:t>
      </w:r>
      <w:r w:rsidR="00AB4143" w:rsidRPr="00772CDD">
        <w:rPr>
          <w:lang w:val="pl-PL"/>
        </w:rPr>
        <w:t>Artykuł 9 gwarantuje te prawa wszystkim ludziom. Słowo "wszyscy" obejmuje, między innymi, dziewczęta i chłopców, żołnierzy, osoby niepełnosprawne, lesbijki, gejów, osoby biseksualne i transpłciowe, cudzoziemców, uchodźców i azylantów, bezpaństwowców, pracowników migrujących, osoby skazane za przestępstwa oraz osoby zaangażowane w działalność terrorystyczną.</w:t>
      </w:r>
      <w:r w:rsidRPr="00772CDD">
        <w:rPr>
          <w:rStyle w:val="Odwoanieprzypisudolnego"/>
          <w:lang w:val="pl-PL"/>
        </w:rPr>
        <w:t xml:space="preserve"> </w:t>
      </w:r>
    </w:p>
    <w:p w14:paraId="1C0A8FD3" w14:textId="77777777" w:rsidR="007814B2" w:rsidRPr="00772CDD" w:rsidRDefault="007814B2" w:rsidP="00CC5C8A">
      <w:pPr>
        <w:pStyle w:val="SingleTxtG"/>
        <w:numPr>
          <w:ilvl w:val="0"/>
          <w:numId w:val="9"/>
        </w:numPr>
        <w:ind w:left="1134" w:firstLine="0"/>
        <w:rPr>
          <w:lang w:val="pl-PL"/>
        </w:rPr>
      </w:pPr>
      <w:r w:rsidRPr="00772CDD">
        <w:rPr>
          <w:lang w:val="pl-PL"/>
        </w:rPr>
        <w:t xml:space="preserve">Ustępy 2 - 5 artykułu 9 określają szczególne środki ochronne mające na celu ochronę wolności i bezpieczeństwa osobistego. Niektóre z zapisów artykułu 9 (część ust. 2 i cały ust. 3) stosuje się tylko w przypadku osób, którym postawiono zarzuty karne. Pozostałe, w szczególności istotne gwarancje ustanowione w ustępie 4, tj. prawo odwołania się do sądu w celu niezwłocznego orzeczenia przez sąd o legalności zatrzymania, dotyczą wszystkich osób pozbawionych wolności. </w:t>
      </w:r>
    </w:p>
    <w:p w14:paraId="5C3C6259" w14:textId="77777777" w:rsidR="007814B2" w:rsidRPr="00772CDD" w:rsidRDefault="007814B2" w:rsidP="00106189">
      <w:pPr>
        <w:pStyle w:val="SingleTxtG"/>
        <w:numPr>
          <w:ilvl w:val="0"/>
          <w:numId w:val="9"/>
        </w:numPr>
        <w:ind w:left="1134" w:firstLine="0"/>
        <w:rPr>
          <w:lang w:val="pl-PL"/>
        </w:rPr>
      </w:pPr>
      <w:r w:rsidRPr="00772CDD">
        <w:rPr>
          <w:lang w:val="pl-PL"/>
        </w:rPr>
        <w:lastRenderedPageBreak/>
        <w:t>Pozbawienie wolności polega na poważniejszym ograniczeniu możliwości ruchu na mniejszej przestrzeni, niż zwykła ingerencja w swobodę poruszania się opisana w artykule 12.</w:t>
      </w:r>
      <w:r w:rsidRPr="00772CDD">
        <w:rPr>
          <w:rStyle w:val="Odwoanieprzypisudolnego"/>
          <w:lang w:val="pl-PL"/>
        </w:rPr>
        <w:footnoteReference w:id="4"/>
      </w:r>
      <w:r w:rsidRPr="00772CDD">
        <w:rPr>
          <w:rStyle w:val="Odwoanieprzypisudolnego"/>
          <w:szCs w:val="24"/>
          <w:lang w:val="pl-PL"/>
        </w:rPr>
        <w:t xml:space="preserve"> </w:t>
      </w:r>
      <w:r w:rsidRPr="00772CDD">
        <w:rPr>
          <w:lang w:val="pl-PL"/>
        </w:rPr>
        <w:t xml:space="preserve">Przykłady pozbawienia wolności obejmują aresztowanie przez policję, </w:t>
      </w:r>
      <w:r w:rsidRPr="00772CDD">
        <w:rPr>
          <w:i/>
          <w:iCs/>
          <w:lang w:val="pl-PL"/>
        </w:rPr>
        <w:t>arraigo</w:t>
      </w:r>
      <w:r w:rsidR="00CC5C8A" w:rsidRPr="00772CDD">
        <w:rPr>
          <w:lang w:val="pl-PL"/>
        </w:rPr>
        <w:t xml:space="preserve">, </w:t>
      </w:r>
      <w:r w:rsidRPr="00772CDD">
        <w:rPr>
          <w:rStyle w:val="Odwoanieprzypisudolnego"/>
          <w:lang w:val="pl-PL"/>
        </w:rPr>
        <w:footnoteReference w:id="5"/>
      </w:r>
      <w:r w:rsidRPr="00772CDD">
        <w:rPr>
          <w:lang w:val="pl-PL"/>
        </w:rPr>
        <w:t xml:space="preserve"> tymczasowe aresztowanie, uwięzienie po wyroku skazującym, areszt domowy,</w:t>
      </w:r>
      <w:r w:rsidRPr="00772CDD">
        <w:rPr>
          <w:rStyle w:val="Odwoanieprzypisudolnego"/>
          <w:lang w:val="pl-PL"/>
        </w:rPr>
        <w:footnoteReference w:id="6"/>
      </w:r>
      <w:r w:rsidRPr="00772CDD">
        <w:rPr>
          <w:rStyle w:val="Odwoanieprzypisudolnego"/>
          <w:szCs w:val="24"/>
          <w:lang w:val="pl-PL"/>
        </w:rPr>
        <w:t xml:space="preserve"> </w:t>
      </w:r>
      <w:r w:rsidRPr="00772CDD">
        <w:rPr>
          <w:lang w:val="pl-PL"/>
        </w:rPr>
        <w:t>zatrzymanie administracyjne, przymusowa hospitalizacja,</w:t>
      </w:r>
      <w:r w:rsidRPr="00772CDD">
        <w:rPr>
          <w:rStyle w:val="Odwoanieprzypisudolnego"/>
          <w:lang w:val="pl-PL"/>
        </w:rPr>
        <w:footnoteReference w:id="7"/>
      </w:r>
      <w:r w:rsidRPr="00772CDD">
        <w:rPr>
          <w:lang w:val="pl-PL"/>
        </w:rPr>
        <w:t>instytucjonalna opieka nad dziećmi i umieszczenie w strefie zastrzeżonej lotniska,</w:t>
      </w:r>
      <w:r w:rsidRPr="00772CDD">
        <w:rPr>
          <w:rStyle w:val="Odwoanieprzypisudolnego"/>
          <w:lang w:val="pl-PL"/>
        </w:rPr>
        <w:footnoteReference w:id="8"/>
      </w:r>
      <w:r w:rsidRPr="00772CDD">
        <w:rPr>
          <w:lang w:val="pl-PL"/>
        </w:rPr>
        <w:t xml:space="preserve"> </w:t>
      </w:r>
      <w:r w:rsidR="00CC5C8A" w:rsidRPr="00772CDD">
        <w:rPr>
          <w:lang w:val="pl-PL"/>
        </w:rPr>
        <w:t>jak również przewożenie mimo woli.</w:t>
      </w:r>
      <w:r w:rsidRPr="00772CDD">
        <w:rPr>
          <w:rStyle w:val="Odwoanieprzypisudolnego"/>
          <w:lang w:val="pl-PL"/>
        </w:rPr>
        <w:footnoteReference w:id="9"/>
      </w:r>
      <w:r w:rsidRPr="00772CDD">
        <w:rPr>
          <w:rStyle w:val="Odwoanieprzypisudolnego"/>
          <w:szCs w:val="24"/>
          <w:lang w:val="pl-PL"/>
        </w:rPr>
        <w:t xml:space="preserve"> </w:t>
      </w:r>
      <w:r w:rsidRPr="00772CDD">
        <w:rPr>
          <w:lang w:val="pl-PL"/>
        </w:rPr>
        <w:t>Obejmują one również pewne dalsze ograniczenia stosowane wobec już zatrzymanych osób, na przykład, karcer lub wykorzystanie urządzeń przetrzymujących.</w:t>
      </w:r>
      <w:r w:rsidRPr="00772CDD">
        <w:rPr>
          <w:rStyle w:val="Odwoanieprzypisudolnego"/>
          <w:lang w:val="pl-PL"/>
        </w:rPr>
        <w:footnoteReference w:id="10"/>
      </w:r>
      <w:r w:rsidRPr="00772CDD">
        <w:rPr>
          <w:lang w:val="pl-PL"/>
        </w:rPr>
        <w:t xml:space="preserve"> Podczas służby wojskowej ograniczenia, które byłyby równoznaczne z pozbawieniem wolności w przypadku osób cywilnych mogą nie stanowić pozbawienia wolności jeśli nie przekraczają wymogów zwykłej służby wojskowej lub nie odbiegają od normalnych warunków życia w ramach sił zbrojnych danego Państwa-strony.</w:t>
      </w:r>
      <w:r w:rsidRPr="00772CDD">
        <w:rPr>
          <w:rStyle w:val="Odwoanieprzypisudolnego"/>
          <w:lang w:val="pl-PL"/>
        </w:rPr>
        <w:footnoteReference w:id="11"/>
      </w:r>
      <w:r w:rsidRPr="00772CDD">
        <w:rPr>
          <w:rStyle w:val="Odwoanieprzypisudolnego"/>
          <w:szCs w:val="24"/>
          <w:lang w:val="pl-PL"/>
        </w:rPr>
        <w:t xml:space="preserve"> </w:t>
      </w:r>
    </w:p>
    <w:p w14:paraId="1395E23A" w14:textId="77777777" w:rsidR="007814B2" w:rsidRPr="00772CDD" w:rsidRDefault="007814B2" w:rsidP="00677648">
      <w:pPr>
        <w:pStyle w:val="SingleTxtG"/>
        <w:numPr>
          <w:ilvl w:val="0"/>
          <w:numId w:val="9"/>
        </w:numPr>
        <w:ind w:left="1134" w:firstLine="0"/>
        <w:rPr>
          <w:lang w:val="pl-PL"/>
        </w:rPr>
      </w:pPr>
      <w:r w:rsidRPr="00772CDD">
        <w:rPr>
          <w:lang w:val="pl-PL"/>
        </w:rPr>
        <w:t>Pozbawienie wolności osobistej wymaga braku dobrowolnej zgody. Osoby, które dobrowolnie udają się na komisariat, aby wziąć udział w śledztwie i które zdają sobie sprawę, że mogą wyjść w dowolnym momencie nie są pozbawione wolności.</w:t>
      </w:r>
      <w:r w:rsidRPr="00772CDD">
        <w:rPr>
          <w:rStyle w:val="Odwoanieprzypisudolnego"/>
          <w:lang w:val="pl-PL"/>
        </w:rPr>
        <w:footnoteReference w:id="12"/>
      </w:r>
      <w:r w:rsidRPr="00772CDD">
        <w:rPr>
          <w:rStyle w:val="Odwoanieprzypisudolnego"/>
          <w:szCs w:val="24"/>
          <w:lang w:val="pl-PL"/>
        </w:rPr>
        <w:t xml:space="preserve"> </w:t>
      </w:r>
    </w:p>
    <w:p w14:paraId="78148224" w14:textId="77777777" w:rsidR="007814B2" w:rsidRPr="00772CDD" w:rsidRDefault="007814B2" w:rsidP="00677648">
      <w:pPr>
        <w:pStyle w:val="SingleTxtG"/>
        <w:numPr>
          <w:ilvl w:val="0"/>
          <w:numId w:val="9"/>
        </w:numPr>
        <w:ind w:left="1134" w:firstLine="0"/>
        <w:rPr>
          <w:b/>
          <w:szCs w:val="24"/>
          <w:lang w:val="pl-PL"/>
        </w:rPr>
      </w:pPr>
      <w:r w:rsidRPr="00772CDD">
        <w:rPr>
          <w:lang w:val="pl-PL"/>
        </w:rPr>
        <w:t>Państwa-strony mają obowiązek podjęcia właściwych środków w celu ochrony prawa do wolności osobistej przeciwko jej pozbawieniu przez osoby trzecie.</w:t>
      </w:r>
      <w:r w:rsidRPr="00772CDD">
        <w:rPr>
          <w:rStyle w:val="Odwoanieprzypisudolnego"/>
          <w:lang w:val="pl-PL"/>
        </w:rPr>
        <w:footnoteReference w:id="13"/>
      </w:r>
      <w:r w:rsidR="0064060F" w:rsidRPr="00772CDD">
        <w:rPr>
          <w:lang w:val="pl-PL"/>
        </w:rPr>
        <w:t>Państwa-strony muszą chronić jednostki przed uprowadzeniem lub przetrzymywaniem przez przestępców lub nieregularne grupy, w tym grupy uzbrojone lub terrorystyczne działające na ich terytorium. Muszą również chronić jednostki przed bezprawnym pozbawieniem wolności przez legalne organizacje, takie jak pracodawcy, szkoły i szpitale. Państwa-strony powinny dołożyć wszelkich starań do podjęcia odpowiednich środków w celu ochrony osób przed pozbawieniem wolności przez działania innych Państw na ich terytorium.</w:t>
      </w:r>
      <w:r w:rsidRPr="00772CDD">
        <w:rPr>
          <w:rStyle w:val="Odwoanieprzypisudolnego"/>
          <w:lang w:val="pl-PL"/>
        </w:rPr>
        <w:footnoteReference w:id="14"/>
      </w:r>
      <w:r w:rsidRPr="00772CDD" w:rsidDel="000B35DD">
        <w:rPr>
          <w:rStyle w:val="Odwoanieprzypisudolnego"/>
          <w:szCs w:val="24"/>
          <w:lang w:val="pl-PL"/>
        </w:rPr>
        <w:t xml:space="preserve"> </w:t>
      </w:r>
    </w:p>
    <w:p w14:paraId="45D18C53" w14:textId="77777777" w:rsidR="007814B2" w:rsidRPr="00772CDD" w:rsidRDefault="007814B2" w:rsidP="00106189">
      <w:pPr>
        <w:pStyle w:val="SingleTxtG"/>
        <w:numPr>
          <w:ilvl w:val="0"/>
          <w:numId w:val="9"/>
        </w:numPr>
        <w:ind w:left="1134" w:firstLine="0"/>
        <w:rPr>
          <w:lang w:val="pl-PL"/>
        </w:rPr>
      </w:pPr>
      <w:r w:rsidRPr="00772CDD">
        <w:rPr>
          <w:lang w:val="pl-PL"/>
        </w:rPr>
        <w:t>Jeśli osoby fizyczne lub podmioty zostaną przez Państwo-stronę uprawnione lub upoważnione do wykonywania aresztowań lub zatrzymań, Państwo-strona pozostaje odpowiedzialne za przestrzeganie i zapewnienie przestrzegania artykułu 9. Państwo-strona musi rygorystycznie ograniczać te uprawnienia oraz zapewniać ścisłą i skuteczną kontrolę w celu zapewnienia, że uprawnienia te nie są nadużywane i nie prowadzą do samowolnego lub niezgodnego z prawem zatrzymania lub aresztowania. W razie wystąpienia samowolnego lub niezgodnego z prawem zatrzymania lub aresztowania musi również zapewnić skuteczne środki zaradcze dla ofiar.</w:t>
      </w:r>
      <w:r w:rsidRPr="00772CDD">
        <w:rPr>
          <w:rStyle w:val="Odwoanieprzypisudolnego"/>
          <w:lang w:val="pl-PL"/>
        </w:rPr>
        <w:footnoteReference w:id="15"/>
      </w:r>
      <w:r w:rsidRPr="00772CDD">
        <w:rPr>
          <w:lang w:val="pl-PL"/>
        </w:rPr>
        <w:t xml:space="preserve"> </w:t>
      </w:r>
    </w:p>
    <w:p w14:paraId="13011FB3" w14:textId="77777777" w:rsidR="007814B2" w:rsidRPr="00772CDD" w:rsidRDefault="007814B2" w:rsidP="00FB461A">
      <w:pPr>
        <w:pStyle w:val="SingleTxtG"/>
        <w:numPr>
          <w:ilvl w:val="0"/>
          <w:numId w:val="9"/>
        </w:numPr>
        <w:ind w:left="1134" w:firstLine="0"/>
        <w:rPr>
          <w:bCs/>
          <w:lang w:val="pl-PL"/>
        </w:rPr>
      </w:pPr>
      <w:r w:rsidRPr="00772CDD">
        <w:rPr>
          <w:lang w:val="pl-PL"/>
        </w:rPr>
        <w:t xml:space="preserve">Prawo do bezpieczeństwa osobistego chroni jednostki przed celowym spowodowaniem uszkodzenia ciała lub rozstroju zdrowia psychicznego, niezależnie od </w:t>
      </w:r>
      <w:r w:rsidRPr="00772CDD">
        <w:rPr>
          <w:lang w:val="pl-PL"/>
        </w:rPr>
        <w:lastRenderedPageBreak/>
        <w:t>tego, czy ofiara została uwięziona czy nie. Przykładowo, urzędnicy Państw-stron naruszają prawo do bezpieczeństwa osobistego gdy w sposób nieuzasadniony powodują uszkodzenie ciała.</w:t>
      </w:r>
      <w:r w:rsidRPr="00772CDD">
        <w:rPr>
          <w:rStyle w:val="Odwoanieprzypisudolnego"/>
          <w:lang w:val="pl-PL"/>
        </w:rPr>
        <w:footnoteReference w:id="16"/>
      </w:r>
      <w:r w:rsidRPr="00772CDD">
        <w:rPr>
          <w:rStyle w:val="Odwoanieprzypisudolnego"/>
          <w:lang w:val="pl-PL"/>
        </w:rPr>
        <w:t xml:space="preserve"> </w:t>
      </w:r>
      <w:r w:rsidRPr="00772CDD">
        <w:rPr>
          <w:lang w:val="pl-PL"/>
        </w:rPr>
        <w:t>Prawo do bezpieczeństwa osobistego zobowiązuje również Państwa-strony do podjęcia właściwych środków w odpowiedzi na groźby śmierci składane w sferze publicznej, a bardziej ogólnie, do ochrony osób przed przewidywalnymi zagrożeniami dla życia lub nietykalności cielesnej ze strony wszelkich podmiotów rządowych lub prywatnych.</w:t>
      </w:r>
      <w:r w:rsidRPr="00772CDD">
        <w:rPr>
          <w:rStyle w:val="Odwoanieprzypisudolnego"/>
          <w:lang w:val="pl-PL"/>
        </w:rPr>
        <w:footnoteReference w:id="17"/>
      </w:r>
      <w:r w:rsidRPr="00772CDD">
        <w:rPr>
          <w:lang w:val="pl-PL"/>
        </w:rPr>
        <w:t xml:space="preserve"> Państwa-strony muszą podjąć oba rodzaje środków w celu zapobieżenia przyszłym szkodom oraz środki retrospektywne, takie jak egzekwowanie prawa karnego, w odpowiedzi na szkody przeszłe. Przykładowo, Państwa-strony muszą właściwie reagować na praktyki przemocy przeciwko grupom ofiar, przykładowo, zastraszanie obrońców praw człowieka i dziennikarzy, odwet przeciwko świadkom, przemoc wobec kobiet, w tym przemoc domową, nękanie poborowych w siłach zbrojnych, przemoc wobec dzieci, przemoc wobec osób ze względu na ich orientację seksualną lub tożsamość płciową,</w:t>
      </w:r>
      <w:r w:rsidRPr="00772CDD">
        <w:rPr>
          <w:rStyle w:val="Odwoanieprzypisudolnego"/>
          <w:lang w:val="pl-PL"/>
        </w:rPr>
        <w:footnoteReference w:id="18"/>
      </w:r>
      <w:r w:rsidRPr="00772CDD">
        <w:rPr>
          <w:lang w:val="pl-PL"/>
        </w:rPr>
        <w:t xml:space="preserve"> a także przemoc wobec osób niepełnosprawnych.</w:t>
      </w:r>
      <w:r w:rsidRPr="00772CDD">
        <w:rPr>
          <w:rStyle w:val="Odwoanieprzypisudolnego"/>
          <w:lang w:val="pl-PL"/>
        </w:rPr>
        <w:footnoteReference w:id="19"/>
      </w:r>
      <w:r w:rsidRPr="00772CDD">
        <w:rPr>
          <w:lang w:val="pl-PL"/>
        </w:rPr>
        <w:t xml:space="preserve"> Powinny również zapobiegać i rekompensować nieuzasadnione użycie siły przez organy odpowiedzialne za egzekwowanie prawa</w:t>
      </w:r>
      <w:r w:rsidRPr="00772CDD">
        <w:rPr>
          <w:rStyle w:val="Odwoanieprzypisudolnego"/>
          <w:lang w:val="pl-PL"/>
        </w:rPr>
        <w:footnoteReference w:id="20"/>
      </w:r>
      <w:r w:rsidRPr="00772CDD">
        <w:rPr>
          <w:lang w:val="pl-PL"/>
        </w:rPr>
        <w:t xml:space="preserve"> oraz chronić społeczeństwo przed nadużyciami ze strony prywatnych sił bezpieczeństwa i zagrożeniami stwarzanymi przez nadmierną dostępność broni palnej.</w:t>
      </w:r>
      <w:r w:rsidRPr="00772CDD">
        <w:rPr>
          <w:rStyle w:val="Odwoanieprzypisudolnego"/>
          <w:lang w:val="pl-PL"/>
        </w:rPr>
        <w:footnoteReference w:id="21"/>
      </w:r>
      <w:r w:rsidRPr="00772CDD">
        <w:rPr>
          <w:lang w:val="pl-PL"/>
        </w:rPr>
        <w:t xml:space="preserve"> Prawo do bezpieczeństwa osobistego nie odnosi się do wszystkich zagrożeń wobec zdrowia fizycznego i psychicznego nie ma związku z oddziaływaniem zdrowotnym bycia przedmiotem postępowania cywilnego lub karnego.</w:t>
      </w:r>
      <w:r w:rsidRPr="00772CDD">
        <w:rPr>
          <w:rStyle w:val="Odwoanieprzypisudolnego"/>
          <w:lang w:val="pl-PL"/>
        </w:rPr>
        <w:footnoteReference w:id="22"/>
      </w:r>
    </w:p>
    <w:p w14:paraId="2D29DDCF" w14:textId="77777777" w:rsidR="007814B2" w:rsidRPr="00772CDD" w:rsidRDefault="007814B2" w:rsidP="00EF7CB3">
      <w:pPr>
        <w:pStyle w:val="HChG"/>
        <w:outlineLvl w:val="0"/>
        <w:rPr>
          <w:lang w:val="pl-PL"/>
        </w:rPr>
      </w:pPr>
      <w:r w:rsidRPr="00772CDD">
        <w:rPr>
          <w:lang w:val="pl-PL"/>
        </w:rPr>
        <w:tab/>
        <w:t>II.</w:t>
      </w:r>
      <w:r w:rsidRPr="00772CDD">
        <w:rPr>
          <w:lang w:val="pl-PL"/>
        </w:rPr>
        <w:tab/>
        <w:t>Samowolne zatrzymanie i bezprawne zatrzymanie</w:t>
      </w:r>
    </w:p>
    <w:p w14:paraId="3A2F287D" w14:textId="77777777" w:rsidR="007814B2" w:rsidRPr="00772CDD" w:rsidRDefault="007814B2" w:rsidP="00677648">
      <w:pPr>
        <w:pStyle w:val="SingleTxtG"/>
        <w:numPr>
          <w:ilvl w:val="0"/>
          <w:numId w:val="9"/>
        </w:numPr>
        <w:ind w:left="1134" w:firstLine="0"/>
        <w:rPr>
          <w:lang w:val="pl-PL"/>
        </w:rPr>
      </w:pPr>
      <w:r w:rsidRPr="00772CDD">
        <w:rPr>
          <w:lang w:val="pl-PL"/>
        </w:rPr>
        <w:t>Prawo do wolności osobistej nie jest absolutne. Artykuł 9 uznaje, że w niektórych sytuacjach pozbawienie wolności jest uzasadnione, przykładowo, podczas egzekwowania prawa karnego. Ustęp 1 wymaga, aby pozbawienie wolności nie było samowolne i musi być przeprowadzone z poszanowaniem zasady rządów prawa.</w:t>
      </w:r>
    </w:p>
    <w:p w14:paraId="3E311887" w14:textId="77777777" w:rsidR="007814B2" w:rsidRPr="00772CDD" w:rsidRDefault="007814B2" w:rsidP="00B62294">
      <w:pPr>
        <w:pStyle w:val="SingleTxtG"/>
        <w:numPr>
          <w:ilvl w:val="0"/>
          <w:numId w:val="9"/>
        </w:numPr>
        <w:ind w:left="1134" w:firstLine="0"/>
        <w:rPr>
          <w:lang w:val="pl-PL"/>
        </w:rPr>
      </w:pPr>
      <w:r w:rsidRPr="00772CDD">
        <w:rPr>
          <w:lang w:val="pl-PL"/>
        </w:rPr>
        <w:t>Drugie zdanie ustępu 1 zakazuje samowolnego aresztowania i zatrzymania, podczas gdy trzecie zdanie zabrania bezprawnego pozbawienia wolności, tj. pozbawienia wolności, które nie zostało zarządzone na podstawie i zgodnie z procedurami ustanowionymi przez prawo. Oba te zakazy nakładają się na siebie w ten sposób, że aresztowanie lub zatrzymanie może nastąpić z naruszeniem obowiązującego prawa, ale nie być samowolne, albo dozwolone prawem, ale samowolne, albo zarówno samowolne, jak i niezgodne z prawem. Aresztowanie lub zatrzymanie pozbawione podstawy prawnej również jest samowolne.</w:t>
      </w:r>
      <w:r w:rsidRPr="00772CDD">
        <w:rPr>
          <w:rStyle w:val="Odwoanieprzypisudolnego"/>
          <w:lang w:val="pl-PL"/>
        </w:rPr>
        <w:footnoteReference w:id="23"/>
      </w:r>
      <w:r w:rsidRPr="00772CDD">
        <w:rPr>
          <w:lang w:val="pl-PL"/>
        </w:rPr>
        <w:t xml:space="preserve"> Nieupoważnione przetrzymywanie więźniów po zakończeniu wyroku jest samowolne, jak również bezprawne;</w:t>
      </w:r>
      <w:r w:rsidRPr="00772CDD">
        <w:rPr>
          <w:rStyle w:val="Odwoanieprzypisudolnego"/>
          <w:lang w:val="pl-PL"/>
        </w:rPr>
        <w:footnoteReference w:id="24"/>
      </w:r>
      <w:r w:rsidRPr="00772CDD">
        <w:rPr>
          <w:lang w:val="pl-PL"/>
        </w:rPr>
        <w:t xml:space="preserve"> to samo dotyczy nieuprawnionego przedłużenia </w:t>
      </w:r>
      <w:r w:rsidRPr="00772CDD">
        <w:rPr>
          <w:lang w:val="pl-PL"/>
        </w:rPr>
        <w:lastRenderedPageBreak/>
        <w:t>innych form pozbawienia wolności. Dalsze zatrzymywanie więźniów wbrew sądowemu nakazowi ich wypuszczenia jest samowolne, a także bezprawne.</w:t>
      </w:r>
      <w:r w:rsidRPr="00772CDD">
        <w:rPr>
          <w:rStyle w:val="Odwoanieprzypisudolnego"/>
          <w:lang w:val="pl-PL"/>
        </w:rPr>
        <w:footnoteReference w:id="25"/>
      </w:r>
      <w:r w:rsidRPr="00772CDD">
        <w:rPr>
          <w:lang w:val="pl-PL"/>
        </w:rPr>
        <w:t xml:space="preserve"> </w:t>
      </w:r>
    </w:p>
    <w:p w14:paraId="7C86DA11" w14:textId="77777777" w:rsidR="007814B2" w:rsidRPr="00772CDD" w:rsidRDefault="007814B2" w:rsidP="00677648">
      <w:pPr>
        <w:pStyle w:val="SingleTxtG"/>
        <w:numPr>
          <w:ilvl w:val="0"/>
          <w:numId w:val="9"/>
        </w:numPr>
        <w:ind w:left="1134" w:firstLine="0"/>
        <w:rPr>
          <w:lang w:val="pl-PL"/>
        </w:rPr>
      </w:pPr>
      <w:r w:rsidRPr="00772CDD">
        <w:rPr>
          <w:lang w:val="pl-PL"/>
        </w:rPr>
        <w:t>Aresztowanie lub zatrzymanie może być upoważnione przepisami prawa krajowego i mimo to być samowolne.  Pojęcia "samowoli" nie należy utożsamiać z "naruszeniem prawa", lecz interpretować szerzej, uwzględniając elementy nieadekwatności, niesprawiedliwości, braku przewidywalności i poszanowania dla zasady rzetelnego procesu,</w:t>
      </w:r>
      <w:r w:rsidRPr="00772CDD">
        <w:rPr>
          <w:rStyle w:val="Odwoanieprzypisudolnego"/>
          <w:lang w:val="pl-PL"/>
        </w:rPr>
        <w:footnoteReference w:id="26"/>
      </w:r>
      <w:r w:rsidRPr="00772CDD">
        <w:rPr>
          <w:lang w:val="pl-PL"/>
        </w:rPr>
        <w:t xml:space="preserve"> a także elementów zasadności, konieczności i proporcjonalności. Przykładowo, zatrzymanie w areszcie po przedstawieniu zarzutów karnych musi być uzasadniony i konieczny w każdych okolicznościach.</w:t>
      </w:r>
      <w:r w:rsidRPr="00772CDD">
        <w:rPr>
          <w:rStyle w:val="Odwoanieprzypisudolnego"/>
          <w:lang w:val="pl-PL"/>
        </w:rPr>
        <w:footnoteReference w:id="27"/>
      </w:r>
      <w:r w:rsidRPr="00772CDD">
        <w:rPr>
          <w:lang w:val="pl-PL"/>
        </w:rPr>
        <w:t xml:space="preserve"> Z wyjątkiem sądowych decyzji określających ramy czasowe, decyzja o pozbawieniu osoby wolności w jakiejkolwiek formie jest samowolna, jeśli nie podlega okresowej ponownej ocenie w zakresie uzasadnienia dla dalszego zatrzymania.</w:t>
      </w:r>
      <w:r w:rsidRPr="00772CDD">
        <w:rPr>
          <w:rStyle w:val="Odwoanieprzypisudolnego"/>
          <w:lang w:val="pl-PL"/>
        </w:rPr>
        <w:footnoteReference w:id="28"/>
      </w:r>
    </w:p>
    <w:p w14:paraId="5C68B503" w14:textId="77777777" w:rsidR="007814B2" w:rsidRPr="00772CDD" w:rsidRDefault="007814B2" w:rsidP="00106189">
      <w:pPr>
        <w:pStyle w:val="SingleTxtG"/>
        <w:numPr>
          <w:ilvl w:val="0"/>
          <w:numId w:val="9"/>
        </w:numPr>
        <w:ind w:left="1134" w:firstLine="0"/>
        <w:rPr>
          <w:lang w:val="pl-PL"/>
        </w:rPr>
      </w:pPr>
      <w:r w:rsidRPr="00772CDD">
        <w:rPr>
          <w:lang w:val="pl-PL"/>
        </w:rPr>
        <w:t>Termin "aresztowanie" odnosi się do wszelkich form zatrzymania osoby, które rozpoczyna pozbawienie wolności, a termin "zatrzymanie" dotyczy pozbawienia wolności, które rozpoczyna się aresztowaniem i trwa do momentu wypuszczenia.</w:t>
      </w:r>
      <w:r w:rsidRPr="00772CDD">
        <w:rPr>
          <w:rStyle w:val="Odwoanieprzypisudolnego"/>
          <w:lang w:val="pl-PL"/>
        </w:rPr>
        <w:footnoteReference w:id="29"/>
      </w:r>
      <w:r w:rsidRPr="00772CDD">
        <w:rPr>
          <w:lang w:val="pl-PL"/>
        </w:rPr>
        <w:t>Aresztowanie w rozumieniu artykułu 9 nie musi obejmować formalnego aresztowania zgodnego z definicją obowiązującą w prawie krajowym.</w:t>
      </w:r>
      <w:r w:rsidRPr="00772CDD">
        <w:rPr>
          <w:rStyle w:val="Odwoanieprzypisudolnego"/>
          <w:lang w:val="pl-PL"/>
        </w:rPr>
        <w:footnoteReference w:id="30"/>
      </w:r>
      <w:r w:rsidRPr="00772CDD">
        <w:rPr>
          <w:lang w:val="pl-PL"/>
        </w:rPr>
        <w:t xml:space="preserve"> Jeśli na osobę już zatrzymaną nałożono dodatkowe środki pozbawienia wolności, takie jak zatrzymanie z powodu niepowiązanych zarzutów karnych, rozpoczęcie tego pozbawienia wolności również stanowi aresztowanie.</w:t>
      </w:r>
      <w:r w:rsidRPr="00772CDD">
        <w:rPr>
          <w:rStyle w:val="Odwoanieprzypisudolnego"/>
          <w:lang w:val="pl-PL"/>
        </w:rPr>
        <w:footnoteReference w:id="31"/>
      </w:r>
    </w:p>
    <w:p w14:paraId="37F5113A" w14:textId="77777777" w:rsidR="007814B2" w:rsidRPr="00772CDD" w:rsidRDefault="007814B2" w:rsidP="00677648">
      <w:pPr>
        <w:pStyle w:val="SingleTxtG"/>
        <w:numPr>
          <w:ilvl w:val="0"/>
          <w:numId w:val="9"/>
        </w:numPr>
        <w:ind w:left="1134" w:firstLine="0"/>
        <w:rPr>
          <w:lang w:val="pl-PL"/>
        </w:rPr>
      </w:pPr>
      <w:r w:rsidRPr="00772CDD">
        <w:rPr>
          <w:lang w:val="pl-PL"/>
        </w:rPr>
        <w:t>Pakt nie wylicza dopuszczalnych powodów pozbawienia wolności. Artykuł 9 wyraźnie uznaje, że osoby mogą być zatrzymywane na podstawie zarzutów karnych, a artykuł 11 wyraźnie zakazuje więzienia na podstawie niezdolności do wypełnienia zobowiązań wynikających z umowy.</w:t>
      </w:r>
      <w:r w:rsidRPr="00772CDD">
        <w:rPr>
          <w:rStyle w:val="Odwoanieprzypisudolnego"/>
          <w:lang w:val="pl-PL"/>
        </w:rPr>
        <w:footnoteReference w:id="32"/>
      </w:r>
      <w:r w:rsidRPr="00772CDD">
        <w:rPr>
          <w:lang w:val="pl-PL"/>
        </w:rPr>
        <w:t xml:space="preserve"> Inne rozwiązania obejmujące pozbawienie wolności muszą również posiadać umocowanie w prawie i muszą im towarzyszyć procedury uniemożliwiające samowolne zatrzymanie. Podstawy i procedury przewidziane przez prawo nie mogą nieść ze sobą destrukcyjnych konsekwencji dla prawa do wolności osobistej.</w:t>
      </w:r>
      <w:r w:rsidRPr="00772CDD">
        <w:rPr>
          <w:rStyle w:val="Odwoanieprzypisudolnego"/>
          <w:lang w:val="pl-PL"/>
        </w:rPr>
        <w:footnoteReference w:id="33"/>
      </w:r>
      <w:r w:rsidRPr="00772CDD">
        <w:rPr>
          <w:lang w:val="pl-PL"/>
        </w:rPr>
        <w:t xml:space="preserve"> Rozwiązania te nie mogą wymykać się restrykcjom nałożonym na wymiar sprawiedliwości poprzez ustanowienie ekwiwalentu kary kryminalnej pozbawionej stosownych zabezpieczeń.</w:t>
      </w:r>
      <w:r w:rsidRPr="00772CDD">
        <w:rPr>
          <w:rStyle w:val="Odwoanieprzypisudolnego"/>
          <w:lang w:val="pl-PL"/>
        </w:rPr>
        <w:footnoteReference w:id="34"/>
      </w:r>
      <w:r w:rsidRPr="00772CDD">
        <w:rPr>
          <w:lang w:val="pl-PL"/>
        </w:rPr>
        <w:t xml:space="preserve"> Choć warunki zatrzymania określane są przede wszystkim przez artykuły 7 i 10, zatrzymanie może być samowolne, jeśli sposób w jaki traktowani są więźniowie nie odnosi się do celu, dla którego są oni rzekomo zatrzymani.</w:t>
      </w:r>
      <w:r w:rsidRPr="00772CDD">
        <w:rPr>
          <w:rStyle w:val="Odwoanieprzypisudolnego"/>
          <w:lang w:val="pl-PL"/>
        </w:rPr>
        <w:footnoteReference w:id="35"/>
      </w:r>
      <w:r w:rsidRPr="00772CDD">
        <w:rPr>
          <w:lang w:val="pl-PL"/>
        </w:rPr>
        <w:t xml:space="preserve"> Nałożenie </w:t>
      </w:r>
      <w:r w:rsidRPr="00772CDD">
        <w:rPr>
          <w:lang w:val="pl-PL"/>
        </w:rPr>
        <w:lastRenderedPageBreak/>
        <w:t>drakońskiej kary pozbawienia wolności za obrazę sądu bez stosownego wyjaśnienia i niezależnych zabezpieczeń proceduralnych stanowi działanie samowolne.</w:t>
      </w:r>
      <w:r w:rsidRPr="00772CDD">
        <w:rPr>
          <w:rStyle w:val="Odwoanieprzypisudolnego"/>
          <w:lang w:val="pl-PL"/>
        </w:rPr>
        <w:footnoteReference w:id="36"/>
      </w:r>
    </w:p>
    <w:p w14:paraId="4FA2AF71" w14:textId="77777777" w:rsidR="00194D50" w:rsidRPr="00772CDD" w:rsidRDefault="007814B2" w:rsidP="00106189">
      <w:pPr>
        <w:pStyle w:val="SingleTxtG"/>
        <w:numPr>
          <w:ilvl w:val="0"/>
          <w:numId w:val="9"/>
        </w:numPr>
        <w:ind w:left="1134" w:firstLine="0"/>
        <w:rPr>
          <w:lang w:val="pl-PL"/>
        </w:rPr>
      </w:pPr>
      <w:r w:rsidRPr="00772CDD">
        <w:rPr>
          <w:lang w:val="pl-PL"/>
        </w:rPr>
        <w:t>W zakresie, w jakim Państwa-strony nakładają zatrzymanie zabezpieczające (znane również jako zatrzymanie administracyjne lub internowanie) wykraczające poza ściganie przestępstw,</w:t>
      </w:r>
      <w:r w:rsidRPr="00772CDD">
        <w:rPr>
          <w:rStyle w:val="Odwoanieprzypisudolnego"/>
          <w:lang w:val="pl-PL"/>
        </w:rPr>
        <w:footnoteReference w:id="37"/>
      </w:r>
      <w:r w:rsidRPr="00772CDD">
        <w:rPr>
          <w:lang w:val="pl-PL"/>
        </w:rPr>
        <w:t xml:space="preserve"> Komitet uznaje, że takie zatrzymanie stanowi poważne ryzyko samowolnego pozbawienia wolności.</w:t>
      </w:r>
      <w:r w:rsidRPr="00772CDD">
        <w:rPr>
          <w:rStyle w:val="Odwoanieprzypisudolnego"/>
          <w:lang w:val="pl-PL"/>
        </w:rPr>
        <w:footnoteReference w:id="38"/>
      </w:r>
      <w:r w:rsidR="00D022D0" w:rsidRPr="00772CDD">
        <w:rPr>
          <w:lang w:val="pl-PL"/>
        </w:rPr>
        <w:t xml:space="preserve"> </w:t>
      </w:r>
      <w:r w:rsidRPr="00772CDD">
        <w:rPr>
          <w:lang w:val="pl-PL"/>
        </w:rPr>
        <w:t>Takie zatrzymanie uznane zostałoby za zatrzymanie samowolne, gdyby istniały inne skuteczne środki przeciwdziałania zagrożeniu, w tym te dostępne dla systemu wymiaru sprawiedliwości. Jeśli, w najbardziej wyjątkowych okolicznościach, w celu uzasadnienia zatrzymania osób uznawanych za stanowiące zagrożenie przywoływane jest obecne, bezpośrednie i bezwzględne zagrożenie , ciężar dowodu tego, czy dana jednostka stanowi takie zagrożenie i nie można wobec niej zastosować środków alternatywnych, leży po stronie Państw-stron, a ciężar ten wzrasta wraz z długością okresu zatrzymania. Państwa-strony muszą również wykazać, że zatrzymanie trwa nie dłużej, niż jest to absolutnie konieczne; że całkowita długość potencjalnego aresztu jest ograniczona i że we wszystkich przypadkach w pełni szanują gwarancje przewidziane w artykule 9. Szybkie i regularne przeglądy dokonywane przez sądy lub inne trybunały posiadające te same atrybuty niezależności i bezstronności co wymiar sprawiedliwości są niezbędnym gwarantem tych warunków, podobnie jak dostęp do niezależnych porad prawnych, najlepiej wybieranych przez zatrzymanego, a także przedstawianie więźniowi, przynajmniej, istoty materiału dowodowego, na podstawie którego podjęta została decyzja.</w:t>
      </w:r>
      <w:r w:rsidRPr="00772CDD">
        <w:rPr>
          <w:rStyle w:val="Odwoanieprzypisudolnego"/>
          <w:lang w:val="pl-PL"/>
        </w:rPr>
        <w:footnoteReference w:id="39"/>
      </w:r>
      <w:r w:rsidRPr="00772CDD">
        <w:rPr>
          <w:lang w:val="pl-PL"/>
        </w:rPr>
        <w:t xml:space="preserve"> </w:t>
      </w:r>
    </w:p>
    <w:p w14:paraId="2F3165EE" w14:textId="77777777" w:rsidR="007814B2" w:rsidRPr="00772CDD" w:rsidRDefault="007814B2" w:rsidP="00677648">
      <w:pPr>
        <w:pStyle w:val="SingleTxtG"/>
        <w:numPr>
          <w:ilvl w:val="0"/>
          <w:numId w:val="9"/>
        </w:numPr>
        <w:ind w:left="1134" w:firstLine="0"/>
        <w:rPr>
          <w:lang w:val="pl-PL"/>
        </w:rPr>
      </w:pPr>
      <w:r w:rsidRPr="00772CDD">
        <w:rPr>
          <w:lang w:val="pl-PL"/>
        </w:rPr>
        <w:t xml:space="preserve">Graniczne przykłady samowolnego zatrzymania obejmują zatrzymywanie członków rodziny osoby podejrzanej o popełnienie przestępstwa, którzy sami nie są o nic oskarżeni, przetrzymywanie zakładników i aresztowania na potrzeby wymuszania łapówek lub inne cele przestępcze. </w:t>
      </w:r>
    </w:p>
    <w:p w14:paraId="15203A2C" w14:textId="77777777" w:rsidR="007814B2" w:rsidRPr="00772CDD" w:rsidRDefault="007814B2" w:rsidP="00677648">
      <w:pPr>
        <w:pStyle w:val="SingleTxtG"/>
        <w:numPr>
          <w:ilvl w:val="0"/>
          <w:numId w:val="9"/>
        </w:numPr>
        <w:ind w:left="1134" w:firstLine="0"/>
        <w:rPr>
          <w:lang w:val="pl-PL"/>
        </w:rPr>
      </w:pPr>
      <w:r w:rsidRPr="00772CDD">
        <w:rPr>
          <w:lang w:val="pl-PL"/>
        </w:rPr>
        <w:t>Aresztowanie lub zatrzymanie jako kara za prawowite wykonywanie praw gwarantowanych przez Pakt jest samowolne, w tym wolności poglądów i wyrażania opinii (art. 19),</w:t>
      </w:r>
      <w:r w:rsidRPr="00772CDD">
        <w:rPr>
          <w:rStyle w:val="Odwoanieprzypisudolnego"/>
          <w:lang w:val="pl-PL"/>
        </w:rPr>
        <w:footnoteReference w:id="40"/>
      </w:r>
      <w:r w:rsidRPr="00772CDD">
        <w:rPr>
          <w:lang w:val="pl-PL"/>
        </w:rPr>
        <w:t xml:space="preserve"> prawo do swobodnego zgromadzania się (art. 21), prawo do swobodnego stowarzyszania się (art. 22), wolność wyznania (art. 18) i prawo do prywatności (art. 17). Aresztowanie lub zatrzymanie oparte na dyskryminacyjnych podstawach, naruszając art. 2 ust. 1, art. 3 lub art. 26 również jest, co do zasady, samowolne.</w:t>
      </w:r>
      <w:r w:rsidRPr="00772CDD">
        <w:rPr>
          <w:rStyle w:val="Odwoanieprzypisudolnego"/>
          <w:lang w:val="pl-PL"/>
        </w:rPr>
        <w:footnoteReference w:id="41"/>
      </w:r>
      <w:r w:rsidRPr="00772CDD">
        <w:rPr>
          <w:lang w:val="pl-PL"/>
        </w:rPr>
        <w:t xml:space="preserve"> Karanie z mocą wsteczną poprzez zatrzymanie naruszające art. 15 stanowi samowolne zatrzymanie.</w:t>
      </w:r>
      <w:r w:rsidRPr="00772CDD">
        <w:rPr>
          <w:rStyle w:val="Odwoanieprzypisudolnego"/>
          <w:lang w:val="pl-PL"/>
        </w:rPr>
        <w:footnoteReference w:id="42"/>
      </w:r>
      <w:r w:rsidRPr="00772CDD">
        <w:rPr>
          <w:lang w:val="pl-PL"/>
        </w:rPr>
        <w:t xml:space="preserve"> Wymuszone zaginięcia naruszają wiele przepisów materialnych i proceduralnych Paktu i stanowią szczególnie kwalifikowaną formę samowolnego zatrzymania. Pozbawienie wolności po wyraźnie niesprawiedliwym procesie stanowi samowolę, ale nie każde naruszenie </w:t>
      </w:r>
      <w:r w:rsidRPr="00772CDD">
        <w:rPr>
          <w:lang w:val="pl-PL"/>
        </w:rPr>
        <w:lastRenderedPageBreak/>
        <w:t>szczególnych procesowych gwarancji dla oskarżonych zawartych w artykule 14 skutkuje samowolnym zatrzymaniem.</w:t>
      </w:r>
      <w:r w:rsidRPr="00772CDD">
        <w:rPr>
          <w:rStyle w:val="Odwoanieprzypisudolnego"/>
          <w:lang w:val="pl-PL"/>
        </w:rPr>
        <w:footnoteReference w:id="43"/>
      </w:r>
    </w:p>
    <w:p w14:paraId="1064743E" w14:textId="77777777" w:rsidR="007814B2" w:rsidRPr="00772CDD" w:rsidRDefault="007814B2" w:rsidP="00106189">
      <w:pPr>
        <w:pStyle w:val="SingleTxtG"/>
        <w:numPr>
          <w:ilvl w:val="0"/>
          <w:numId w:val="9"/>
        </w:numPr>
        <w:ind w:left="1134" w:firstLine="0"/>
        <w:rPr>
          <w:lang w:val="pl-PL"/>
        </w:rPr>
      </w:pPr>
      <w:r w:rsidRPr="00772CDD">
        <w:rPr>
          <w:lang w:val="pl-PL"/>
        </w:rPr>
        <w:t>Zatrzymanie na czas postępowania obejmującego kontrolę imigracyjną nie jest samo w sobie samowolne, ale zatrzymanie musi być uzasadnione jako racjonalne, konieczne i proporcjonalne w odniesieniu do okoliczności, a także musi podlegać ponownym ocenom w miarę trwania.</w:t>
      </w:r>
      <w:r w:rsidRPr="00772CDD">
        <w:rPr>
          <w:rStyle w:val="Odwoanieprzypisudolnego"/>
          <w:lang w:val="pl-PL"/>
        </w:rPr>
        <w:footnoteReference w:id="44"/>
      </w:r>
      <w:r w:rsidRPr="00772CDD">
        <w:rPr>
          <w:lang w:val="pl-PL"/>
        </w:rPr>
        <w:t>Osoby ubiegające się o azyl, które bezprawnie przekraczają granice Państwa-strony mogą być zatrzymane na krótki okres w celu udokumentowania ich przybycia, złożenia wniosków i ustalenia tożsamości, jeśli są co do niej wątpliwości.</w:t>
      </w:r>
      <w:r w:rsidRPr="00772CDD">
        <w:rPr>
          <w:rStyle w:val="Odwoanieprzypisudolnego"/>
          <w:lang w:val="pl-PL"/>
        </w:rPr>
        <w:footnoteReference w:id="45"/>
      </w:r>
      <w:r w:rsidRPr="00772CDD">
        <w:rPr>
          <w:lang w:val="pl-PL"/>
        </w:rPr>
        <w:t>Dalsze zatrzymanie na czas rozwiązywania problemu byłoby samowolne w braku konkretnych powodów dotyczących danej osoby, takich jak ryzyko ucieczki, zagrożenie popełnieniem przestępstwa wobec innych lub ryzyko popełnienia czynów skierowanych przeciwko bezpieczeństwu narodowemu.</w:t>
      </w:r>
      <w:r w:rsidRPr="00772CDD">
        <w:rPr>
          <w:rStyle w:val="Odwoanieprzypisudolnego"/>
          <w:lang w:val="pl-PL"/>
        </w:rPr>
        <w:footnoteReference w:id="46"/>
      </w:r>
      <w:r w:rsidRPr="00772CDD">
        <w:rPr>
          <w:lang w:val="pl-PL"/>
        </w:rPr>
        <w:t xml:space="preserve"> Decyzja musi w każdym przypadku uwzględniać istotne czynniki, a nie opierać się na wymogach przypisywanych szerokim kategoriom; musi brać pod uwagę mniej inwazyjne środki osiągnięcia tych samych celów, takie jak raportowanie zobowiązań, poręczeń i innych warunków zapobiegających ucieczce; musi również podlegać okresowej ponownej ocenie i kontroli sądowej.</w:t>
      </w:r>
      <w:r w:rsidRPr="00772CDD">
        <w:rPr>
          <w:rStyle w:val="Odwoanieprzypisudolnego"/>
          <w:lang w:val="pl-PL"/>
        </w:rPr>
        <w:footnoteReference w:id="47"/>
      </w:r>
      <w:r w:rsidRPr="00772CDD">
        <w:rPr>
          <w:lang w:val="pl-PL"/>
        </w:rPr>
        <w:t>Decyzje dotyczące zatrzymania imigrantów muszą również brać pod uwagę efekty zatrzymania na ich zdrowie fizyczne i psychiczne.</w:t>
      </w:r>
      <w:r w:rsidRPr="00772CDD">
        <w:rPr>
          <w:rStyle w:val="Odwoanieprzypisudolnego"/>
          <w:lang w:val="pl-PL"/>
        </w:rPr>
        <w:footnoteReference w:id="48"/>
      </w:r>
      <w:r w:rsidRPr="00772CDD">
        <w:rPr>
          <w:lang w:val="pl-PL"/>
        </w:rPr>
        <w:t xml:space="preserve"> Wszelkie niezbędne zatrzymania powinny odbywać się w odpowiednich i higienicznych obiektach, a nie w więzieniach. Niezdolność Państwa-strony do wydalenia osoby z powodu jej bezpaństwowości lub innych powodów nie uzasadnia bezterminowego zatrzymania.</w:t>
      </w:r>
      <w:r w:rsidRPr="00772CDD">
        <w:rPr>
          <w:rStyle w:val="Odwoanieprzypisudolnego"/>
          <w:lang w:val="pl-PL"/>
        </w:rPr>
        <w:footnoteReference w:id="49"/>
      </w:r>
      <w:r w:rsidRPr="00772CDD">
        <w:rPr>
          <w:lang w:val="pl-PL"/>
        </w:rPr>
        <w:t xml:space="preserve"> Dzieci </w:t>
      </w:r>
      <w:r w:rsidRPr="00772CDD">
        <w:rPr>
          <w:b/>
          <w:lang w:val="pl-PL"/>
        </w:rPr>
        <w:t xml:space="preserve"> </w:t>
      </w:r>
      <w:r w:rsidRPr="00772CDD">
        <w:rPr>
          <w:lang w:val="pl-PL"/>
        </w:rPr>
        <w:t>nie powinny być pozbawiane wolności, chyba że jest to środek ostateczny i trwa możliwie najkrócej, uznając najlepszy interes dzieci za podstawowy warunek dotyczący długości i warunków zatrzymania, a także biorąc pod uwagę skrajną wrażliwość i potrzebę ochrony małoletnich bez opieki.</w:t>
      </w:r>
      <w:r w:rsidRPr="00772CDD">
        <w:rPr>
          <w:rStyle w:val="Odwoanieprzypisudolnego"/>
          <w:lang w:val="pl-PL"/>
        </w:rPr>
        <w:footnoteReference w:id="50"/>
      </w:r>
    </w:p>
    <w:p w14:paraId="78CC2239" w14:textId="77777777" w:rsidR="007814B2" w:rsidRPr="00772CDD" w:rsidRDefault="007814B2" w:rsidP="00FB461A">
      <w:pPr>
        <w:pStyle w:val="SingleTxtG"/>
        <w:numPr>
          <w:ilvl w:val="0"/>
          <w:numId w:val="9"/>
        </w:numPr>
        <w:ind w:left="1134" w:firstLine="0"/>
        <w:rPr>
          <w:lang w:val="pl-PL"/>
        </w:rPr>
      </w:pPr>
      <w:r w:rsidRPr="00772CDD">
        <w:rPr>
          <w:lang w:val="pl-PL"/>
        </w:rPr>
        <w:t>Państwa strony powinny zrewidować przestarzałe przepisy i praktyki w dziedzinie zdrowia psychicznego w celu unikania samowolnych zatrzymań. Komitet zwraca uwagę na szkody będące nieodłącznym elementem każdego pozbawienia wolności, a także szczególne szkody, które mogą następować w sytuacji przymusowego pobytu w szpitalu. Państwa-strony powinny udostępnić odpowiednie, oparte o społeczność lub alternatywne usługi opieki socjalnej dla osób dotkniętych niepełnosprawnością psychospołeczną, w celu zapewnienia im mniej restrykcyjnych alternatyw wobec zatrzymania.</w:t>
      </w:r>
      <w:r w:rsidRPr="00772CDD">
        <w:rPr>
          <w:rStyle w:val="Odwoanieprzypisudolnego"/>
          <w:lang w:val="pl-PL"/>
        </w:rPr>
        <w:footnoteReference w:id="51"/>
      </w:r>
      <w:r w:rsidRPr="00772CDD">
        <w:rPr>
          <w:lang w:val="pl-PL"/>
        </w:rPr>
        <w:t xml:space="preserve">Istnienie niepełnosprawności samo w sobie nie powinno uzasadniać pozbawienia wolności, lecz każde pozbawienie wolności musi być konieczne i proporcjonalne w celu ochrony danej </w:t>
      </w:r>
      <w:r w:rsidRPr="00772CDD">
        <w:rPr>
          <w:lang w:val="pl-PL"/>
        </w:rPr>
        <w:lastRenderedPageBreak/>
        <w:t>jednostki przed poważną krzywdą albo zapobieżeniu wyrządzenia krzywdy innym.</w:t>
      </w:r>
      <w:r w:rsidRPr="00772CDD">
        <w:rPr>
          <w:rStyle w:val="Odwoanieprzypisudolnego"/>
          <w:lang w:val="pl-PL"/>
        </w:rPr>
        <w:footnoteReference w:id="52"/>
      </w:r>
      <w:r w:rsidRPr="00772CDD">
        <w:rPr>
          <w:lang w:val="pl-PL"/>
        </w:rPr>
        <w:t>Należy je stosować jedynie jako środek ostateczny i na możliwie najkrótszy okres, muszą mu też towarzyszyć odpowiednie zabezpieczenia proceduralne i materialne zapisane w prawie.</w:t>
      </w:r>
      <w:r w:rsidRPr="00772CDD">
        <w:rPr>
          <w:rStyle w:val="Odwoanieprzypisudolnego"/>
          <w:lang w:val="pl-PL"/>
        </w:rPr>
        <w:footnoteReference w:id="53"/>
      </w:r>
      <w:r w:rsidRPr="00772CDD">
        <w:rPr>
          <w:lang w:val="pl-PL"/>
        </w:rPr>
        <w:t xml:space="preserve"> Procedury powinny zapewniać poszanowanie poglądów jednostki i upewniać się, że każdy przedstawiciel rzeczywiście reprezentuje i broni woli i interesu danej osoby.</w:t>
      </w:r>
      <w:r w:rsidRPr="00772CDD">
        <w:rPr>
          <w:rStyle w:val="Odwoanieprzypisudolnego"/>
          <w:lang w:val="pl-PL"/>
        </w:rPr>
        <w:footnoteReference w:id="54"/>
      </w:r>
      <w:r w:rsidRPr="00772CDD">
        <w:rPr>
          <w:lang w:val="pl-PL"/>
        </w:rPr>
        <w:t xml:space="preserve"> Państwa-strony muszą zaoferować osobom umieszczonym w zakładach programy leczenia i rehabilitacji służące celom, które mają uzasadniać zatrzymanie.</w:t>
      </w:r>
      <w:r w:rsidRPr="00772CDD">
        <w:rPr>
          <w:rStyle w:val="Odwoanieprzypisudolnego"/>
          <w:lang w:val="pl-PL"/>
        </w:rPr>
        <w:footnoteReference w:id="55"/>
      </w:r>
      <w:r w:rsidRPr="00772CDD">
        <w:rPr>
          <w:lang w:val="pl-PL"/>
        </w:rPr>
        <w:t>Pozbawienie wolności musi być poddawane ponownej ocenie w odniesieniu do dalszej jego konieczności w odpowiednich odstępach czasu.</w:t>
      </w:r>
      <w:r w:rsidRPr="00772CDD">
        <w:rPr>
          <w:rStyle w:val="Odwoanieprzypisudolnego"/>
          <w:lang w:val="pl-PL"/>
        </w:rPr>
        <w:footnoteReference w:id="56"/>
      </w:r>
      <w:r w:rsidRPr="00772CDD">
        <w:rPr>
          <w:lang w:val="pl-PL"/>
        </w:rPr>
        <w:t>Jednostki należy wspierać w uzyskiwaniu dostępu do skutecznych środków pozwalających dochodzić swoich praw, w tym początkowej i okresowej kontroli legalności zatrzymania przez sąd, a także zapobiegania warunkom zatrzymania niezgodnym z Paktem.</w:t>
      </w:r>
      <w:r w:rsidRPr="00772CDD">
        <w:rPr>
          <w:rStyle w:val="Odwoanieprzypisudolnego"/>
          <w:lang w:val="pl-PL"/>
        </w:rPr>
        <w:footnoteReference w:id="57"/>
      </w:r>
      <w:r w:rsidRPr="00772CDD">
        <w:rPr>
          <w:lang w:val="pl-PL"/>
        </w:rPr>
        <w:t xml:space="preserve"> </w:t>
      </w:r>
    </w:p>
    <w:p w14:paraId="4A49CB49" w14:textId="77777777" w:rsidR="007814B2" w:rsidRPr="00772CDD" w:rsidRDefault="007814B2" w:rsidP="004E4928">
      <w:pPr>
        <w:pStyle w:val="SingleTxtG"/>
        <w:numPr>
          <w:ilvl w:val="0"/>
          <w:numId w:val="9"/>
        </w:numPr>
        <w:ind w:left="1134" w:firstLine="0"/>
        <w:rPr>
          <w:lang w:val="pl-PL"/>
        </w:rPr>
      </w:pPr>
      <w:r w:rsidRPr="00772CDD">
        <w:rPr>
          <w:lang w:val="pl-PL"/>
        </w:rPr>
        <w:t>Pakt jest spójny z szeregiem systemów skazywania w sprawach karnych. Skazani więźniowie mają prawo do tego, aby długość ich wyroków wymierzana była zgodnie z prawem krajowym. Zwolnienie warunkowe lub inne formy wcześniejszego zwolnienia muszą być rozpatrywane zgodnie z prawem</w:t>
      </w:r>
      <w:r w:rsidRPr="00772CDD">
        <w:rPr>
          <w:rStyle w:val="Odwoanieprzypisudolnego"/>
          <w:lang w:val="pl-PL"/>
        </w:rPr>
        <w:footnoteReference w:id="58"/>
      </w:r>
      <w:r w:rsidRPr="00772CDD">
        <w:rPr>
          <w:lang w:val="pl-PL"/>
        </w:rPr>
        <w:t xml:space="preserve"> , a odmowa takiego zwolnienia nie może być wydana z przyczyn, które są samowolne w rozumieniu artykułu 9. Jeśli zwolnienie takie zostanie przyznane pod pewnym warunkiem, a później zawieszone z powodu domniemanego naruszenia warunków, odwołanie takie musi mieścić się w granicach prawa, nie być samowolne i – w szczególności – nie być nieproporcjonalne do wagi naruszenia. Możliwość przewidzenia przyszłych zachowań więźnia może stanowić istotny czynnik przy podejmowaniu decyzji o przyznaniu wcześniejszego zwolnienia.</w:t>
      </w:r>
      <w:r w:rsidRPr="00772CDD">
        <w:rPr>
          <w:rStyle w:val="Odwoanieprzypisudolnego"/>
          <w:lang w:val="pl-PL"/>
        </w:rPr>
        <w:footnoteReference w:id="59"/>
      </w:r>
      <w:r w:rsidRPr="00772CDD">
        <w:rPr>
          <w:lang w:val="pl-PL"/>
        </w:rPr>
        <w:t xml:space="preserve"> </w:t>
      </w:r>
    </w:p>
    <w:p w14:paraId="0C087CA0" w14:textId="77777777" w:rsidR="007814B2" w:rsidRPr="00772CDD" w:rsidRDefault="007814B2" w:rsidP="00D26C93">
      <w:pPr>
        <w:pStyle w:val="SingleTxtG"/>
        <w:numPr>
          <w:ilvl w:val="0"/>
          <w:numId w:val="9"/>
        </w:numPr>
        <w:ind w:left="1134" w:firstLine="0"/>
        <w:rPr>
          <w:lang w:val="pl-PL"/>
        </w:rPr>
      </w:pPr>
      <w:r w:rsidRPr="00772CDD">
        <w:rPr>
          <w:lang w:val="pl-PL"/>
        </w:rPr>
        <w:t>Jeśli wyrok karny obejmuje okres stosowania sankcji karnej, oraz następujący po nim okres stosowania sankcji innej niż karna w celu ochrony bezpieczeństwa innych osób,</w:t>
      </w:r>
      <w:r w:rsidRPr="00772CDD">
        <w:rPr>
          <w:rStyle w:val="Odwoanieprzypisudolnego"/>
          <w:lang w:val="pl-PL"/>
        </w:rPr>
        <w:footnoteReference w:id="60"/>
      </w:r>
      <w:r w:rsidRPr="00772CDD">
        <w:rPr>
          <w:lang w:val="pl-PL"/>
        </w:rPr>
        <w:t xml:space="preserve"> po zakończeniu okresu pozbawienia wolności, w celu uniknięcia samowoli, dodatkowe zatrzymanie musi być uzasadnione ważnymi powodami wynikającymi z powagi popełnionych przestępstw i prawdopodobieństwa popełnienia przez zatrzymanego podobnych czynów w przyszłości. Państwa powinny korzystać z takiej formy zatrzymania w ostateczności. Należy także przeprowadzać regularne, okresowe oceny wykonywane przez niezależny organ w celu zdecydowania, czy dalsze zatrzymanie jest uzasadnione.</w:t>
      </w:r>
      <w:r w:rsidRPr="00772CDD">
        <w:rPr>
          <w:rStyle w:val="Odwoanieprzypisudolnego"/>
          <w:lang w:val="pl-PL"/>
        </w:rPr>
        <w:footnoteReference w:id="61"/>
      </w:r>
      <w:r w:rsidRPr="00772CDD">
        <w:rPr>
          <w:lang w:val="pl-PL"/>
        </w:rPr>
        <w:t xml:space="preserve"> Państwa-strony muszą zachować ostrożność i zapewnić odpowiednie gwarancje w ocenie przyszłych zagrożeń.</w:t>
      </w:r>
      <w:r w:rsidRPr="00772CDD">
        <w:rPr>
          <w:rStyle w:val="Odwoanieprzypisudolnego"/>
          <w:lang w:val="pl-PL"/>
        </w:rPr>
        <w:footnoteReference w:id="62"/>
      </w:r>
      <w:r w:rsidRPr="00772CDD">
        <w:rPr>
          <w:lang w:val="pl-PL"/>
        </w:rPr>
        <w:t xml:space="preserve"> Warunki takiego zatrzymania muszą różnić się od warunków przewidzianych dla więźniów odbywających wyrok karny i muszą być zorientowane na </w:t>
      </w:r>
      <w:r w:rsidRPr="00772CDD">
        <w:rPr>
          <w:lang w:val="pl-PL"/>
        </w:rPr>
        <w:lastRenderedPageBreak/>
        <w:t>resocjalizację i reintegrację więźniów ze społeczeństwem.</w:t>
      </w:r>
      <w:r w:rsidRPr="00772CDD">
        <w:rPr>
          <w:rStyle w:val="Odwoanieprzypisudolnego"/>
          <w:lang w:val="pl-PL"/>
        </w:rPr>
        <w:footnoteReference w:id="63"/>
      </w:r>
      <w:r w:rsidRPr="00772CDD">
        <w:rPr>
          <w:lang w:val="pl-PL"/>
        </w:rPr>
        <w:t xml:space="preserve"> Jeśli więzień odbył karę nałożoną w momencie skazania, artykuły 9 i 15 zakazują retroaktywnego przedłużania wyroku, a Państwo-strona nie może obchodzić tego zakazu poprzez zatrzymanie równoznaczne z karnym pozbawieniem wolności pod przykrywką środka postpenalnego.</w:t>
      </w:r>
      <w:r w:rsidRPr="00772CDD">
        <w:rPr>
          <w:rStyle w:val="Odwoanieprzypisudolnego"/>
          <w:lang w:val="pl-PL"/>
        </w:rPr>
        <w:footnoteReference w:id="64"/>
      </w:r>
    </w:p>
    <w:p w14:paraId="3CA1B614" w14:textId="77777777" w:rsidR="007814B2" w:rsidRPr="00772CDD" w:rsidRDefault="007814B2" w:rsidP="00677648">
      <w:pPr>
        <w:pStyle w:val="SingleTxtG"/>
        <w:numPr>
          <w:ilvl w:val="0"/>
          <w:numId w:val="9"/>
        </w:numPr>
        <w:ind w:left="1134" w:firstLine="0"/>
        <w:rPr>
          <w:lang w:val="pl-PL"/>
        </w:rPr>
      </w:pPr>
      <w:r w:rsidRPr="00772CDD">
        <w:rPr>
          <w:lang w:val="pl-PL"/>
        </w:rPr>
        <w:t>Trzecie zdanie ustępu 1 w artykule 9 zapewnia, że nikt nie może być pozbawiony wolności inaczej, jak tylko na zasadach i w trybie ustalonym przez ustawę. Wszelkie materialne podstawy aresztowania lub zatrzymania muszą być określone przez ustawę i powinny być zdefiniowane na tyle precyzyjne, aby uniknąć zbyt szerokiej lub samowolnej interpretacji lub stosowania.</w:t>
      </w:r>
      <w:r w:rsidRPr="00772CDD">
        <w:rPr>
          <w:rStyle w:val="Odwoanieprzypisudolnego"/>
          <w:lang w:val="pl-PL"/>
        </w:rPr>
        <w:footnoteReference w:id="65"/>
      </w:r>
      <w:r w:rsidRPr="00772CDD">
        <w:rPr>
          <w:lang w:val="pl-PL"/>
        </w:rPr>
        <w:t>Pozbawienie wolności bez takiego umocowania prawnego jest bezprawne.</w:t>
      </w:r>
      <w:r w:rsidRPr="00772CDD">
        <w:rPr>
          <w:rStyle w:val="Odwoanieprzypisudolnego"/>
          <w:lang w:val="pl-PL"/>
        </w:rPr>
        <w:footnoteReference w:id="66"/>
      </w:r>
      <w:r w:rsidRPr="00772CDD">
        <w:rPr>
          <w:lang w:val="pl-PL"/>
        </w:rPr>
        <w:t xml:space="preserve"> Zatrzymanie pomimo istnienia sądowego nakazu zwolnienia lub skutecznego objęcia amnestią również jest niezgodne z prawem.</w:t>
      </w:r>
      <w:r w:rsidRPr="00772CDD">
        <w:rPr>
          <w:rStyle w:val="Odwoanieprzypisudolnego"/>
          <w:lang w:val="pl-PL"/>
        </w:rPr>
        <w:footnoteReference w:id="67"/>
      </w:r>
    </w:p>
    <w:p w14:paraId="22D300B3" w14:textId="77777777" w:rsidR="007814B2" w:rsidRPr="00772CDD" w:rsidRDefault="00AB4143" w:rsidP="00FB461A">
      <w:pPr>
        <w:pStyle w:val="SingleTxtG"/>
        <w:numPr>
          <w:ilvl w:val="0"/>
          <w:numId w:val="9"/>
        </w:numPr>
        <w:ind w:left="1134" w:firstLine="0"/>
        <w:rPr>
          <w:lang w:val="pl-PL"/>
        </w:rPr>
      </w:pPr>
      <w:r w:rsidRPr="00772CDD">
        <w:rPr>
          <w:lang w:val="pl-PL"/>
        </w:rPr>
        <w:t>Artykuł 9 wymaga, aby procedury dotyczące legalnego pozbawienia wolności również posiadały umocowanie w przepisach prawa, a Państwa-strony powinny zapewnić ich zgodność z własnymi prawnie określonymi procedurami. Ponadto, Artykuł 9 wymaga zgodności z krajowymi przepisami, które definiują procedurę aresztowania poprzez identyfikację urzędników upoważnionych do przeprowadzenia aresztowania</w:t>
      </w:r>
      <w:r w:rsidR="007814B2" w:rsidRPr="00772CDD">
        <w:rPr>
          <w:rStyle w:val="Odwoanieprzypisudolnego"/>
          <w:lang w:val="pl-PL"/>
        </w:rPr>
        <w:footnoteReference w:id="68"/>
      </w:r>
      <w:r w:rsidR="007814B2" w:rsidRPr="00772CDD">
        <w:rPr>
          <w:lang w:val="pl-PL"/>
        </w:rPr>
        <w:t xml:space="preserve"> lub określenie, kiedy wymagany jest nakaz.</w:t>
      </w:r>
      <w:r w:rsidR="007814B2" w:rsidRPr="00772CDD">
        <w:rPr>
          <w:rStyle w:val="Odwoanieprzypisudolnego"/>
          <w:lang w:val="pl-PL"/>
        </w:rPr>
        <w:footnoteReference w:id="69"/>
      </w:r>
      <w:r w:rsidR="007814B2" w:rsidRPr="00772CDD">
        <w:rPr>
          <w:lang w:val="pl-PL"/>
        </w:rPr>
        <w:t xml:space="preserve"> Wymaga również zgodności z przepisami krajowymi, które określają kiedy zezwolenie na przedłużenie zatrzymania musi być uzyskane od sędziego lub innego urzędnika,</w:t>
      </w:r>
      <w:r w:rsidR="007814B2" w:rsidRPr="00772CDD">
        <w:rPr>
          <w:rStyle w:val="Odwoanieprzypisudolnego"/>
          <w:lang w:val="pl-PL"/>
        </w:rPr>
        <w:footnoteReference w:id="70"/>
      </w:r>
      <w:r w:rsidR="007814B2" w:rsidRPr="00772CDD">
        <w:rPr>
          <w:lang w:val="pl-PL"/>
        </w:rPr>
        <w:t xml:space="preserve"> kiedy można zatrzymać osobę,</w:t>
      </w:r>
      <w:r w:rsidR="007814B2" w:rsidRPr="00772CDD">
        <w:rPr>
          <w:rStyle w:val="Odwoanieprzypisudolnego"/>
          <w:lang w:val="pl-PL"/>
        </w:rPr>
        <w:footnoteReference w:id="71"/>
      </w:r>
      <w:r w:rsidR="007814B2" w:rsidRPr="00772CDD">
        <w:rPr>
          <w:lang w:val="pl-PL"/>
        </w:rPr>
        <w:t xml:space="preserve"> kiedy osoba zatrzymana musi zostać doprowadzona przed sąd</w:t>
      </w:r>
      <w:r w:rsidR="007814B2" w:rsidRPr="00772CDD">
        <w:rPr>
          <w:rStyle w:val="Odwoanieprzypisudolnego"/>
          <w:lang w:val="pl-PL"/>
        </w:rPr>
        <w:footnoteReference w:id="72"/>
      </w:r>
      <w:r w:rsidR="007814B2" w:rsidRPr="00772CDD">
        <w:rPr>
          <w:lang w:val="pl-PL"/>
        </w:rPr>
        <w:t xml:space="preserve"> oraz wyznaczają ograniczenia czasu trwania zatrzymania.</w:t>
      </w:r>
      <w:r w:rsidR="007814B2" w:rsidRPr="00772CDD">
        <w:rPr>
          <w:rStyle w:val="Odwoanieprzypisudolnego"/>
          <w:lang w:val="pl-PL"/>
        </w:rPr>
        <w:footnoteReference w:id="73"/>
      </w:r>
      <w:r w:rsidR="007814B2" w:rsidRPr="00772CDD">
        <w:rPr>
          <w:lang w:val="pl-PL"/>
        </w:rPr>
        <w:t xml:space="preserve"> Wymaga również zgodności z przepisami krajowymi określającymi istotne zabezpieczenia dla osób zatrzymanych, takie jak ewidencjonowanie aresztowania</w:t>
      </w:r>
      <w:r w:rsidR="007814B2" w:rsidRPr="00772CDD">
        <w:rPr>
          <w:rStyle w:val="Odwoanieprzypisudolnego"/>
          <w:lang w:val="pl-PL"/>
        </w:rPr>
        <w:footnoteReference w:id="74"/>
      </w:r>
      <w:r w:rsidR="007814B2" w:rsidRPr="00772CDD">
        <w:rPr>
          <w:lang w:val="pl-PL"/>
        </w:rPr>
        <w:t xml:space="preserve"> oraz umożliwienie dostępu do adwokata.</w:t>
      </w:r>
      <w:r w:rsidR="007814B2" w:rsidRPr="00772CDD">
        <w:rPr>
          <w:rStyle w:val="Odwoanieprzypisudolnego"/>
          <w:lang w:val="pl-PL"/>
        </w:rPr>
        <w:footnoteReference w:id="75"/>
      </w:r>
      <w:r w:rsidR="007814B2" w:rsidRPr="00772CDD">
        <w:rPr>
          <w:lang w:val="pl-PL"/>
        </w:rPr>
        <w:t>Naruszenia krajowych przepisów proceduralnych niezwiązanych z tymi kwestiami nie muszą jednoznacznie wchodzić w zakres artykułu 9.</w:t>
      </w:r>
      <w:r w:rsidR="007814B2" w:rsidRPr="00772CDD">
        <w:rPr>
          <w:rStyle w:val="Odwoanieprzypisudolnego"/>
          <w:lang w:val="pl-PL"/>
        </w:rPr>
        <w:footnoteReference w:id="76"/>
      </w:r>
    </w:p>
    <w:p w14:paraId="13CE87EE" w14:textId="77777777" w:rsidR="007814B2" w:rsidRPr="00772CDD" w:rsidRDefault="007814B2" w:rsidP="00EF7CB3">
      <w:pPr>
        <w:pStyle w:val="HChG"/>
        <w:outlineLvl w:val="0"/>
        <w:rPr>
          <w:lang w:val="pl-PL"/>
        </w:rPr>
      </w:pPr>
      <w:r w:rsidRPr="00772CDD">
        <w:rPr>
          <w:lang w:val="pl-PL"/>
        </w:rPr>
        <w:tab/>
        <w:t>III.</w:t>
      </w:r>
      <w:r w:rsidRPr="00772CDD">
        <w:rPr>
          <w:lang w:val="pl-PL"/>
        </w:rPr>
        <w:tab/>
        <w:t>Zawiadomienie o powodach aresztowania i zarzutach karnych</w:t>
      </w:r>
    </w:p>
    <w:p w14:paraId="75417213" w14:textId="77777777" w:rsidR="007814B2" w:rsidRPr="00772CDD" w:rsidRDefault="00AB4143" w:rsidP="00FB461A">
      <w:pPr>
        <w:pStyle w:val="SingleTxtG"/>
        <w:numPr>
          <w:ilvl w:val="0"/>
          <w:numId w:val="9"/>
        </w:numPr>
        <w:ind w:left="1134" w:firstLine="0"/>
        <w:rPr>
          <w:lang w:val="pl-PL"/>
        </w:rPr>
      </w:pPr>
      <w:r w:rsidRPr="00772CDD">
        <w:rPr>
          <w:lang w:val="pl-PL"/>
        </w:rPr>
        <w:t xml:space="preserve">Ustęp 2 artykułu 9 nakłada dwa wymagania działające na korzyść osób pozbawionych wolności. Po pierwsze, muszą być one poinformowane, w chwili aresztowania, o jego przyczynach. Po drugie, muszą być niezwłocznie poinformowane o </w:t>
      </w:r>
      <w:r w:rsidRPr="00772CDD">
        <w:rPr>
          <w:lang w:val="pl-PL"/>
        </w:rPr>
        <w:lastRenderedPageBreak/>
        <w:t>wszelkich przedstawianych im zarzutach. Pierwszy wymóg odnosi się zasadniczo do przyczyny pozbawienia wolności. Ponieważ "aresztowanie" oznacza rozpoczęcie pozbawienia wolności, wymóg ten ma zastosowanie bez względu na formalny lub nieformalny charakter przeprowadzenia aresztowania i bez względu na prawidłowość podstawy aresztowania, albo jej brak.</w:t>
      </w:r>
      <w:r w:rsidR="007814B2" w:rsidRPr="00772CDD">
        <w:rPr>
          <w:rStyle w:val="Odwoanieprzypisudolnego"/>
          <w:lang w:val="pl-PL"/>
        </w:rPr>
        <w:footnoteReference w:id="77"/>
      </w:r>
      <w:r w:rsidR="007814B2" w:rsidRPr="00772CDD">
        <w:rPr>
          <w:lang w:val="pl-PL"/>
        </w:rPr>
        <w:t xml:space="preserve"> Drugi, dodatkowy wymóg dotyczy tylko informacji związanych z zarzutami karnymi.</w:t>
      </w:r>
      <w:r w:rsidR="007814B2" w:rsidRPr="00772CDD">
        <w:rPr>
          <w:rStyle w:val="Odwoanieprzypisudolnego"/>
          <w:lang w:val="pl-PL"/>
        </w:rPr>
        <w:footnoteReference w:id="78"/>
      </w:r>
      <w:r w:rsidR="007814B2" w:rsidRPr="00772CDD">
        <w:rPr>
          <w:lang w:val="pl-PL"/>
        </w:rPr>
        <w:t xml:space="preserve"> Jeśli osoba już zatrzymana na podstawie jednego zarzutu karnego stanie w obliczu zatrzymania z powodu niepowiązanego oskarżenia, należy niezwłocznie przedstawić informacje dotyczące oskarżenia niepowiązanego.</w:t>
      </w:r>
      <w:r w:rsidR="007814B2" w:rsidRPr="00772CDD">
        <w:rPr>
          <w:rStyle w:val="Odwoanieprzypisudolnego"/>
          <w:lang w:val="pl-PL"/>
        </w:rPr>
        <w:footnoteReference w:id="79"/>
      </w:r>
    </w:p>
    <w:p w14:paraId="6AC24114" w14:textId="77777777" w:rsidR="007814B2" w:rsidRPr="00772CDD" w:rsidRDefault="007814B2" w:rsidP="00677648">
      <w:pPr>
        <w:pStyle w:val="SingleTxtG"/>
        <w:numPr>
          <w:ilvl w:val="0"/>
          <w:numId w:val="9"/>
        </w:numPr>
        <w:ind w:left="1134" w:firstLine="0"/>
        <w:rPr>
          <w:lang w:val="pl-PL"/>
        </w:rPr>
      </w:pPr>
      <w:r w:rsidRPr="00772CDD">
        <w:rPr>
          <w:lang w:val="pl-PL"/>
        </w:rPr>
        <w:t>Głównym celem wymogu przedstawiania informacji dotyczących powodów aresztowania osobom zatrzymanym jest umożliwienie im starania się o zwolnienie, jeśli uważają że przyczyny są nieprawidłowe lub nieuzasadnione.</w:t>
      </w:r>
      <w:r w:rsidRPr="00772CDD">
        <w:rPr>
          <w:rStyle w:val="Odwoanieprzypisudolnego"/>
          <w:lang w:val="pl-PL"/>
        </w:rPr>
        <w:footnoteReference w:id="80"/>
      </w:r>
      <w:r w:rsidRPr="00772CDD">
        <w:rPr>
          <w:lang w:val="pl-PL"/>
        </w:rPr>
        <w:t xml:space="preserve"> Powody te muszą obejmować nie tylko ogólną podstawę prawną aresztowania, ale również wystarczającą ilość informacji faktycznych, aby wskazać podstawę skargi, taką jak czyn bezprawny oraz tożsamość domniemanej ofiary.</w:t>
      </w:r>
      <w:r w:rsidRPr="00772CDD">
        <w:rPr>
          <w:rStyle w:val="Odwoanieprzypisudolnego"/>
          <w:lang w:val="pl-PL"/>
        </w:rPr>
        <w:footnoteReference w:id="81"/>
      </w:r>
      <w:r w:rsidRPr="00772CDD">
        <w:rPr>
          <w:lang w:val="pl-PL"/>
        </w:rPr>
        <w:t>"Powody" dotyczą oficjalnych podstaw, a nie subiektywnych motywacji funkcjonariusza dokonującego aresztowania.</w:t>
      </w:r>
      <w:r w:rsidRPr="00772CDD">
        <w:rPr>
          <w:rStyle w:val="Odwoanieprzypisudolnego"/>
          <w:lang w:val="pl-PL"/>
        </w:rPr>
        <w:footnoteReference w:id="82"/>
      </w:r>
    </w:p>
    <w:p w14:paraId="394797F9" w14:textId="77777777" w:rsidR="007814B2" w:rsidRPr="00772CDD" w:rsidRDefault="007814B2" w:rsidP="00677648">
      <w:pPr>
        <w:pStyle w:val="SingleTxtG"/>
        <w:numPr>
          <w:ilvl w:val="0"/>
          <w:numId w:val="9"/>
        </w:numPr>
        <w:ind w:left="1134" w:firstLine="0"/>
        <w:rPr>
          <w:lang w:val="pl-PL"/>
        </w:rPr>
      </w:pPr>
      <w:r w:rsidRPr="00772CDD">
        <w:rPr>
          <w:lang w:val="pl-PL"/>
        </w:rPr>
        <w:t>Ustne przedstawienie powodów aresztowania spełnia ten wymóg. Powody muszą być przedstawione w języku, który osoba aresztowana rozumie.</w:t>
      </w:r>
      <w:r w:rsidRPr="00772CDD">
        <w:rPr>
          <w:rStyle w:val="Odwoanieprzypisudolnego"/>
          <w:lang w:val="pl-PL"/>
        </w:rPr>
        <w:footnoteReference w:id="83"/>
      </w:r>
      <w:r w:rsidRPr="00772CDD">
        <w:rPr>
          <w:lang w:val="pl-PL"/>
        </w:rPr>
        <w:t xml:space="preserve"> </w:t>
      </w:r>
    </w:p>
    <w:p w14:paraId="0A9E0107" w14:textId="77777777" w:rsidR="007814B2" w:rsidRPr="00772CDD" w:rsidRDefault="007814B2" w:rsidP="00743528">
      <w:pPr>
        <w:pStyle w:val="SingleTxtG"/>
        <w:numPr>
          <w:ilvl w:val="0"/>
          <w:numId w:val="9"/>
        </w:numPr>
        <w:ind w:left="1134" w:firstLine="0"/>
        <w:rPr>
          <w:lang w:val="pl-PL"/>
        </w:rPr>
      </w:pPr>
      <w:r w:rsidRPr="00772CDD">
        <w:rPr>
          <w:lang w:val="pl-PL"/>
        </w:rPr>
        <w:t>Informacje te muszą być podane bezpośrednio po aresztowaniu. Jednakże, w wyjątkowych okolicznościach, natychmiastowe przedstawienie takiego komunikatu może nie być możliwe. Przykładowo, opóźnienie może wynikać z konieczności oczekiwania na tłumacza, ale opóźnienia takie muszą być ograniczane do absolutnego minimum.</w:t>
      </w:r>
      <w:r w:rsidRPr="00772CDD">
        <w:rPr>
          <w:rStyle w:val="Odwoanieprzypisudolnego"/>
          <w:lang w:val="pl-PL"/>
        </w:rPr>
        <w:footnoteReference w:id="84"/>
      </w:r>
    </w:p>
    <w:p w14:paraId="6A9A2DA7" w14:textId="77777777" w:rsidR="007814B2" w:rsidRPr="00772CDD" w:rsidRDefault="007814B2" w:rsidP="00677648">
      <w:pPr>
        <w:pStyle w:val="SingleTxtG"/>
        <w:numPr>
          <w:ilvl w:val="0"/>
          <w:numId w:val="9"/>
        </w:numPr>
        <w:ind w:left="1134" w:firstLine="0"/>
        <w:rPr>
          <w:lang w:val="pl-PL"/>
        </w:rPr>
      </w:pPr>
      <w:r w:rsidRPr="00772CDD">
        <w:rPr>
          <w:lang w:val="pl-PL"/>
        </w:rPr>
        <w:t>W przypadku niektórych kategorii osób szczególnie wrażliwych, bezpośrednie poinformowanie aresztowanego  jest wymagane, ale nie wystarczające. W przypadku aresztowania dziecka, zawiadomienie o aresztowaniu wraz z uzasadnieniem powinno być przedstawione bezpośrednio rodzicom, opiekunom lub przedstawicielowi prawnemu.</w:t>
      </w:r>
      <w:r w:rsidRPr="00772CDD">
        <w:rPr>
          <w:rStyle w:val="Odwoanieprzypisudolnego"/>
          <w:lang w:val="pl-PL"/>
        </w:rPr>
        <w:footnoteReference w:id="85"/>
      </w:r>
      <w:r w:rsidRPr="00772CDD">
        <w:rPr>
          <w:lang w:val="pl-PL"/>
        </w:rPr>
        <w:t xml:space="preserve"> W przypadku niektórych osób cierpiących na upośledzenie umysłowe, zawiadomienie o aresztowaniu wraz z uzasadnieniem powinno być przedstawione bezpośrednio osobom wyznaczonym lub właściwym członkom rodziny. Określenie i skontaktowanie się z właściwymi osobami trzecimi może wymagać dodatkowego czasu, nie uchybia to wymogowi, aby zawiadomienie przedstawione zostało tak szybko, jak to możliwe. </w:t>
      </w:r>
    </w:p>
    <w:p w14:paraId="37D63DC7" w14:textId="77777777" w:rsidR="007814B2" w:rsidRPr="00772CDD" w:rsidRDefault="007814B2" w:rsidP="00FB461A">
      <w:pPr>
        <w:pStyle w:val="SingleTxtG"/>
        <w:numPr>
          <w:ilvl w:val="0"/>
          <w:numId w:val="9"/>
        </w:numPr>
        <w:ind w:left="1134" w:firstLine="0"/>
        <w:rPr>
          <w:lang w:val="pl-PL"/>
        </w:rPr>
      </w:pPr>
      <w:r w:rsidRPr="00772CDD">
        <w:rPr>
          <w:lang w:val="pl-PL"/>
        </w:rPr>
        <w:t xml:space="preserve">Drugi wymóg określony w ustępie 2 dotyczy zawiadomienia o zarzutach karnych. Osoba aresztowana na potrzeby śledztwa dotyczącego przestępstw, które mogła popełnić lub w celu zatrzymania jej do czasu procesu karnego musi zostać niezwłocznie poinformowana o przestępstwach, o których popełnienie jest podejrzewana lub oskarżona. </w:t>
      </w:r>
      <w:r w:rsidRPr="00772CDD">
        <w:rPr>
          <w:lang w:val="pl-PL"/>
        </w:rPr>
        <w:lastRenderedPageBreak/>
        <w:t>Prawo to dotyczy zwykłych postępowań karnych, jak również postępowań wojskowych i innych szczególnych systemów powiązanych ze ściganiem przestępstw.</w:t>
      </w:r>
      <w:r w:rsidRPr="00772CDD">
        <w:rPr>
          <w:rStyle w:val="Odwoanieprzypisudolnego"/>
          <w:lang w:val="pl-PL"/>
        </w:rPr>
        <w:footnoteReference w:id="86"/>
      </w:r>
    </w:p>
    <w:p w14:paraId="310CDA87" w14:textId="77777777" w:rsidR="007814B2" w:rsidRPr="00772CDD" w:rsidRDefault="00AB4143" w:rsidP="00530E4F">
      <w:pPr>
        <w:pStyle w:val="SingleTxtG"/>
        <w:numPr>
          <w:ilvl w:val="0"/>
          <w:numId w:val="9"/>
        </w:numPr>
        <w:ind w:left="1134" w:firstLine="0"/>
        <w:rPr>
          <w:lang w:val="pl-PL"/>
        </w:rPr>
      </w:pPr>
      <w:r w:rsidRPr="00772CDD">
        <w:rPr>
          <w:lang w:val="pl-PL"/>
        </w:rPr>
        <w:t>Ustęp 2 wymaga, aby osoba aresztowana została poinformowana o zarzutach "niezwłocznie", co nie oznacza koniecznie "w chwili aresztowania". Jeśli rozważane są już konkretne zarzuty, funkcjonariusz dokonujący aresztowania może poinformować osobę zarówno o powodach aresztowania, jak i o zarzutach, albo organ może wyjaśnić podstawę prawną zatrzymania w ciągu kilku godzin następujących po aresztowaniu. Powody muszą być przedstawione w języku, który osoba aresztowana rozumie.</w:t>
      </w:r>
      <w:r w:rsidR="007814B2" w:rsidRPr="00772CDD">
        <w:rPr>
          <w:rStyle w:val="Odwoanieprzypisudolnego"/>
          <w:lang w:val="pl-PL"/>
        </w:rPr>
        <w:footnoteReference w:id="87"/>
      </w:r>
      <w:r w:rsidR="007814B2" w:rsidRPr="00772CDD">
        <w:rPr>
          <w:lang w:val="pl-PL"/>
        </w:rPr>
        <w:t xml:space="preserve"> </w:t>
      </w:r>
      <w:r w:rsidR="00881365" w:rsidRPr="00772CDD">
        <w:rPr>
          <w:lang w:val="pl-PL"/>
        </w:rPr>
        <w:t>Obowiązek zawiadomienia o zarzutach nałożony przez ustęp 2 służy ułatwieniu określenia, czy aresztowanie tymczasowe jest właściwe, tym samym ustęp 2 nie wymaga, aby osoba aresztowana otrzymywała tyle informacji dotyczących zarzutów, ile niezbędne będzie w celu przygotowania do procesu.</w:t>
      </w:r>
      <w:r w:rsidR="007814B2" w:rsidRPr="00772CDD">
        <w:rPr>
          <w:rStyle w:val="Odwoanieprzypisudolnego"/>
          <w:lang w:val="pl-PL"/>
        </w:rPr>
        <w:footnoteReference w:id="88"/>
      </w:r>
      <w:r w:rsidR="007814B2" w:rsidRPr="00772CDD">
        <w:rPr>
          <w:lang w:val="pl-PL"/>
        </w:rPr>
        <w:t xml:space="preserve"> Jeśli władze poinformowały już osobę odnośnie rozważanych zarzutów przed dokonaniem aresztowania, ustęp 2 nie wymaga niezwłocznego powtórzenia zarzutów formalnych, dopóki przedstawione zostaną powody aresztowania.</w:t>
      </w:r>
      <w:r w:rsidR="007814B2" w:rsidRPr="00772CDD">
        <w:rPr>
          <w:rStyle w:val="Odwoanieprzypisudolnego"/>
          <w:lang w:val="pl-PL"/>
        </w:rPr>
        <w:footnoteReference w:id="89"/>
      </w:r>
      <w:r w:rsidR="007814B2" w:rsidRPr="00772CDD">
        <w:rPr>
          <w:lang w:val="pl-PL"/>
        </w:rPr>
        <w:t xml:space="preserve"> Te same rozważania, co przedstawione w ustępie 28 powyżej, dotyczą niezwłocznego przedstawienia informacji dotyczących zarzutów karnych w przypadku aresztowania nieletnich lub innych osób wrażliwych. </w:t>
      </w:r>
    </w:p>
    <w:p w14:paraId="552841B6" w14:textId="77777777" w:rsidR="007814B2" w:rsidRPr="00772CDD" w:rsidRDefault="007814B2" w:rsidP="00EF7CB3">
      <w:pPr>
        <w:pStyle w:val="HChG"/>
        <w:outlineLvl w:val="0"/>
        <w:rPr>
          <w:lang w:val="pl-PL"/>
        </w:rPr>
      </w:pPr>
      <w:r w:rsidRPr="00772CDD">
        <w:rPr>
          <w:lang w:val="pl-PL"/>
        </w:rPr>
        <w:tab/>
        <w:t>IV.</w:t>
      </w:r>
      <w:r w:rsidRPr="00772CDD">
        <w:rPr>
          <w:lang w:val="pl-PL"/>
        </w:rPr>
        <w:tab/>
        <w:t>Sądowa kontrola zatrzymania w związku z zarzutami karnymi</w:t>
      </w:r>
    </w:p>
    <w:p w14:paraId="046DC6B3" w14:textId="77777777" w:rsidR="007814B2" w:rsidRPr="00772CDD" w:rsidRDefault="007814B2" w:rsidP="00677648">
      <w:pPr>
        <w:pStyle w:val="SingleTxtG"/>
        <w:numPr>
          <w:ilvl w:val="0"/>
          <w:numId w:val="9"/>
        </w:numPr>
        <w:ind w:left="1134" w:firstLine="0"/>
        <w:rPr>
          <w:lang w:val="pl-PL"/>
        </w:rPr>
      </w:pPr>
      <w:r w:rsidRPr="00772CDD">
        <w:rPr>
          <w:lang w:val="pl-PL"/>
        </w:rPr>
        <w:t>Pierwsze zdanie ustępu 3 dotyczy osób "aresztowanych lub zatrzymanych pod zarzutem dokonania przestępstwa", podczas gdy drugie zdanie dotyczy osób "oczekujących na rozprawę" w oparciu o zarzut karny. Artykuł 3 stosuje się w zwykłych postępowaniach karnych, postępowaniach wojskowych i innych szczególnych systemach ścigania przestępstw.</w:t>
      </w:r>
      <w:r w:rsidRPr="00772CDD">
        <w:rPr>
          <w:rStyle w:val="Odwoanieprzypisudolnego"/>
          <w:lang w:val="pl-PL"/>
        </w:rPr>
        <w:footnoteReference w:id="90"/>
      </w:r>
      <w:r w:rsidRPr="00772CDD">
        <w:rPr>
          <w:lang w:val="pl-PL"/>
        </w:rPr>
        <w:t xml:space="preserve">  </w:t>
      </w:r>
    </w:p>
    <w:p w14:paraId="026C83DE" w14:textId="77777777" w:rsidR="007814B2" w:rsidRPr="00772CDD" w:rsidRDefault="00AB4143" w:rsidP="00677648">
      <w:pPr>
        <w:pStyle w:val="SingleTxtG"/>
        <w:numPr>
          <w:ilvl w:val="0"/>
          <w:numId w:val="9"/>
        </w:numPr>
        <w:ind w:left="1134" w:firstLine="0"/>
        <w:rPr>
          <w:lang w:val="pl-PL"/>
        </w:rPr>
      </w:pPr>
      <w:r w:rsidRPr="00772CDD">
        <w:rPr>
          <w:lang w:val="pl-PL"/>
        </w:rPr>
        <w:t>Ustęp 3 wymaga, po pierwsze, aby każda osoba aresztowana lub zatrzymana pod zarzutem popełnienia przestępstwa została postawiona przed sędzią lub inną osobą ustawowo uprawnioną do sprawowania władzy sądowej. Wymóg ten ma zastosowanie we wszystkich sprawach bez wyjątku i nie zależy od wyboru lub możliwości dochodzenia go przez zatrzymanego.</w:t>
      </w:r>
      <w:r w:rsidR="007814B2" w:rsidRPr="00772CDD">
        <w:rPr>
          <w:rStyle w:val="Odwoanieprzypisudolnego"/>
          <w:lang w:val="pl-PL"/>
        </w:rPr>
        <w:footnoteReference w:id="91"/>
      </w:r>
      <w:r w:rsidR="007814B2" w:rsidRPr="00772CDD">
        <w:rPr>
          <w:lang w:val="pl-PL"/>
        </w:rPr>
        <w:t xml:space="preserve"> Wymóg ten ma zastosowanie nawet przed sformułowaniem formalnych zarzutów, tak długo, jak dana osoba jest aresztowana lub zatrzymana z powodu podejrzenia o popełnienie czynu karalnego.</w:t>
      </w:r>
      <w:r w:rsidR="007814B2" w:rsidRPr="00772CDD">
        <w:rPr>
          <w:rStyle w:val="Odwoanieprzypisudolnego"/>
          <w:lang w:val="pl-PL"/>
        </w:rPr>
        <w:footnoteReference w:id="92"/>
      </w:r>
      <w:r w:rsidR="007814B2" w:rsidRPr="00772CDD">
        <w:rPr>
          <w:lang w:val="pl-PL"/>
        </w:rPr>
        <w:t xml:space="preserve">Prawo to ma na celu objęcie zatrzymania osoby będącej przedmiotem śledztwa lub postępowania karnego pod kontrolą </w:t>
      </w:r>
      <w:r w:rsidR="007814B2" w:rsidRPr="00772CDD">
        <w:rPr>
          <w:lang w:val="pl-PL"/>
        </w:rPr>
        <w:lastRenderedPageBreak/>
        <w:t>sądową.</w:t>
      </w:r>
      <w:r w:rsidR="007814B2" w:rsidRPr="00772CDD">
        <w:rPr>
          <w:rStyle w:val="Odwoanieprzypisudolnego"/>
          <w:lang w:val="pl-PL"/>
        </w:rPr>
        <w:footnoteReference w:id="93"/>
      </w:r>
      <w:r w:rsidR="007814B2" w:rsidRPr="00772CDD">
        <w:rPr>
          <w:lang w:val="pl-PL"/>
        </w:rPr>
        <w:t>Jeśli osoba już zatrzymana na podstawie jednego zarzutu karnego stanie w obliczu zatrzymania z powodu niepowiązanego oskarżenia, musi być w krótkim czasie postawiona przed sędziom w celu skontrolowania drugiego zatrzymania.</w:t>
      </w:r>
      <w:r w:rsidR="007814B2" w:rsidRPr="00772CDD">
        <w:rPr>
          <w:rStyle w:val="Odwoanieprzypisudolnego"/>
          <w:lang w:val="pl-PL"/>
        </w:rPr>
        <w:footnoteReference w:id="94"/>
      </w:r>
      <w:r w:rsidR="007814B2" w:rsidRPr="00772CDD">
        <w:rPr>
          <w:lang w:val="pl-PL"/>
        </w:rPr>
        <w:t xml:space="preserve"> Nieodłącznym elementem prawidłowego wykonywania władzy sądowej jest to, że wykonuje ją organ niezależny, obiektywny i bezstronny w odniesieniu do rozpatrywanych kwestii.</w:t>
      </w:r>
      <w:r w:rsidR="007814B2" w:rsidRPr="00772CDD">
        <w:rPr>
          <w:rStyle w:val="Odwoanieprzypisudolnego"/>
          <w:lang w:val="pl-PL"/>
        </w:rPr>
        <w:footnoteReference w:id="95"/>
      </w:r>
      <w:r w:rsidR="007814B2" w:rsidRPr="00772CDD">
        <w:rPr>
          <w:lang w:val="pl-PL"/>
        </w:rPr>
        <w:t xml:space="preserve"> W związku z tym oskarżyciel publiczny nie może zostać uznany za osobę sprawującą władzę sądowniczą w rozumieniu ustępu 3.</w:t>
      </w:r>
      <w:r w:rsidR="007814B2" w:rsidRPr="00772CDD">
        <w:rPr>
          <w:rStyle w:val="Odwoanieprzypisudolnego"/>
          <w:lang w:val="pl-PL"/>
        </w:rPr>
        <w:footnoteReference w:id="96"/>
      </w:r>
    </w:p>
    <w:p w14:paraId="180B9007" w14:textId="77777777" w:rsidR="007814B2" w:rsidRPr="00772CDD" w:rsidRDefault="007814B2" w:rsidP="00FB461A">
      <w:pPr>
        <w:pStyle w:val="SingleTxtG"/>
        <w:numPr>
          <w:ilvl w:val="0"/>
          <w:numId w:val="9"/>
        </w:numPr>
        <w:ind w:left="1134" w:firstLine="0"/>
        <w:rPr>
          <w:lang w:val="pl-PL"/>
        </w:rPr>
      </w:pPr>
      <w:r w:rsidRPr="00772CDD">
        <w:rPr>
          <w:lang w:val="pl-PL"/>
        </w:rPr>
        <w:t>Choć dokładne znaczenie terminu "w krótkim czasie" może różnić się w zależności od obiektywnych okoliczności,</w:t>
      </w:r>
      <w:r w:rsidRPr="00772CDD">
        <w:rPr>
          <w:rStyle w:val="Odwoanieprzypisudolnego"/>
          <w:lang w:val="pl-PL"/>
        </w:rPr>
        <w:footnoteReference w:id="97"/>
      </w:r>
      <w:r w:rsidRPr="00772CDD">
        <w:rPr>
          <w:lang w:val="pl-PL"/>
        </w:rPr>
        <w:t xml:space="preserve"> opóźnienie nie powinno przekraczać kilku dni od chwili aresztowania.</w:t>
      </w:r>
      <w:r w:rsidRPr="00772CDD">
        <w:rPr>
          <w:rStyle w:val="Odwoanieprzypisudolnego"/>
          <w:lang w:val="pl-PL"/>
        </w:rPr>
        <w:footnoteReference w:id="98"/>
      </w:r>
      <w:r w:rsidRPr="00772CDD">
        <w:rPr>
          <w:lang w:val="pl-PL"/>
        </w:rPr>
        <w:t xml:space="preserve"> Zdaniem Komitetu 48 godzin jest zwykle czasem wystarczającym na przewiezienie osoby i przygotowanie do rozprawy sądowej;</w:t>
      </w:r>
      <w:r w:rsidRPr="00772CDD">
        <w:rPr>
          <w:rStyle w:val="Odwoanieprzypisudolnego"/>
          <w:lang w:val="pl-PL"/>
        </w:rPr>
        <w:footnoteReference w:id="99"/>
      </w:r>
      <w:r w:rsidRPr="00772CDD">
        <w:rPr>
          <w:lang w:val="pl-PL"/>
        </w:rPr>
        <w:t xml:space="preserve"> wszelkie opóźnienia dłuższe niż 48 godzin muszą być absolutnie wyjątkowe i uzasadnione okolicznościami.</w:t>
      </w:r>
      <w:r w:rsidRPr="00772CDD">
        <w:rPr>
          <w:rStyle w:val="Odwoanieprzypisudolnego"/>
          <w:lang w:val="pl-PL"/>
        </w:rPr>
        <w:footnoteReference w:id="100"/>
      </w:r>
      <w:r w:rsidRPr="00772CDD">
        <w:rPr>
          <w:lang w:val="pl-PL"/>
        </w:rPr>
        <w:t xml:space="preserve"> Dłuższe zatrzymanie przez organy ścigania i pozbawione kontroli sądowej niepotrzebnie zwiększa ryzyko złego traktowania.</w:t>
      </w:r>
      <w:r w:rsidRPr="00772CDD">
        <w:rPr>
          <w:rStyle w:val="Odwoanieprzypisudolnego"/>
          <w:lang w:val="pl-PL"/>
        </w:rPr>
        <w:footnoteReference w:id="101"/>
      </w:r>
      <w:r w:rsidRPr="00772CDD">
        <w:rPr>
          <w:lang w:val="pl-PL"/>
        </w:rPr>
        <w:t xml:space="preserve"> Przepisy prawa w większości Państw-stron ustalają dokładne terminy, czasem krótsze niż 48 godzin i ograniczenia te również nie powinny być przekroczone. Szczególnie surowe wymogi, przykładowo 24 godziny, powinny mieć zastosowanie w przypadku osób młodocianych.</w:t>
      </w:r>
      <w:r w:rsidRPr="00772CDD">
        <w:rPr>
          <w:rStyle w:val="Odwoanieprzypisudolnego"/>
          <w:lang w:val="pl-PL"/>
        </w:rPr>
        <w:footnoteReference w:id="102"/>
      </w:r>
      <w:r w:rsidRPr="00772CDD">
        <w:rPr>
          <w:lang w:val="pl-PL"/>
        </w:rPr>
        <w:t xml:space="preserve"> </w:t>
      </w:r>
    </w:p>
    <w:p w14:paraId="0EA10EC0" w14:textId="77777777" w:rsidR="007814B2" w:rsidRPr="00772CDD" w:rsidRDefault="007814B2" w:rsidP="00677648">
      <w:pPr>
        <w:pStyle w:val="SingleTxtG"/>
        <w:numPr>
          <w:ilvl w:val="0"/>
          <w:numId w:val="9"/>
        </w:numPr>
        <w:ind w:left="1134" w:firstLine="0"/>
        <w:rPr>
          <w:lang w:val="pl-PL"/>
        </w:rPr>
      </w:pPr>
      <w:r w:rsidRPr="00772CDD">
        <w:rPr>
          <w:lang w:val="pl-PL"/>
        </w:rPr>
        <w:t>Osoby zatrzymane muszą być fizycznie doprowadzone przed sędziego lub inną osobę ustawowo uprawnioną do sprawowania władzy sądowej.</w:t>
      </w:r>
      <w:r w:rsidRPr="00772CDD">
        <w:rPr>
          <w:rStyle w:val="Odwoanieprzypisudolnego"/>
          <w:lang w:val="pl-PL"/>
        </w:rPr>
        <w:footnoteReference w:id="103"/>
      </w:r>
      <w:r w:rsidRPr="00772CDD">
        <w:rPr>
          <w:lang w:val="pl-PL"/>
        </w:rPr>
        <w:t xml:space="preserve"> Fizyczna obecność osób zatrzymanych na rozprawie daje możliwość otrzymania informacji na temat traktowania, któremu zostali poddani w areszcie</w:t>
      </w:r>
      <w:r w:rsidRPr="00772CDD">
        <w:rPr>
          <w:rStyle w:val="Odwoanieprzypisudolnego"/>
          <w:lang w:val="pl-PL"/>
        </w:rPr>
        <w:footnoteReference w:id="104"/>
      </w:r>
      <w:r w:rsidRPr="00772CDD">
        <w:rPr>
          <w:lang w:val="pl-PL"/>
        </w:rPr>
        <w:t xml:space="preserve"> i ułatwia natychmiastowe przeniesienie do aresztu śledczego, jeśli nakazane zostanie dalszej zatrzymanie. Tym samym, służy za zabezpieczenie prawa do bezpieczeństwa osobistego i zakazu tortur i okrutnego, nieludzkiego lub poniżającego traktowania. Podczas rozprawy oraz w trakcie kolejnych rozpraw, podczas których sędzia ocenia legalność lub konieczność zatrzymania, osoba zatrzymana ma prawo do pomocy prawnej, która co do zasady świadczona powinna być przez wybranego adwokata.</w:t>
      </w:r>
      <w:r w:rsidRPr="00772CDD">
        <w:rPr>
          <w:rStyle w:val="Odwoanieprzypisudolnego"/>
          <w:lang w:val="pl-PL"/>
        </w:rPr>
        <w:footnoteReference w:id="105"/>
      </w:r>
      <w:r w:rsidRPr="00772CDD">
        <w:rPr>
          <w:lang w:val="pl-PL"/>
        </w:rPr>
        <w:t xml:space="preserve"> </w:t>
      </w:r>
    </w:p>
    <w:p w14:paraId="53BF9AB0" w14:textId="77777777" w:rsidR="007814B2" w:rsidRPr="00772CDD" w:rsidRDefault="007814B2" w:rsidP="00FB461A">
      <w:pPr>
        <w:pStyle w:val="SingleTxtG"/>
        <w:numPr>
          <w:ilvl w:val="0"/>
          <w:numId w:val="9"/>
        </w:numPr>
        <w:ind w:left="1134" w:firstLine="0"/>
        <w:rPr>
          <w:lang w:val="pl-PL"/>
        </w:rPr>
      </w:pPr>
      <w:r w:rsidRPr="00772CDD">
        <w:rPr>
          <w:lang w:val="pl-PL"/>
        </w:rPr>
        <w:t>Przetrzymywanie w izolacji, które uniemożliwia stawienie się przed sędzią z natury narusza ustęp 3.</w:t>
      </w:r>
      <w:r w:rsidRPr="00772CDD">
        <w:rPr>
          <w:rStyle w:val="Odwoanieprzypisudolnego"/>
          <w:lang w:val="pl-PL"/>
        </w:rPr>
        <w:footnoteReference w:id="106"/>
      </w:r>
      <w:r w:rsidRPr="00772CDD">
        <w:rPr>
          <w:lang w:val="pl-PL"/>
        </w:rPr>
        <w:t xml:space="preserve"> W zależności od czasu jego trwania i innych faktów, przetrzymywanie w izolacji może również naruszać inne zapisy Paktu, w szczególności artykułu 6, 7, 10 i 14.</w:t>
      </w:r>
      <w:r w:rsidRPr="00772CDD">
        <w:rPr>
          <w:rStyle w:val="Odwoanieprzypisudolnego"/>
          <w:lang w:val="pl-PL"/>
        </w:rPr>
        <w:footnoteReference w:id="107"/>
      </w:r>
      <w:r w:rsidRPr="00772CDD">
        <w:rPr>
          <w:lang w:val="pl-PL"/>
        </w:rPr>
        <w:t xml:space="preserve"> </w:t>
      </w:r>
      <w:r w:rsidRPr="00772CDD">
        <w:rPr>
          <w:lang w:val="pl-PL"/>
        </w:rPr>
        <w:lastRenderedPageBreak/>
        <w:t>Państwa-strony powinny umożliwiać i ułatwiać dostęp do pomocy prawnej osobom zatrzymanym w prowadzonym postępowaniu karnym od chwili od rozpoczęcia ich zatrzymania.</w:t>
      </w:r>
      <w:r w:rsidRPr="00772CDD">
        <w:rPr>
          <w:rStyle w:val="Odwoanieprzypisudolnego"/>
          <w:lang w:val="pl-PL"/>
        </w:rPr>
        <w:footnoteReference w:id="108"/>
      </w:r>
    </w:p>
    <w:p w14:paraId="789E41F4" w14:textId="77777777" w:rsidR="007814B2" w:rsidRPr="00772CDD" w:rsidRDefault="007814B2" w:rsidP="00677648">
      <w:pPr>
        <w:pStyle w:val="SingleTxtG"/>
        <w:numPr>
          <w:ilvl w:val="0"/>
          <w:numId w:val="9"/>
        </w:numPr>
        <w:ind w:left="1134" w:firstLine="0"/>
        <w:rPr>
          <w:lang w:val="pl-PL"/>
        </w:rPr>
      </w:pPr>
      <w:r w:rsidRPr="00772CDD">
        <w:rPr>
          <w:lang w:val="pl-PL"/>
        </w:rPr>
        <w:t>Po doprowadzeniu osoby zatrzymanej przed oblicze sędziego, sędzia musi zdecydować o wypuszczeniu lub dalszym zatrzymaniu na czas prowadzenia dalszych czynności śledczych lub do rozpoczęcia procesu. Jeśli brak jest podstawy prawnej dla przedłużenia aresztu, sędzia musi nakazać zwolnienie.</w:t>
      </w:r>
      <w:r w:rsidRPr="00772CDD">
        <w:rPr>
          <w:rStyle w:val="Odwoanieprzypisudolnego"/>
          <w:lang w:val="pl-PL"/>
        </w:rPr>
        <w:footnoteReference w:id="109"/>
      </w:r>
      <w:r w:rsidRPr="00772CDD">
        <w:rPr>
          <w:lang w:val="pl-PL"/>
        </w:rPr>
        <w:t>Jeśli uzasadnione jest dodatkowe dochodzenie lub rozprawa, sędzia musi zadecydować, czy osobę zatrzymaną należy zwolnić (z zastrzeżeniem warunków lub bezwarunkowo) do czasu wznowienia postępowania, ponieważ dalsze zatrzymanie nie jest potrzebne; problemu tego bardziej szczegółowo dotyka drugie zdanie ustępu 3. Zdaniem Komitetu, tymczasowe aresztowanie nie powinno obejmować powrotu do aresztu policyjnego, ale raczej odrębnego obiektu pozostającego pod władzą innego organu, gdzie zagrożenia dla praw zatrzymanego można łatwiej złagodzić.</w:t>
      </w:r>
    </w:p>
    <w:p w14:paraId="6A551CAF" w14:textId="77777777" w:rsidR="007814B2" w:rsidRPr="00772CDD" w:rsidRDefault="007814B2" w:rsidP="00FB461A">
      <w:pPr>
        <w:pStyle w:val="SingleTxtG"/>
        <w:numPr>
          <w:ilvl w:val="0"/>
          <w:numId w:val="9"/>
        </w:numPr>
        <w:ind w:left="1134" w:firstLine="0"/>
        <w:rPr>
          <w:lang w:val="pl-PL"/>
        </w:rPr>
      </w:pPr>
      <w:r w:rsidRPr="00772CDD">
        <w:rPr>
          <w:lang w:val="pl-PL"/>
        </w:rPr>
        <w:t>Drugi wymóg, wyrażony w pierwszym zdaniu ustępu 3, stanowi, że osoba zatrzymana ma prawo być osądzona w rozsądnym terminie lub zwolniona. Wymaganie to dotyczy w szczególności aresztu przedprocesowego, tj. zatrzymania w okresie między aresztowaniem, a wydaniem wyroku w pierwszej instancji.</w:t>
      </w:r>
      <w:r w:rsidRPr="00772CDD">
        <w:rPr>
          <w:rStyle w:val="Odwoanieprzypisudolnego"/>
          <w:lang w:val="pl-PL"/>
        </w:rPr>
        <w:footnoteReference w:id="110"/>
      </w:r>
      <w:r w:rsidRPr="00772CDD">
        <w:rPr>
          <w:lang w:val="pl-PL"/>
        </w:rPr>
        <w:t xml:space="preserve"> Długotrwały areszt przedprocesowy może również zagrażać zasadzie domniemania niewinności, wyrażonej w artykule 14, ustęp 2.</w:t>
      </w:r>
      <w:r w:rsidRPr="00772CDD">
        <w:rPr>
          <w:rStyle w:val="Odwoanieprzypisudolnego"/>
          <w:lang w:val="pl-PL"/>
        </w:rPr>
        <w:footnoteReference w:id="111"/>
      </w:r>
      <w:r w:rsidRPr="00772CDD">
        <w:rPr>
          <w:lang w:val="pl-PL"/>
        </w:rPr>
        <w:t xml:space="preserve"> Osoby, które nie zostały zwolnione na czas postępowania muszą zostać osądzone najszybciej jak to możliwe, w zakresie zgodnym z ich prawami do obrony.</w:t>
      </w:r>
      <w:r w:rsidRPr="00772CDD">
        <w:rPr>
          <w:rStyle w:val="Odwoanieprzypisudolnego"/>
          <w:lang w:val="pl-PL"/>
        </w:rPr>
        <w:footnoteReference w:id="112"/>
      </w:r>
      <w:r w:rsidRPr="00772CDD">
        <w:rPr>
          <w:lang w:val="pl-PL"/>
        </w:rPr>
        <w:t xml:space="preserve"> Zasadność</w:t>
      </w:r>
      <w:r w:rsidRPr="00772CDD">
        <w:rPr>
          <w:rFonts w:eastAsia="Calibri"/>
          <w:lang w:val="pl-PL"/>
        </w:rPr>
        <w:t xml:space="preserve"> </w:t>
      </w:r>
      <w:r w:rsidRPr="00772CDD">
        <w:rPr>
          <w:lang w:val="pl-PL"/>
        </w:rPr>
        <w:t xml:space="preserve">wszelkich </w:t>
      </w:r>
      <w:r w:rsidRPr="00772CDD">
        <w:rPr>
          <w:rFonts w:eastAsia="Calibri"/>
          <w:lang w:val="pl-PL"/>
        </w:rPr>
        <w:t>opóźnień rozpoczęcia przewodu sądowego musi być oceniona w kontekście okoliczności danej sprawy, biorąc pod uwagę jej poziom skomplikowania, zachowanie oskarżonego w trakcie postępowania oraz sposób, w jaki sprawa była prowadzona przez władzę wykonawczą i sądowniczą</w:t>
      </w:r>
      <w:r w:rsidRPr="00772CDD">
        <w:rPr>
          <w:lang w:val="pl-PL"/>
        </w:rPr>
        <w:t>.</w:t>
      </w:r>
      <w:r w:rsidRPr="00772CDD">
        <w:rPr>
          <w:rStyle w:val="Odwoanieprzypisudolnego"/>
          <w:lang w:val="pl-PL"/>
        </w:rPr>
        <w:footnoteReference w:id="113"/>
      </w:r>
      <w:r w:rsidRPr="00772CDD">
        <w:rPr>
          <w:lang w:val="pl-PL"/>
        </w:rPr>
        <w:t xml:space="preserve">  Przeszkody stojące na drodze zakończenia dochodzenia mogą uzasadniać dodatkowy czas,</w:t>
      </w:r>
      <w:r w:rsidRPr="00772CDD">
        <w:rPr>
          <w:rStyle w:val="Odwoanieprzypisudolnego"/>
          <w:lang w:val="pl-PL"/>
        </w:rPr>
        <w:footnoteReference w:id="114"/>
      </w:r>
      <w:r w:rsidRPr="00772CDD">
        <w:rPr>
          <w:lang w:val="pl-PL"/>
        </w:rPr>
        <w:t xml:space="preserve"> ale ogólne warunki kadrowe lub ograniczenia budżetowe nie są stosownym wytłumaczeniem.</w:t>
      </w:r>
      <w:r w:rsidRPr="00772CDD">
        <w:rPr>
          <w:rStyle w:val="Odwoanieprzypisudolnego"/>
          <w:lang w:val="pl-PL"/>
        </w:rPr>
        <w:footnoteReference w:id="115"/>
      </w:r>
      <w:r w:rsidRPr="00772CDD">
        <w:rPr>
          <w:lang w:val="pl-PL"/>
        </w:rPr>
        <w:t xml:space="preserve"> Jeśli opóźnienia nie da się uniknąć, sędzia musi rozważyć zastosowanie alternatywy wobec tymczasowego aresztowania.</w:t>
      </w:r>
      <w:r w:rsidRPr="00772CDD">
        <w:rPr>
          <w:rStyle w:val="Odwoanieprzypisudolnego"/>
          <w:lang w:val="pl-PL"/>
        </w:rPr>
        <w:footnoteReference w:id="116"/>
      </w:r>
      <w:r w:rsidRPr="00772CDD">
        <w:rPr>
          <w:lang w:val="pl-PL"/>
        </w:rPr>
        <w:t xml:space="preserve">  Należy unikać tymczasowego aresztowania młodocianych, lecz kiedy ma ono miejsce – w myśl artykułu 10, ustęp 2 (b) mają oni prawo do bycia postawionymi przed sądem w szczególnie szybkim trybie.</w:t>
      </w:r>
      <w:r w:rsidRPr="00772CDD">
        <w:rPr>
          <w:rStyle w:val="Odwoanieprzypisudolnego"/>
          <w:lang w:val="pl-PL"/>
        </w:rPr>
        <w:footnoteReference w:id="117"/>
      </w:r>
    </w:p>
    <w:p w14:paraId="5E3A46E8" w14:textId="0274E16E" w:rsidR="007814B2" w:rsidRPr="00772CDD" w:rsidRDefault="007814B2" w:rsidP="004E4928">
      <w:pPr>
        <w:pStyle w:val="SingleTxtG"/>
        <w:numPr>
          <w:ilvl w:val="0"/>
          <w:numId w:val="9"/>
        </w:numPr>
        <w:ind w:left="1134" w:firstLine="0"/>
        <w:rPr>
          <w:lang w:val="pl-PL"/>
        </w:rPr>
      </w:pPr>
      <w:r w:rsidRPr="00772CDD">
        <w:rPr>
          <w:lang w:val="pl-PL"/>
        </w:rPr>
        <w:lastRenderedPageBreak/>
        <w:t>Drugie zdanie ustępu 3 artykułu 9 stanowi, że osoby oczekujące na rozprawę mają być zatrzymane w areszcie jako wyjątek, a nie ogólna zasada. Określa również, że zwolnienie ich może być uzależnione od gwarancji zapewniających ich stawienie się na rozprawę, w każdej innej fazie postępowania sądowego oraz - w razie potrzeby - w celu wykonania wyroku. Zdanie to ma zastosowanie do osób oczekujących na proces, którym przedstawiono już zarzuty karne, lecz podobny wymóg przed oskarżeniem wynika z zakazu samowolnego zatrzymania w ustępie 1.</w:t>
      </w:r>
      <w:r w:rsidRPr="00772CDD">
        <w:rPr>
          <w:rStyle w:val="Odwoanieprzypisudolnego"/>
          <w:lang w:val="pl-PL"/>
        </w:rPr>
        <w:footnoteReference w:id="118"/>
      </w:r>
      <w:r w:rsidRPr="00772CDD">
        <w:rPr>
          <w:lang w:val="pl-PL"/>
        </w:rPr>
        <w:t xml:space="preserve">  Poddawanie oskarżonych aresztowi tymczasowemu nie powinno być powszechną praktyką. Areszt przedprocesowy musi opierać się na indywidualnym określeniu, że rozsądnym i koniecznym jest wzięcie pod uwagę wszystkich okoliczności z powodów takich jak zapobieganie ucieczce, ingerencji w dowody lub ponownemu popełnieniu przestępstwa.</w:t>
      </w:r>
      <w:r w:rsidRPr="00772CDD">
        <w:rPr>
          <w:rStyle w:val="Odwoanieprzypisudolnego"/>
          <w:lang w:val="pl-PL"/>
        </w:rPr>
        <w:footnoteReference w:id="119"/>
      </w:r>
      <w:r w:rsidRPr="00772CDD">
        <w:rPr>
          <w:lang w:val="pl-PL"/>
        </w:rPr>
        <w:t xml:space="preserve"> Przedmiotowo istotne czynniki powinny być określone w przepisach prawa i nie powinny zawierać kategorii niejasnych i szerokich, przykładowo "bezpieczeństwo publiczne".</w:t>
      </w:r>
      <w:r w:rsidRPr="00772CDD">
        <w:rPr>
          <w:rStyle w:val="Odwoanieprzypisudolnego"/>
          <w:lang w:val="pl-PL"/>
        </w:rPr>
        <w:footnoteReference w:id="120"/>
      </w:r>
      <w:r w:rsidRPr="00772CDD">
        <w:rPr>
          <w:lang w:val="pl-PL"/>
        </w:rPr>
        <w:t>Areszt przedprocesowy nie powinien być obowiązkowy dla wszystkich oskarżonych o popełnienie danego przestępstwa, bez względu na okoliczności indywidualne.</w:t>
      </w:r>
      <w:r w:rsidRPr="00772CDD">
        <w:rPr>
          <w:rStyle w:val="Odwoanieprzypisudolnego"/>
          <w:lang w:val="pl-PL"/>
        </w:rPr>
        <w:footnoteReference w:id="121"/>
      </w:r>
      <w:r w:rsidRPr="00772CDD">
        <w:rPr>
          <w:lang w:val="pl-PL"/>
        </w:rPr>
        <w:t xml:space="preserve"> Areszt przedsądowy nie powinien być również zarządzany w oparciu o potencjalny wyrok, a tylko w oparciu o stwierdzenie takowej konieczności. Sądy muszą ustalić, czy alternatywy wobec aresztu przedsądowego, takie jak kaucja, elektroniczne opaski lub inne narzucone warunki, w danym przypadku uczyniłyby zatrzymanie zbędnym.</w:t>
      </w:r>
      <w:r w:rsidRPr="00772CDD">
        <w:rPr>
          <w:rStyle w:val="Odwoanieprzypisudolnego"/>
          <w:lang w:val="pl-PL"/>
        </w:rPr>
        <w:footnoteReference w:id="122"/>
      </w:r>
      <w:r w:rsidRPr="00772CDD">
        <w:rPr>
          <w:lang w:val="pl-PL"/>
        </w:rPr>
        <w:t xml:space="preserve"> Jeśli oskarżony jest cudzoziemcem, faktu tego nie można uznać za wystarczający do ustalenia, że może on uciec wymiarowi sprawiedliwości.</w:t>
      </w:r>
      <w:r w:rsidRPr="00772CDD">
        <w:rPr>
          <w:rStyle w:val="Odwoanieprzypisudolnego"/>
          <w:lang w:val="pl-PL"/>
        </w:rPr>
        <w:footnoteReference w:id="123"/>
      </w:r>
      <w:r w:rsidRPr="00772CDD">
        <w:rPr>
          <w:lang w:val="pl-PL"/>
        </w:rPr>
        <w:t xml:space="preserve"> Po początkowym ustaleniu, że areszt przedprocesowy jest niezbędny, powinny następować okresowe </w:t>
      </w:r>
      <w:r w:rsidR="00772CDD">
        <w:rPr>
          <w:lang w:val="pl-PL"/>
        </w:rPr>
        <w:t>kontrole</w:t>
      </w:r>
      <w:r w:rsidRPr="00772CDD">
        <w:rPr>
          <w:lang w:val="pl-PL"/>
        </w:rPr>
        <w:t>, czy nadal jest to środek racjonalny i niezbędny w świetle możliwych alternatyw.</w:t>
      </w:r>
      <w:r w:rsidRPr="00772CDD">
        <w:rPr>
          <w:rStyle w:val="Odwoanieprzypisudolnego"/>
          <w:lang w:val="pl-PL"/>
        </w:rPr>
        <w:footnoteReference w:id="124"/>
      </w:r>
      <w:r w:rsidRPr="00772CDD">
        <w:rPr>
          <w:lang w:val="pl-PL"/>
        </w:rPr>
        <w:t xml:space="preserve"> Jeśli czas, na jaki oskarżony został zatrzymany osiąga długość najdłuższego wyroku grożącego za dane przestępstwo, oskarżony powinien zostać zwolniony. W przypadku osób młodocianych należy unikać stosowania aresztu przedprocesowego w zakresie, w jakim jest to tylko możliwe.</w:t>
      </w:r>
      <w:r w:rsidRPr="00772CDD">
        <w:rPr>
          <w:rStyle w:val="Odwoanieprzypisudolnego"/>
          <w:lang w:val="pl-PL"/>
        </w:rPr>
        <w:footnoteReference w:id="125"/>
      </w:r>
    </w:p>
    <w:p w14:paraId="7CBF0A3E" w14:textId="77777777" w:rsidR="007814B2" w:rsidRPr="00772CDD" w:rsidRDefault="007814B2" w:rsidP="00EF7CB3">
      <w:pPr>
        <w:pStyle w:val="HChG"/>
        <w:outlineLvl w:val="0"/>
        <w:rPr>
          <w:lang w:val="pl-PL"/>
        </w:rPr>
      </w:pPr>
      <w:r w:rsidRPr="00772CDD">
        <w:rPr>
          <w:lang w:val="pl-PL"/>
        </w:rPr>
        <w:tab/>
        <w:t>V.</w:t>
      </w:r>
      <w:r w:rsidRPr="00772CDD">
        <w:rPr>
          <w:lang w:val="pl-PL"/>
        </w:rPr>
        <w:tab/>
        <w:t>Prawo do podjęcia postępowania o zarządzenie zwolnienia od bezprawnego lub samowolnego zatrzymania</w:t>
      </w:r>
    </w:p>
    <w:p w14:paraId="47F8F62B" w14:textId="77777777" w:rsidR="007814B2" w:rsidRPr="00772CDD" w:rsidRDefault="00AB4143" w:rsidP="00677648">
      <w:pPr>
        <w:pStyle w:val="SingleTxtG"/>
        <w:numPr>
          <w:ilvl w:val="0"/>
          <w:numId w:val="9"/>
        </w:numPr>
        <w:ind w:left="1134" w:firstLine="0"/>
        <w:rPr>
          <w:iCs/>
          <w:lang w:val="pl-PL"/>
        </w:rPr>
      </w:pPr>
      <w:r w:rsidRPr="00772CDD">
        <w:rPr>
          <w:lang w:val="pl-PL"/>
        </w:rPr>
        <w:t xml:space="preserve">Artykuł 9, ustęp 4 uprawnia każdą osobę pozbawioną wolności przez aresztowanie lub zatrzymanie do odwołania się do sądu w celu niezwłocznego orzeczenia przez sąd o legalności zatrzymania i zarządzenia zwolnienia, jeżeli to zatrzymanie okaże się bezprawne. Stanowi to potwierdzenie zasady </w:t>
      </w:r>
      <w:r w:rsidRPr="00772CDD">
        <w:rPr>
          <w:i/>
          <w:lang w:val="pl-PL"/>
        </w:rPr>
        <w:t>habeas corpus</w:t>
      </w:r>
      <w:r w:rsidR="007814B2" w:rsidRPr="00772CDD">
        <w:rPr>
          <w:i/>
          <w:lang w:val="pl-PL"/>
        </w:rPr>
        <w:t>.</w:t>
      </w:r>
      <w:r w:rsidR="007814B2" w:rsidRPr="00772CDD">
        <w:rPr>
          <w:rStyle w:val="Odwoanieprzypisudolnego"/>
          <w:lang w:val="pl-PL"/>
        </w:rPr>
        <w:footnoteReference w:id="126"/>
      </w:r>
      <w:r w:rsidR="007814B2" w:rsidRPr="00772CDD">
        <w:rPr>
          <w:lang w:val="pl-PL"/>
        </w:rPr>
        <w:t xml:space="preserve"> Ocena faktycznych podstaw zatrzymania może, w odpowiednich okolicznościach, być ograniczona do sprawdzenia zasadności wcześniejszych ustaleń.</w:t>
      </w:r>
      <w:r w:rsidR="007814B2" w:rsidRPr="00772CDD">
        <w:rPr>
          <w:rStyle w:val="Odwoanieprzypisudolnego"/>
          <w:lang w:val="pl-PL"/>
        </w:rPr>
        <w:footnoteReference w:id="127"/>
      </w:r>
      <w:r w:rsidR="007814B2" w:rsidRPr="00772CDD">
        <w:rPr>
          <w:lang w:val="pl-PL"/>
        </w:rPr>
        <w:t xml:space="preserve"> </w:t>
      </w:r>
    </w:p>
    <w:p w14:paraId="35089D06" w14:textId="77777777" w:rsidR="007814B2" w:rsidRPr="00772CDD" w:rsidRDefault="007814B2" w:rsidP="00FB461A">
      <w:pPr>
        <w:pStyle w:val="SingleTxtG"/>
        <w:numPr>
          <w:ilvl w:val="0"/>
          <w:numId w:val="9"/>
        </w:numPr>
        <w:ind w:left="1134" w:firstLine="0"/>
        <w:rPr>
          <w:lang w:val="pl-PL"/>
        </w:rPr>
      </w:pPr>
      <w:r w:rsidRPr="00772CDD">
        <w:rPr>
          <w:lang w:val="pl-PL"/>
        </w:rPr>
        <w:t xml:space="preserve">Prawo to ma zastosowanie do wszelkich zatrzymań w drodze oficjalnego działania lub na podstawie oficjalnego zezwolenia, w tym zatrzymania w związku z postępowaniem </w:t>
      </w:r>
      <w:r w:rsidRPr="00772CDD">
        <w:rPr>
          <w:lang w:val="pl-PL"/>
        </w:rPr>
        <w:lastRenderedPageBreak/>
        <w:t>karnym, aresztu wojskowego, zatrzymania zabezpieczającego, zatrzymania w sprawach terrorystycznych, przymusowej hospitalizacji, zatrzymań imigrantów, zatrzymania poprzedzającego ekstradycję i całkowicie bezpodstawnych aresztowań.</w:t>
      </w:r>
      <w:r w:rsidRPr="00772CDD">
        <w:rPr>
          <w:rStyle w:val="Odwoanieprzypisudolnego"/>
          <w:lang w:val="pl-PL"/>
        </w:rPr>
        <w:footnoteReference w:id="128"/>
      </w:r>
      <w:r w:rsidRPr="00772CDD">
        <w:rPr>
          <w:lang w:val="pl-PL"/>
        </w:rPr>
        <w:t xml:space="preserve"> Dotyczy również zatrzymania za włóczęgostwo lub narkomanię, zatrzymania w celach edukacyjnych dzieci stojących w konflikcie z prawem</w:t>
      </w:r>
      <w:r w:rsidRPr="00772CDD">
        <w:rPr>
          <w:rStyle w:val="Odwoanieprzypisudolnego"/>
          <w:lang w:val="pl-PL"/>
        </w:rPr>
        <w:footnoteReference w:id="129"/>
      </w:r>
      <w:r w:rsidRPr="00772CDD">
        <w:rPr>
          <w:lang w:val="pl-PL"/>
        </w:rPr>
        <w:t xml:space="preserve"> oraz innych form zatrzymań administracyjnych.</w:t>
      </w:r>
      <w:r w:rsidRPr="00772CDD">
        <w:rPr>
          <w:rStyle w:val="Odwoanieprzypisudolnego"/>
          <w:lang w:val="pl-PL"/>
        </w:rPr>
        <w:footnoteReference w:id="130"/>
      </w:r>
      <w:r w:rsidRPr="00772CDD">
        <w:rPr>
          <w:lang w:val="pl-PL"/>
        </w:rPr>
        <w:t xml:space="preserve"> Zatrzymanie w rozumieniu ustępu 4 obejmuje również areszt domowy i osadzenie w izolacji.</w:t>
      </w:r>
      <w:r w:rsidRPr="00772CDD">
        <w:rPr>
          <w:rStyle w:val="Odwoanieprzypisudolnego"/>
          <w:lang w:val="pl-PL"/>
        </w:rPr>
        <w:footnoteReference w:id="131"/>
      </w:r>
      <w:r w:rsidRPr="00772CDD">
        <w:rPr>
          <w:lang w:val="pl-PL"/>
        </w:rPr>
        <w:t xml:space="preserve"> Jeśli więzień odbywa minimalny okres kary pozbawienia wolności w wyniku skazania sądowego, zarówno w przypadku wyroku na określony czas, albo ustaloną część potencjalnie dłuższego wyroku, ustęp 4 nie wymaga dalszych ocen podstaw zatrzymania.</w:t>
      </w:r>
      <w:r w:rsidRPr="00772CDD">
        <w:rPr>
          <w:rStyle w:val="Odwoanieprzypisudolnego"/>
          <w:lang w:val="pl-PL"/>
        </w:rPr>
        <w:footnoteReference w:id="132"/>
      </w:r>
      <w:r w:rsidRPr="00772CDD">
        <w:rPr>
          <w:lang w:val="pl-PL"/>
        </w:rPr>
        <w:t xml:space="preserve"> </w:t>
      </w:r>
    </w:p>
    <w:p w14:paraId="267CBB02" w14:textId="77777777" w:rsidR="007814B2" w:rsidRPr="00772CDD" w:rsidRDefault="007814B2" w:rsidP="0064060F">
      <w:pPr>
        <w:pStyle w:val="SingleTxtG"/>
        <w:numPr>
          <w:ilvl w:val="0"/>
          <w:numId w:val="9"/>
        </w:numPr>
        <w:ind w:left="1134" w:firstLine="0"/>
        <w:rPr>
          <w:lang w:val="pl-PL"/>
        </w:rPr>
      </w:pPr>
      <w:r w:rsidRPr="00772CDD">
        <w:rPr>
          <w:lang w:val="pl-PL"/>
        </w:rPr>
        <w:t>Przedmiotem prawa jest zwolnienie (bezwarunkowe albo warunkowe)</w:t>
      </w:r>
      <w:r w:rsidRPr="00772CDD">
        <w:rPr>
          <w:rStyle w:val="Odwoanieprzypisudolnego"/>
          <w:lang w:val="pl-PL"/>
        </w:rPr>
        <w:footnoteReference w:id="133"/>
      </w:r>
      <w:r w:rsidRPr="00772CDD">
        <w:rPr>
          <w:lang w:val="pl-PL"/>
        </w:rPr>
        <w:t xml:space="preserve"> od trwającego bezprawnego zatrzymania; odszkodowanie za bezprawne zatrzymanie, które dobiegło już końca, jest określone w ustępie 5. Ustęp 4 wymaga, aby sąd badający sprawę miał prawo wydania zwolnienia od bezprawnego zatrzymania.</w:t>
      </w:r>
      <w:r w:rsidRPr="00772CDD">
        <w:rPr>
          <w:rStyle w:val="Odwoanieprzypisudolnego"/>
          <w:lang w:val="pl-PL"/>
        </w:rPr>
        <w:footnoteReference w:id="134"/>
      </w:r>
      <w:r w:rsidRPr="00772CDD">
        <w:rPr>
          <w:lang w:val="pl-PL"/>
        </w:rPr>
        <w:t xml:space="preserve"> W chwili, w której sądowy nakaz zwolnienia, zgodnie z ustępem 4, staje się skuteczny (</w:t>
      </w:r>
      <w:r w:rsidRPr="00772CDD">
        <w:rPr>
          <w:i/>
          <w:lang w:val="pl-PL"/>
        </w:rPr>
        <w:t>executoire</w:t>
      </w:r>
      <w:r w:rsidRPr="00772CDD">
        <w:rPr>
          <w:lang w:val="pl-PL"/>
        </w:rPr>
        <w:t>), musi być przestrzegany w trybie natychmiastowym, a dalsze zatrzymanie byłoby samowolne i stanowiło naruszenie artykułu 9, ustęp 1.</w:t>
      </w:r>
      <w:r w:rsidRPr="00772CDD">
        <w:rPr>
          <w:rStyle w:val="Odwoanieprzypisudolnego"/>
          <w:lang w:val="pl-PL"/>
        </w:rPr>
        <w:footnoteReference w:id="135"/>
      </w:r>
    </w:p>
    <w:p w14:paraId="1A1F0EAD" w14:textId="77777777" w:rsidR="007814B2" w:rsidRPr="00772CDD" w:rsidRDefault="007814B2" w:rsidP="00FB461A">
      <w:pPr>
        <w:pStyle w:val="SingleTxtG"/>
        <w:numPr>
          <w:ilvl w:val="0"/>
          <w:numId w:val="9"/>
        </w:numPr>
        <w:ind w:left="1134" w:firstLine="0"/>
        <w:rPr>
          <w:lang w:val="pl-PL"/>
        </w:rPr>
      </w:pPr>
      <w:r w:rsidRPr="00772CDD">
        <w:rPr>
          <w:lang w:val="pl-PL"/>
        </w:rPr>
        <w:t>Prawo do wszczęcia postępowania stosuje się w zasadzie od momentu aresztowania, a każde znaczące opóźnienie nim zatrzymany będzie mógł wnieść skargę na zatrzymanie jest niedopuszczalne.</w:t>
      </w:r>
      <w:r w:rsidRPr="00772CDD">
        <w:rPr>
          <w:rStyle w:val="Odwoanieprzypisudolnego"/>
          <w:lang w:val="pl-PL"/>
        </w:rPr>
        <w:footnoteReference w:id="136"/>
      </w:r>
      <w:r w:rsidRPr="00772CDD">
        <w:rPr>
          <w:lang w:val="pl-PL"/>
        </w:rPr>
        <w:t xml:space="preserve"> Co do zasady, osoba zatrzymana ma prawo do stawienia się osobiście przed sądem, szczególnie gdy jej obecność będzie służyć badaniu legalności zatrzymania lub gdy pojawiają się pytania dotyczące złego traktowania osoby zatrzymanej.</w:t>
      </w:r>
      <w:r w:rsidRPr="00772CDD">
        <w:rPr>
          <w:rStyle w:val="Odwoanieprzypisudolnego"/>
          <w:lang w:val="pl-PL"/>
        </w:rPr>
        <w:footnoteReference w:id="137"/>
      </w:r>
      <w:r w:rsidRPr="00772CDD">
        <w:rPr>
          <w:lang w:val="pl-PL"/>
        </w:rPr>
        <w:t xml:space="preserve"> Sąd musi mieć prawo doprowadzenia osoby zatrzymanej przed swoje oblicze, bez względu na wniosek samej osoby zatrzymanej.</w:t>
      </w:r>
    </w:p>
    <w:p w14:paraId="3482B93F" w14:textId="77777777" w:rsidR="00AD231B" w:rsidRPr="00772CDD" w:rsidRDefault="007814B2" w:rsidP="004E4928">
      <w:pPr>
        <w:pStyle w:val="SingleTxtG"/>
        <w:numPr>
          <w:ilvl w:val="0"/>
          <w:numId w:val="9"/>
        </w:numPr>
        <w:ind w:left="1134" w:firstLine="0"/>
        <w:rPr>
          <w:lang w:val="pl-PL"/>
        </w:rPr>
      </w:pPr>
      <w:r w:rsidRPr="00772CDD">
        <w:rPr>
          <w:lang w:val="pl-PL"/>
        </w:rPr>
        <w:t>Bezprawne zatrzymanie obejmuje zatrzymanie, które było zgodne z prawem w chwili jego rozpoczęcia, ale stało się bezprawne, ponieważ osoba skończyła odbywać karę pozbawienia wolności lub okoliczności uzasadniające zatrzymanie uległy zmianie.</w:t>
      </w:r>
      <w:r w:rsidRPr="00772CDD">
        <w:rPr>
          <w:rStyle w:val="Odwoanieprzypisudolnego"/>
          <w:lang w:val="pl-PL"/>
        </w:rPr>
        <w:footnoteReference w:id="138"/>
      </w:r>
      <w:r w:rsidRPr="00772CDD">
        <w:rPr>
          <w:lang w:val="pl-PL"/>
        </w:rPr>
        <w:t xml:space="preserve"> Po uznaniu przez sąd, że okoliczności uzasadniają zatrzymanie, może upłynąć właściwy okres, w zależności od rodzaju istotnych okoliczności, zanim osoba będzie uprawniona do ponownego podjęcia postępowania na podstawie podobnych przesłanek.</w:t>
      </w:r>
      <w:r w:rsidRPr="00772CDD">
        <w:rPr>
          <w:rStyle w:val="Odwoanieprzypisudolnego"/>
          <w:lang w:val="pl-PL"/>
        </w:rPr>
        <w:footnoteReference w:id="139"/>
      </w:r>
      <w:r w:rsidRPr="00772CDD">
        <w:rPr>
          <w:lang w:val="pl-PL"/>
        </w:rPr>
        <w:t xml:space="preserve"> </w:t>
      </w:r>
    </w:p>
    <w:p w14:paraId="16097AC9" w14:textId="77777777" w:rsidR="007814B2" w:rsidRPr="00772CDD" w:rsidRDefault="007814B2" w:rsidP="00677648">
      <w:pPr>
        <w:pStyle w:val="SingleTxtG"/>
        <w:numPr>
          <w:ilvl w:val="0"/>
          <w:numId w:val="9"/>
        </w:numPr>
        <w:ind w:left="1134" w:firstLine="0"/>
        <w:rPr>
          <w:lang w:val="pl-PL"/>
        </w:rPr>
      </w:pPr>
      <w:r w:rsidRPr="00772CDD">
        <w:rPr>
          <w:lang w:val="pl-PL"/>
        </w:rPr>
        <w:t xml:space="preserve">"Bezprawne" zatrzymanie obejmuje zarówno zatrzymanie, które narusza prawo krajowe oraz zatrzymanie, które jest niezgodne z wymogami artykułu 9 ustęp 1 lub z </w:t>
      </w:r>
      <w:r w:rsidRPr="00772CDD">
        <w:rPr>
          <w:lang w:val="pl-PL"/>
        </w:rPr>
        <w:lastRenderedPageBreak/>
        <w:t>dowolnym innym, odpowiednim przepisem Paktu.</w:t>
      </w:r>
      <w:r w:rsidRPr="00772CDD">
        <w:rPr>
          <w:rStyle w:val="Odwoanieprzypisudolnego"/>
          <w:lang w:val="pl-PL"/>
        </w:rPr>
        <w:footnoteReference w:id="140"/>
      </w:r>
      <w:r w:rsidRPr="00772CDD">
        <w:rPr>
          <w:lang w:val="pl-PL"/>
        </w:rPr>
        <w:t xml:space="preserve"> Choć krajowe systemy prawne mogą ustanowić inne metody zapewniania sądowej kontroli zatrzymania, ustęp 4 wymaga aby istniał sądowy środek ochrony prawnej wobec zatrzymania, które jest niezgodne z prawem z jednej z tych przyczyn.</w:t>
      </w:r>
      <w:r w:rsidRPr="00772CDD">
        <w:rPr>
          <w:rStyle w:val="Odwoanieprzypisudolnego"/>
          <w:lang w:val="pl-PL"/>
        </w:rPr>
        <w:footnoteReference w:id="141"/>
      </w:r>
      <w:r w:rsidR="005870CA" w:rsidRPr="00772CDD">
        <w:rPr>
          <w:lang w:val="pl-PL"/>
        </w:rPr>
        <w:t xml:space="preserve"> </w:t>
      </w:r>
      <w:r w:rsidRPr="00772CDD">
        <w:rPr>
          <w:lang w:val="pl-PL"/>
        </w:rPr>
        <w:t>Przykładowo, prawo sądu rodzinnego do zarządzenia zwolnienia dziecka z aresztu, który nie leży w jego najlepszym interesie, może w stosownych przypadkach spełniać wymagania ustępu 4.</w:t>
      </w:r>
      <w:r w:rsidRPr="00772CDD">
        <w:rPr>
          <w:rStyle w:val="Odwoanieprzypisudolnego"/>
          <w:lang w:val="pl-PL"/>
        </w:rPr>
        <w:footnoteReference w:id="142"/>
      </w:r>
      <w:r w:rsidRPr="00772CDD">
        <w:rPr>
          <w:lang w:val="pl-PL"/>
        </w:rPr>
        <w:t xml:space="preserve"> </w:t>
      </w:r>
    </w:p>
    <w:p w14:paraId="04B81CC8" w14:textId="77777777" w:rsidR="007814B2" w:rsidRPr="00772CDD" w:rsidRDefault="00AB4143" w:rsidP="00FB461A">
      <w:pPr>
        <w:pStyle w:val="SingleTxtG"/>
        <w:numPr>
          <w:ilvl w:val="0"/>
          <w:numId w:val="9"/>
        </w:numPr>
        <w:ind w:left="1134" w:firstLine="0"/>
        <w:rPr>
          <w:lang w:val="pl-PL"/>
        </w:rPr>
      </w:pPr>
      <w:r w:rsidRPr="00772CDD">
        <w:rPr>
          <w:lang w:val="pl-PL"/>
        </w:rPr>
        <w:t>Ustęp 4 uprawnia osobę do podjęcia postępowania przed "sądem", który w normalnych okolicznościach powinien być sądem w ramach wymiaru sprawiedliwości. Wyjątkowo, dla niektórych form zatrzymania, ustawodawstwo może przewidywać postępowanie przed specjalnym trybunałem, który musi być ustanowiony przepisami prawa i być niezależny od władzy wykonawczej i sądowniczej, bądź cieszyć się niezawisłością sądową w podejmowaniu decyzji w postępowaniach o charakterze sądowym.</w:t>
      </w:r>
      <w:r w:rsidR="007814B2" w:rsidRPr="00772CDD">
        <w:rPr>
          <w:rStyle w:val="Odwoanieprzypisudolnego"/>
          <w:lang w:val="pl-PL"/>
        </w:rPr>
        <w:footnoteReference w:id="143"/>
      </w:r>
      <w:r w:rsidR="007814B2" w:rsidRPr="00772CDD">
        <w:rPr>
          <w:lang w:val="pl-PL"/>
        </w:rPr>
        <w:t xml:space="preserve"> </w:t>
      </w:r>
    </w:p>
    <w:p w14:paraId="2634DB22" w14:textId="77777777" w:rsidR="007814B2" w:rsidRPr="00772CDD" w:rsidRDefault="00AB4143" w:rsidP="004E4928">
      <w:pPr>
        <w:pStyle w:val="SingleTxtG"/>
        <w:numPr>
          <w:ilvl w:val="0"/>
          <w:numId w:val="9"/>
        </w:numPr>
        <w:ind w:left="1134" w:firstLine="0"/>
        <w:rPr>
          <w:lang w:val="pl-PL"/>
        </w:rPr>
      </w:pPr>
      <w:r w:rsidRPr="00772CDD">
        <w:rPr>
          <w:lang w:val="pl-PL"/>
        </w:rPr>
        <w:t>Ustęp 4 pozostawia możliwość wszczęcia postępowania w gestii osób zatrzymanych lub osób działających w ich imieniu; w przeciwieństwie do ustępu 3, nie wymaga on automatycznego rozpoczęcia kontroli przez władze przetrzymujące daną osobę.</w:t>
      </w:r>
      <w:r w:rsidR="007814B2" w:rsidRPr="00772CDD">
        <w:rPr>
          <w:rStyle w:val="Odwoanieprzypisudolnego"/>
          <w:lang w:val="pl-PL"/>
        </w:rPr>
        <w:footnoteReference w:id="144"/>
      </w:r>
      <w:r w:rsidR="007814B2" w:rsidRPr="00772CDD">
        <w:rPr>
          <w:lang w:val="pl-PL"/>
        </w:rPr>
        <w:t xml:space="preserve"> Prawa, które wykluczają poszczególne kategorie osób zatrzymanych z procedury kontrolnej wymaganej przez ustęp 4 naruszają Pakt.</w:t>
      </w:r>
      <w:r w:rsidR="007814B2" w:rsidRPr="00772CDD">
        <w:rPr>
          <w:rStyle w:val="Odwoanieprzypisudolnego"/>
          <w:lang w:val="pl-PL"/>
        </w:rPr>
        <w:footnoteReference w:id="145"/>
      </w:r>
      <w:r w:rsidR="007814B2" w:rsidRPr="00772CDD">
        <w:rPr>
          <w:lang w:val="pl-PL"/>
        </w:rPr>
        <w:t>Praktyki, które sprawiają, że kontrola taka w praktyce jest niedostępna dla osoby zatrzymanej, w tym przetrzymywanie w izolacji, również stanowią naruszenie.</w:t>
      </w:r>
      <w:r w:rsidR="007814B2" w:rsidRPr="00772CDD">
        <w:rPr>
          <w:rStyle w:val="Odwoanieprzypisudolnego"/>
          <w:lang w:val="pl-PL"/>
        </w:rPr>
        <w:footnoteReference w:id="146"/>
      </w:r>
      <w:r w:rsidR="007814B2" w:rsidRPr="00772CDD">
        <w:rPr>
          <w:lang w:val="pl-PL"/>
        </w:rPr>
        <w:t xml:space="preserve"> W celu ułatwienia kontroli, osoby zatrzymane powinny mieć szybki i regularny dostęp do obrońcy. Osoby zatrzymane powinny być poinformowane, w języku dla nich zrozumiałym, o prawie do wszczęcia postępowania w sprawie legalności ich zatrzymania.</w:t>
      </w:r>
      <w:r w:rsidR="007814B2" w:rsidRPr="00772CDD">
        <w:rPr>
          <w:rStyle w:val="Odwoanieprzypisudolnego"/>
          <w:lang w:val="pl-PL"/>
        </w:rPr>
        <w:footnoteReference w:id="147"/>
      </w:r>
      <w:r w:rsidR="007814B2" w:rsidRPr="00772CDD">
        <w:rPr>
          <w:lang w:val="pl-PL"/>
        </w:rPr>
        <w:t xml:space="preserve"> </w:t>
      </w:r>
    </w:p>
    <w:p w14:paraId="54C75CD9" w14:textId="2A2BA17F" w:rsidR="007814B2" w:rsidRPr="00772CDD" w:rsidRDefault="007814B2" w:rsidP="00677648">
      <w:pPr>
        <w:pStyle w:val="SingleTxtG"/>
        <w:numPr>
          <w:ilvl w:val="0"/>
          <w:numId w:val="9"/>
        </w:numPr>
        <w:ind w:left="1134" w:firstLine="0"/>
        <w:rPr>
          <w:lang w:val="pl-PL"/>
        </w:rPr>
      </w:pPr>
      <w:r w:rsidRPr="00772CDD">
        <w:rPr>
          <w:lang w:val="pl-PL"/>
        </w:rPr>
        <w:t xml:space="preserve">Osoby pozbawione wolności mają </w:t>
      </w:r>
      <w:r w:rsidR="00772CDD" w:rsidRPr="00772CDD">
        <w:rPr>
          <w:lang w:val="pl-PL"/>
        </w:rPr>
        <w:t>prawo</w:t>
      </w:r>
      <w:r w:rsidRPr="00772CDD">
        <w:rPr>
          <w:lang w:val="pl-PL"/>
        </w:rPr>
        <w:t xml:space="preserve"> nie tylko do wszczęcia postępowania, ale i bezzwłocznego otrzymania decyzji. Odmowa podjęcia decyzji właściwego sądu w sprawie wniosku o zwolnienie osoby zatrzymanej narusza ustęp 4.</w:t>
      </w:r>
      <w:r w:rsidRPr="00772CDD">
        <w:rPr>
          <w:rStyle w:val="Odwoanieprzypisudolnego"/>
          <w:lang w:val="pl-PL"/>
        </w:rPr>
        <w:footnoteReference w:id="148"/>
      </w:r>
      <w:r w:rsidRPr="00772CDD">
        <w:rPr>
          <w:lang w:val="pl-PL"/>
        </w:rPr>
        <w:t>Rozstrzygnięcie sprawy powinno nastąpić tak szybko, jak to możliwe.</w:t>
      </w:r>
      <w:r w:rsidRPr="00772CDD">
        <w:rPr>
          <w:rStyle w:val="Odwoanieprzypisudolnego"/>
          <w:lang w:val="pl-PL"/>
        </w:rPr>
        <w:footnoteReference w:id="149"/>
      </w:r>
      <w:r w:rsidRPr="00772CDD">
        <w:rPr>
          <w:lang w:val="pl-PL"/>
        </w:rPr>
        <w:t xml:space="preserve"> Opóźnienia spowodowane przez osobę składającą wniosek nie stanowią opóźnienia sądowego.</w:t>
      </w:r>
      <w:r w:rsidRPr="00772CDD">
        <w:rPr>
          <w:rStyle w:val="Odwoanieprzypisudolnego"/>
          <w:lang w:val="pl-PL"/>
        </w:rPr>
        <w:footnoteReference w:id="150"/>
      </w:r>
      <w:r w:rsidRPr="00772CDD">
        <w:rPr>
          <w:lang w:val="pl-PL"/>
        </w:rPr>
        <w:t xml:space="preserve"> </w:t>
      </w:r>
    </w:p>
    <w:p w14:paraId="7F41E531" w14:textId="77777777" w:rsidR="007814B2" w:rsidRPr="00772CDD" w:rsidRDefault="007814B2" w:rsidP="00677648">
      <w:pPr>
        <w:pStyle w:val="SingleTxtG"/>
        <w:numPr>
          <w:ilvl w:val="0"/>
          <w:numId w:val="9"/>
        </w:numPr>
        <w:ind w:left="1134" w:firstLine="0"/>
        <w:rPr>
          <w:lang w:val="pl-PL"/>
        </w:rPr>
      </w:pPr>
      <w:r w:rsidRPr="00772CDD">
        <w:rPr>
          <w:lang w:val="pl-PL"/>
        </w:rPr>
        <w:t>Pakt nie wymaga, aby od decyzji potwierdzającej legalność zatrzymania przysługiwało odwołanie. Jeśli Państwo-strona przewiduje odwołanie lub kolejne instancje, opóźnienie może odpowiadać zmieniającej się naturze postępowania, ale w żadnym wypadku nie może być nadmierne.</w:t>
      </w:r>
      <w:r w:rsidRPr="00772CDD">
        <w:rPr>
          <w:rStyle w:val="Odwoanieprzypisudolnego"/>
          <w:lang w:val="pl-PL"/>
        </w:rPr>
        <w:footnoteReference w:id="151"/>
      </w:r>
      <w:r w:rsidRPr="00772CDD">
        <w:rPr>
          <w:lang w:val="pl-PL"/>
        </w:rPr>
        <w:t xml:space="preserve"> </w:t>
      </w:r>
    </w:p>
    <w:p w14:paraId="1E028C61" w14:textId="77777777" w:rsidR="007814B2" w:rsidRPr="00772CDD" w:rsidRDefault="007814B2" w:rsidP="00EF7CB3">
      <w:pPr>
        <w:pStyle w:val="HChG"/>
        <w:outlineLvl w:val="0"/>
        <w:rPr>
          <w:lang w:val="pl-PL"/>
        </w:rPr>
      </w:pPr>
      <w:r w:rsidRPr="00772CDD">
        <w:rPr>
          <w:lang w:val="pl-PL"/>
        </w:rPr>
        <w:lastRenderedPageBreak/>
        <w:tab/>
        <w:t>VI.</w:t>
      </w:r>
      <w:r w:rsidRPr="00772CDD">
        <w:rPr>
          <w:lang w:val="pl-PL"/>
        </w:rPr>
        <w:tab/>
        <w:t>Prawo do odszkodowania za niezgodne z prawem lub samowolne aresztowanie lub zatrzymanie</w:t>
      </w:r>
    </w:p>
    <w:p w14:paraId="62D01737" w14:textId="77777777" w:rsidR="007814B2" w:rsidRPr="00772CDD" w:rsidRDefault="00AB4143" w:rsidP="00677648">
      <w:pPr>
        <w:pStyle w:val="SingleTxtG"/>
        <w:numPr>
          <w:ilvl w:val="0"/>
          <w:numId w:val="9"/>
        </w:numPr>
        <w:ind w:left="1134" w:firstLine="0"/>
        <w:rPr>
          <w:lang w:val="pl-PL"/>
        </w:rPr>
      </w:pPr>
      <w:r w:rsidRPr="00772CDD">
        <w:rPr>
          <w:lang w:val="pl-PL"/>
        </w:rPr>
        <w:t>Ustęp 5 artykułu 9 zapewnia, że każdy, kto został bezprawnie aresztowany lub zatrzymany, ma prawo do odszkodowania. Podobnie to ustępu 4, ustęp 5 stanowi konkretny przykład skutecznego środka ochronnego przeciw łamaniu praw człowieka, który Państwa-strony mają obowiązek zapewnić. Te konkretne środki ochrony prawnej nie zastępują, ale ustanowione są obok innych środków, które w mogą być wymagane, w konkretnych sytuacjach dotyczących ofiar bezprawnych lub samowolnych aresztowań lub zatrzymań, przez artykuł 2, ustęp 3 Paktu.</w:t>
      </w:r>
      <w:r w:rsidR="007814B2" w:rsidRPr="00772CDD">
        <w:rPr>
          <w:rStyle w:val="Odwoanieprzypisudolnego"/>
          <w:lang w:val="pl-PL"/>
        </w:rPr>
        <w:footnoteReference w:id="152"/>
      </w:r>
      <w:r w:rsidR="007814B2" w:rsidRPr="00772CDD">
        <w:rPr>
          <w:lang w:val="pl-PL"/>
        </w:rPr>
        <w:t>Tam, gdzie ustęp 4 zapewnia szybki środek ochrony w celu zwolnienia od trwającego bieżącego zatrzymania, ustęp 5 wyjaśnia, że ofiara niezgodnego z prawem aresztowania lub zatrzymania ma również prawo do rekompensaty finansowej.</w:t>
      </w:r>
    </w:p>
    <w:p w14:paraId="641778BD" w14:textId="77777777" w:rsidR="007814B2" w:rsidRPr="00772CDD" w:rsidRDefault="00AB4143" w:rsidP="00FB461A">
      <w:pPr>
        <w:pStyle w:val="SingleTxtG"/>
        <w:numPr>
          <w:ilvl w:val="0"/>
          <w:numId w:val="9"/>
        </w:numPr>
        <w:ind w:left="1134" w:firstLine="0"/>
        <w:rPr>
          <w:lang w:val="pl-PL"/>
        </w:rPr>
      </w:pPr>
      <w:r w:rsidRPr="00772CDD">
        <w:rPr>
          <w:lang w:val="pl-PL"/>
        </w:rPr>
        <w:t>Ustęp 5 zobowiązuje Państwa-strony do ustanowienia ram prawnych pozwalających przyznawać ofiarom odszkodowania jako możliwe do wyegzekwowania prawo, a nie kwestię łaski lub uznania. Środek ten nie może istnieć tylko w teorii, ale musi działać skutecznie, a płatność musi być dokonana w rozsądnym terminie. Ustęp 5 nie określa dokładnej formy procedury, która może obejmować środki zaradcze przeciwko samemu Państwu lub poszczególnym urzędnikom odpowiedzialnym za naruszenie, tak długo, jak są one skuteczne.</w:t>
      </w:r>
      <w:r w:rsidR="00AC750D" w:rsidRPr="00772CDD">
        <w:rPr>
          <w:rStyle w:val="Odwoanieprzypisudolnego"/>
          <w:lang w:val="pl-PL"/>
        </w:rPr>
        <w:footnoteReference w:id="153"/>
      </w:r>
      <w:r w:rsidR="007814B2" w:rsidRPr="00772CDD">
        <w:rPr>
          <w:lang w:val="pl-PL"/>
        </w:rPr>
        <w:t xml:space="preserve"> </w:t>
      </w:r>
      <w:r w:rsidRPr="00772CDD">
        <w:rPr>
          <w:lang w:val="pl-PL"/>
        </w:rPr>
        <w:t xml:space="preserve">Ustęp 5 nie wymaga ustalenia jednej procedury dla zapewniania odszkodowań za wszystkie rodzaje bezprawnego aresztowania, lecz istnienia skutecznego systemu procedur zapewniających odszkodowanie we wszystkich przypadkach objętych ustępem 5. Ustęp 5 nie zobowiązuje Państw-stron do zapewniania ofiarom odszkodowań </w:t>
      </w:r>
      <w:r w:rsidR="007814B2" w:rsidRPr="00772CDD">
        <w:rPr>
          <w:i/>
          <w:lang w:val="pl-PL"/>
        </w:rPr>
        <w:t>sua sponte</w:t>
      </w:r>
      <w:r w:rsidR="007814B2" w:rsidRPr="00772CDD">
        <w:rPr>
          <w:lang w:val="pl-PL"/>
        </w:rPr>
        <w:t>, a pozwala pozostawić wszczęcie postępowania o odszkodowanie w gestii ofiary.</w:t>
      </w:r>
      <w:r w:rsidR="007814B2" w:rsidRPr="00772CDD">
        <w:rPr>
          <w:rStyle w:val="Odwoanieprzypisudolnego"/>
          <w:lang w:val="pl-PL"/>
        </w:rPr>
        <w:footnoteReference w:id="154"/>
      </w:r>
    </w:p>
    <w:p w14:paraId="737FC9BE" w14:textId="77777777" w:rsidR="007814B2" w:rsidRPr="00772CDD" w:rsidRDefault="007814B2" w:rsidP="004E4928">
      <w:pPr>
        <w:pStyle w:val="SingleTxtG"/>
        <w:numPr>
          <w:ilvl w:val="0"/>
          <w:numId w:val="9"/>
        </w:numPr>
        <w:ind w:left="1134" w:firstLine="0"/>
        <w:rPr>
          <w:lang w:val="pl-PL"/>
        </w:rPr>
      </w:pPr>
      <w:r w:rsidRPr="00772CDD">
        <w:rPr>
          <w:lang w:val="pl-PL"/>
        </w:rPr>
        <w:t>Bezprawne aresztowanie i zatrzymanie w rozumieniu ustępu 5 obejmują aresztowania i zatrzymania dokonane w ramach postępowania karnego lub innego niż karne, albo w przypadku braku jakiegokolwiek postępowania.</w:t>
      </w:r>
      <w:r w:rsidRPr="00772CDD">
        <w:rPr>
          <w:rStyle w:val="Odwoanieprzypisudolnego"/>
          <w:lang w:val="pl-PL"/>
        </w:rPr>
        <w:footnoteReference w:id="155"/>
      </w:r>
      <w:r w:rsidRPr="00772CDD">
        <w:rPr>
          <w:lang w:val="pl-PL"/>
        </w:rPr>
        <w:t xml:space="preserve"> "Bezprawny" charakter postępowania lub zatrzymania może wynikać z naruszenia prawa krajowego lub samego Paktu, takiego jak samowolne zatrzymanie lub zatrzymanie naruszające proceduralne wymogi pozostałych ustępów artykułu 9.</w:t>
      </w:r>
      <w:r w:rsidRPr="00772CDD">
        <w:rPr>
          <w:rStyle w:val="Odwoanieprzypisudolnego"/>
          <w:lang w:val="pl-PL"/>
        </w:rPr>
        <w:footnoteReference w:id="156"/>
      </w:r>
      <w:r w:rsidRPr="00772CDD">
        <w:rPr>
          <w:lang w:val="pl-PL"/>
        </w:rPr>
        <w:t xml:space="preserve"> Jednakże, fakt, iż oskarżony został ostatecznie uniewinniony, w pierwszej instancji lub w postępowaniu odwoławczym, samo w sobie nie czyni uprzedniego zatrzymania "bezprawnym".</w:t>
      </w:r>
      <w:r w:rsidRPr="00772CDD">
        <w:rPr>
          <w:rStyle w:val="Odwoanieprzypisudolnego"/>
          <w:lang w:val="pl-PL"/>
        </w:rPr>
        <w:footnoteReference w:id="157"/>
      </w:r>
      <w:r w:rsidRPr="00772CDD">
        <w:rPr>
          <w:lang w:val="pl-PL"/>
        </w:rPr>
        <w:t xml:space="preserve"> </w:t>
      </w:r>
    </w:p>
    <w:p w14:paraId="086B6B1F" w14:textId="77777777" w:rsidR="007814B2" w:rsidRPr="00772CDD" w:rsidRDefault="007814B2" w:rsidP="00743528">
      <w:pPr>
        <w:pStyle w:val="SingleTxtG"/>
        <w:numPr>
          <w:ilvl w:val="0"/>
          <w:numId w:val="9"/>
        </w:numPr>
        <w:ind w:left="1134" w:firstLine="0"/>
        <w:rPr>
          <w:lang w:val="pl-PL"/>
        </w:rPr>
      </w:pPr>
      <w:r w:rsidRPr="00772CDD">
        <w:rPr>
          <w:lang w:val="pl-PL"/>
        </w:rPr>
        <w:t xml:space="preserve">Rekompensata finansowa wymagana przez ustęp 5 odnosi się ściśle do szkód majątkowych i niemajątkowych wynikających z bezprawnego aresztowania lub </w:t>
      </w:r>
      <w:r w:rsidRPr="00772CDD">
        <w:rPr>
          <w:lang w:val="pl-PL"/>
        </w:rPr>
        <w:lastRenderedPageBreak/>
        <w:t>zatrzymania.</w:t>
      </w:r>
      <w:r w:rsidRPr="00772CDD">
        <w:rPr>
          <w:rStyle w:val="Odwoanieprzypisudolnego"/>
          <w:lang w:val="pl-PL"/>
        </w:rPr>
        <w:footnoteReference w:id="158"/>
      </w:r>
      <w:r w:rsidRPr="00772CDD">
        <w:rPr>
          <w:lang w:val="pl-PL"/>
        </w:rPr>
        <w:t xml:space="preserve"> Gdy bezprawność aresztowania wynika z naruszenia innych praw człowieka, takich jak wolność wypowiedzi, Państwo-strona może być zobowiązane do wypłaty odszkodowań lub innych reparacji w odniesieniu do tych naruszeń, zgodnie z artykułem 2, ustęp 3 Paktu.</w:t>
      </w:r>
      <w:r w:rsidRPr="00772CDD">
        <w:rPr>
          <w:rStyle w:val="Odwoanieprzypisudolnego"/>
          <w:lang w:val="pl-PL"/>
        </w:rPr>
        <w:footnoteReference w:id="159"/>
      </w:r>
    </w:p>
    <w:p w14:paraId="1BF949B9" w14:textId="77777777" w:rsidR="007814B2" w:rsidRPr="00772CDD" w:rsidRDefault="007814B2" w:rsidP="00EF7CB3">
      <w:pPr>
        <w:pStyle w:val="HChG"/>
        <w:outlineLvl w:val="0"/>
        <w:rPr>
          <w:lang w:val="pl-PL"/>
        </w:rPr>
      </w:pPr>
      <w:r w:rsidRPr="00772CDD">
        <w:rPr>
          <w:lang w:val="pl-PL"/>
        </w:rPr>
        <w:tab/>
        <w:t>VII.</w:t>
      </w:r>
      <w:r w:rsidRPr="00772CDD">
        <w:rPr>
          <w:lang w:val="pl-PL"/>
        </w:rPr>
        <w:tab/>
        <w:t>Związek artykułu 9 z pozostałymi postanowieniami Paktu</w:t>
      </w:r>
    </w:p>
    <w:p w14:paraId="458E004B" w14:textId="77777777" w:rsidR="007814B2" w:rsidRPr="00772CDD" w:rsidRDefault="007814B2" w:rsidP="00677648">
      <w:pPr>
        <w:pStyle w:val="SingleTxtG"/>
        <w:numPr>
          <w:ilvl w:val="0"/>
          <w:numId w:val="9"/>
        </w:numPr>
        <w:ind w:left="1134" w:firstLine="0"/>
        <w:rPr>
          <w:iCs/>
          <w:lang w:val="pl-PL"/>
        </w:rPr>
      </w:pPr>
      <w:r w:rsidRPr="00772CDD">
        <w:rPr>
          <w:iCs/>
          <w:lang w:val="pl-PL"/>
        </w:rPr>
        <w:t>Proceduralne i materialne gwarancje artykułu 9 zarówno nakładają się na pozostałe gwarancje Paktu, jak i współdziałają z nimi.  Niektóre formy postępowania same w sobie stanowią naruszenie artykułu 9 i innych artykułów, przykładowo, opóźnienia w doprowadzeniu osoby zatrzymanej do sądu, co może stanowić naruszenie zarówno artykułu 9, ustęp 3 oraz artykułu 14, ustęp 3(c). W niektórych sytuacjach treść artykułu 9, ustęp 1 jest uzupełniana o treść innych artykułów; przykładowo, zatrzymanie może być samowolne z powodu faktu, że stanowi karę za wolność słowa, z naruszeniem artykułu 19.</w:t>
      </w:r>
      <w:r w:rsidRPr="00772CDD">
        <w:rPr>
          <w:rStyle w:val="Odwoanieprzypisudolnego"/>
          <w:lang w:val="pl-PL"/>
        </w:rPr>
        <w:footnoteReference w:id="160"/>
      </w:r>
    </w:p>
    <w:p w14:paraId="73AE1F06" w14:textId="77777777" w:rsidR="007814B2" w:rsidRPr="00772CDD" w:rsidRDefault="00AB4143" w:rsidP="00FB461A">
      <w:pPr>
        <w:pStyle w:val="SingleTxtG"/>
        <w:numPr>
          <w:ilvl w:val="0"/>
          <w:numId w:val="9"/>
        </w:numPr>
        <w:ind w:left="1134" w:firstLine="0"/>
        <w:rPr>
          <w:lang w:val="pl-PL"/>
        </w:rPr>
      </w:pPr>
      <w:r w:rsidRPr="00772CDD">
        <w:rPr>
          <w:lang w:val="pl-PL"/>
        </w:rPr>
        <w:t>Artykuł 9 wzmacnia również wynikające z Paktu i Protokołu Fakultatywnego obowiązki Państw-stron do ochrony jednostek przed prześladowaniami w formie fizycznego zastraszania lub gróźb wobec wolności osobistej za współpracę lub przekazywanie informacji Komitetowi.</w:t>
      </w:r>
      <w:r w:rsidR="007814B2" w:rsidRPr="00772CDD">
        <w:rPr>
          <w:rStyle w:val="Odwoanieprzypisudolnego"/>
          <w:lang w:val="pl-PL"/>
        </w:rPr>
        <w:footnoteReference w:id="161"/>
      </w:r>
    </w:p>
    <w:p w14:paraId="79E92AF4" w14:textId="77777777" w:rsidR="007814B2" w:rsidRPr="00772CDD" w:rsidRDefault="007814B2" w:rsidP="00677648">
      <w:pPr>
        <w:pStyle w:val="SingleTxtG"/>
        <w:numPr>
          <w:ilvl w:val="0"/>
          <w:numId w:val="9"/>
        </w:numPr>
        <w:ind w:left="1134" w:firstLine="0"/>
        <w:rPr>
          <w:iCs/>
          <w:lang w:val="pl-PL"/>
        </w:rPr>
      </w:pPr>
      <w:r w:rsidRPr="00772CDD">
        <w:rPr>
          <w:iCs/>
          <w:lang w:val="pl-PL"/>
        </w:rPr>
        <w:t>Prawo do życia gwarantowane przez artykuł 6 Paktu, w tym prawo do ochrony życia wynikające z artykułu 6, ustęp 1, może pokrywać się z prawem do bezpieczeństwa osobistego gwarantowanego przez artykuł 9, ustęp 1. Prawo do bezpieczeństwa osobistego może być traktowane szerzej, obejmując też obrażenia, które nie są groźne dla życia. Ekstremalne formy samowolnego zatrzymania, same w sobie groźne dla życia, naruszają prawa do wolności i bezpieczeństwa osobistego, a także prawo do ochrony życia, w szczególności dotyczy to wymuszonych zaginięć.</w:t>
      </w:r>
      <w:r w:rsidRPr="00772CDD">
        <w:rPr>
          <w:rStyle w:val="Odwoanieprzypisudolnego"/>
          <w:lang w:val="pl-PL"/>
        </w:rPr>
        <w:footnoteReference w:id="162"/>
      </w:r>
      <w:r w:rsidRPr="00772CDD">
        <w:rPr>
          <w:iCs/>
          <w:lang w:val="pl-PL"/>
        </w:rPr>
        <w:t xml:space="preserve"> </w:t>
      </w:r>
    </w:p>
    <w:p w14:paraId="0121C390" w14:textId="77777777" w:rsidR="007814B2" w:rsidRPr="00772CDD" w:rsidRDefault="007814B2" w:rsidP="00677648">
      <w:pPr>
        <w:pStyle w:val="SingleTxtG"/>
        <w:numPr>
          <w:ilvl w:val="0"/>
          <w:numId w:val="9"/>
        </w:numPr>
        <w:ind w:left="1134" w:firstLine="0"/>
        <w:rPr>
          <w:iCs/>
          <w:lang w:val="pl-PL"/>
        </w:rPr>
      </w:pPr>
      <w:r w:rsidRPr="00772CDD">
        <w:rPr>
          <w:iCs/>
          <w:lang w:val="pl-PL"/>
        </w:rPr>
        <w:t>Samowolne zatrzymanie stwarza ryzyko tortur i złego traktowania; szereg gwarancji proceduralnych zawartych w artykule 9 służy do zmniejszenia prawdopodobieństwa wystąpienia takich zagrożeń. Długotrwałe przetrzymywanie w izolacji narusza artykuł 9 i traktowane jest jako naruszenie artykułu 7.</w:t>
      </w:r>
      <w:r w:rsidRPr="00772CDD">
        <w:rPr>
          <w:rStyle w:val="Odwoanieprzypisudolnego"/>
          <w:lang w:val="pl-PL"/>
        </w:rPr>
        <w:footnoteReference w:id="163"/>
      </w:r>
      <w:r w:rsidRPr="00772CDD">
        <w:rPr>
          <w:iCs/>
          <w:lang w:val="pl-PL"/>
        </w:rPr>
        <w:t>Prawo do bezpieczeństwa osobistego chroni interesy związane z nietykalnością cielesną i psychiczną, chronione również przez artykuł 7.</w:t>
      </w:r>
      <w:r w:rsidRPr="00772CDD">
        <w:rPr>
          <w:rStyle w:val="Odwoanieprzypisudolnego"/>
          <w:lang w:val="pl-PL"/>
        </w:rPr>
        <w:footnoteReference w:id="164"/>
      </w:r>
    </w:p>
    <w:p w14:paraId="0758149A" w14:textId="77777777" w:rsidR="007814B2" w:rsidRPr="00772CDD" w:rsidRDefault="007814B2" w:rsidP="00677648">
      <w:pPr>
        <w:pStyle w:val="SingleTxtG"/>
        <w:numPr>
          <w:ilvl w:val="0"/>
          <w:numId w:val="9"/>
        </w:numPr>
        <w:ind w:left="1134" w:firstLine="0"/>
        <w:rPr>
          <w:iCs/>
          <w:lang w:val="pl-PL"/>
        </w:rPr>
      </w:pPr>
      <w:r w:rsidRPr="00772CDD">
        <w:rPr>
          <w:iCs/>
          <w:lang w:val="pl-PL"/>
        </w:rPr>
        <w:t>Powrót osoby do kraju, w którym istnieją poważne podstawy, by sądzić, że osoba ta stoi w obliczu realnego ryzyka poważnego naruszenia wolności lub bezpieczeństwa osobistego, w tym samowolnego zatrzymania, może stanowić nieludzkie traktowanie, zakazane przez artykuł 7 Paktu.</w:t>
      </w:r>
      <w:r w:rsidRPr="00772CDD">
        <w:rPr>
          <w:rStyle w:val="Odwoanieprzypisudolnego"/>
          <w:lang w:val="pl-PL"/>
        </w:rPr>
        <w:footnoteReference w:id="165"/>
      </w:r>
      <w:r w:rsidRPr="00772CDD">
        <w:rPr>
          <w:iCs/>
          <w:lang w:val="pl-PL"/>
        </w:rPr>
        <w:t xml:space="preserve"> </w:t>
      </w:r>
    </w:p>
    <w:p w14:paraId="591B0EA5" w14:textId="77777777" w:rsidR="007814B2" w:rsidRPr="00772CDD" w:rsidRDefault="007814B2" w:rsidP="00677648">
      <w:pPr>
        <w:pStyle w:val="SingleTxtG"/>
        <w:numPr>
          <w:ilvl w:val="0"/>
          <w:numId w:val="9"/>
        </w:numPr>
        <w:ind w:left="1134" w:firstLine="0"/>
        <w:rPr>
          <w:lang w:val="pl-PL"/>
        </w:rPr>
      </w:pPr>
      <w:r w:rsidRPr="00772CDD">
        <w:rPr>
          <w:lang w:val="pl-PL"/>
        </w:rPr>
        <w:t xml:space="preserve">Szereg zabezpieczeń niezbędnych dla zapobiegania torturom jest również wymagany w celu ochrony osób zatrzymanych w dowolnej formie przed samowolnym </w:t>
      </w:r>
      <w:r w:rsidRPr="00772CDD">
        <w:rPr>
          <w:lang w:val="pl-PL"/>
        </w:rPr>
        <w:lastRenderedPageBreak/>
        <w:t>zatrzymaniem i naruszenie bezpieczeństwa osobistego.</w:t>
      </w:r>
      <w:r w:rsidRPr="00772CDD">
        <w:rPr>
          <w:rStyle w:val="Odwoanieprzypisudolnego"/>
          <w:lang w:val="pl-PL"/>
        </w:rPr>
        <w:footnoteReference w:id="166"/>
      </w:r>
      <w:r w:rsidRPr="00772CDD">
        <w:rPr>
          <w:lang w:val="pl-PL"/>
        </w:rPr>
        <w:t xml:space="preserve"> </w:t>
      </w:r>
      <w:r w:rsidR="00226677" w:rsidRPr="00772CDD">
        <w:rPr>
          <w:lang w:val="pl-PL"/>
        </w:rPr>
        <w:t>Lista poniższych przykładów jest otwarta. Zatrzymani powinni być przetrzymywani tyko w obiektach urzędowo uznanych za miejsca zatrzymań. Należy prowadzić scentralizowany, oficjalny rejestr nazwisk i miejsc odosobnienia, czasów przyjazdu i wyjazdu, a także nazwisk osób odpowiedzialnych za zatrzymanie. Dane te powinny być łatwo dostępne dla zainteresowanych stron, w tym krewnych.</w:t>
      </w:r>
      <w:r w:rsidRPr="00772CDD">
        <w:rPr>
          <w:rStyle w:val="Odwoanieprzypisudolnego"/>
          <w:lang w:val="pl-PL"/>
        </w:rPr>
        <w:footnoteReference w:id="167"/>
      </w:r>
      <w:r w:rsidRPr="00772CDD">
        <w:rPr>
          <w:lang w:val="pl-PL"/>
        </w:rPr>
        <w:t xml:space="preserve"> Należy zapewnić szybki i regularny dostęp do niezależnego personelu medycznego, pomocy prawnej oraz – pod odpowiednim nadzorem, gdy wymaga tego cel zatrzymania – członków rodziny.</w:t>
      </w:r>
      <w:r w:rsidRPr="00772CDD">
        <w:rPr>
          <w:rStyle w:val="Odwoanieprzypisudolnego"/>
          <w:lang w:val="pl-PL"/>
        </w:rPr>
        <w:footnoteReference w:id="168"/>
      </w:r>
      <w:r w:rsidRPr="00772CDD">
        <w:rPr>
          <w:lang w:val="pl-PL"/>
        </w:rPr>
        <w:t>Osoby zatrzymane powinny być niezwłocznie informowane o swoich prawach w zrozumiałym dla nich języku;</w:t>
      </w:r>
      <w:r w:rsidRPr="00772CDD">
        <w:rPr>
          <w:rStyle w:val="Odwoanieprzypisudolnego"/>
          <w:lang w:val="pl-PL"/>
        </w:rPr>
        <w:footnoteReference w:id="169"/>
      </w:r>
      <w:r w:rsidR="00A10E70" w:rsidRPr="00772CDD">
        <w:rPr>
          <w:lang w:val="pl-PL"/>
        </w:rPr>
        <w:t xml:space="preserve"> </w:t>
      </w:r>
      <w:r w:rsidR="00795713" w:rsidRPr="00772CDD">
        <w:rPr>
          <w:lang w:val="pl-PL"/>
        </w:rPr>
        <w:t>zapewnienie ulotek informacyjnych we właściwym języku, wliczając alfabet Braille'a, często może pomóc zatrzymanemu w zachowaniu informacji. Zatrzymani cudzoziemcy powinni być informowani o swoim prawie do komunikowania się z władzami konsularnymi lub, w przypadku osób ubiegających się o azyl – z Biurem Wysokiego Komisarza Narodów Zjednoczonych do Spraw Uchodźców.</w:t>
      </w:r>
      <w:r w:rsidR="000C7E17" w:rsidRPr="00772CDD">
        <w:rPr>
          <w:rStyle w:val="Odwoanieprzypisudolnego"/>
          <w:lang w:val="pl-PL"/>
        </w:rPr>
        <w:footnoteReference w:id="170"/>
      </w:r>
      <w:r w:rsidRPr="00772CDD">
        <w:rPr>
          <w:lang w:val="pl-PL"/>
        </w:rPr>
        <w:t xml:space="preserve"> Należy ustanowić niezależne i bezstronne mechanizmy wizytowania i sprawdzania wszystkich miejsc odosobnienia, w tym instytucji zdrowia psychicznego.</w:t>
      </w:r>
    </w:p>
    <w:p w14:paraId="7E0DA5D8" w14:textId="77777777" w:rsidR="007814B2" w:rsidRPr="00772CDD" w:rsidRDefault="00AB4143" w:rsidP="00FB461A">
      <w:pPr>
        <w:pStyle w:val="SingleTxtG"/>
        <w:numPr>
          <w:ilvl w:val="0"/>
          <w:numId w:val="9"/>
        </w:numPr>
        <w:ind w:left="1134" w:firstLine="0"/>
        <w:rPr>
          <w:iCs/>
          <w:lang w:val="pl-PL"/>
        </w:rPr>
      </w:pPr>
      <w:r w:rsidRPr="00772CDD">
        <w:rPr>
          <w:iCs/>
          <w:lang w:val="pl-PL"/>
        </w:rPr>
        <w:t>Artykuł 10 Paktu, dotyczący warunków odosobnienia dla osób pozbawionych wolności, uzupełnia artykuł 9, który odnosi się przede wszystkim do faktu zatrzymania. Jednocześnie, prawo do bezpieczeństwa osobistego zawarte w artykule 9, ustęp 1 odnosi się do traktowania zarówno osób zatrzymanych, i innych. Stosowność warunków panujących w areszcie względem celu zatrzymania stanowi czasem czynnik pozwalający ustalić, czy zatrzymanie jest samowolne w rozumieniu artykułu 9.</w:t>
      </w:r>
      <w:r w:rsidR="007814B2" w:rsidRPr="00772CDD">
        <w:rPr>
          <w:rStyle w:val="Odwoanieprzypisudolnego"/>
          <w:lang w:val="pl-PL"/>
        </w:rPr>
        <w:footnoteReference w:id="171"/>
      </w:r>
      <w:r w:rsidR="007814B2" w:rsidRPr="00772CDD">
        <w:rPr>
          <w:iCs/>
          <w:lang w:val="pl-PL"/>
        </w:rPr>
        <w:t xml:space="preserve"> Niektóre warunki zatrzymania (takie jak odmowa dostępu do adwokata i rodziny) może prowadzić do naruszeń proceduralnych określonych w artykule 9, ustęp 3 i 4. Artykuł 10, ustęp 2 (b) wzmacnia w odniesieniu do młodocianych wymóg artykułu 9, ustęp 3, stanowiący że osoby tymczasowo aresztowane powinny być w krótkim czasie postawione przed sędzią.</w:t>
      </w:r>
    </w:p>
    <w:p w14:paraId="6CA04627" w14:textId="77777777" w:rsidR="007814B2" w:rsidRPr="00772CDD" w:rsidRDefault="007814B2" w:rsidP="00677648">
      <w:pPr>
        <w:pStyle w:val="SingleTxtG"/>
        <w:numPr>
          <w:ilvl w:val="0"/>
          <w:numId w:val="9"/>
        </w:numPr>
        <w:ind w:left="1134" w:firstLine="0"/>
        <w:rPr>
          <w:lang w:val="pl-PL"/>
        </w:rPr>
      </w:pPr>
      <w:r w:rsidRPr="00772CDD">
        <w:rPr>
          <w:iCs/>
          <w:lang w:val="pl-PL"/>
        </w:rPr>
        <w:t>Wolność poruszania się chroniona przez artykuł 12 Paktu oraz wolność osobista chroniona przez artykuł 9 wzajemnie się uzupełniają. Zatrzymanie jest szczególnie ciężką formą ograniczenia wolności przemieszczania się, ale w pewnych okolicznościach oba te artykuły mogę działać razem.</w:t>
      </w:r>
      <w:r w:rsidRPr="00772CDD">
        <w:rPr>
          <w:rStyle w:val="Odwoanieprzypisudolnego"/>
          <w:lang w:val="pl-PL"/>
        </w:rPr>
        <w:footnoteReference w:id="172"/>
      </w:r>
      <w:r w:rsidRPr="00772CDD">
        <w:rPr>
          <w:iCs/>
          <w:lang w:val="pl-PL"/>
        </w:rPr>
        <w:t xml:space="preserve"> </w:t>
      </w:r>
      <w:r w:rsidR="007D6867" w:rsidRPr="00772CDD">
        <w:rPr>
          <w:iCs/>
          <w:lang w:val="pl-PL"/>
        </w:rPr>
        <w:t xml:space="preserve">Przymusowe zatrzymanie w trakcie transportowania migranta jest często używane jako środek egzekwowania ograniczenia swobody przemieszczania się. Artykuł 9 porusza kwestię stosowania zatrzymania w celu wykonania wydalenia, deportacji lub ekstradycji. </w:t>
      </w:r>
    </w:p>
    <w:p w14:paraId="5BB03B94" w14:textId="77777777" w:rsidR="008B11E6" w:rsidRPr="00772CDD" w:rsidRDefault="007814B2" w:rsidP="00677648">
      <w:pPr>
        <w:pStyle w:val="SingleTxtG"/>
        <w:numPr>
          <w:ilvl w:val="0"/>
          <w:numId w:val="9"/>
        </w:numPr>
        <w:ind w:left="1134" w:firstLine="0"/>
        <w:rPr>
          <w:lang w:val="pl-PL"/>
        </w:rPr>
      </w:pPr>
      <w:r w:rsidRPr="00772CDD">
        <w:rPr>
          <w:lang w:val="pl-PL"/>
        </w:rPr>
        <w:t>Związek między artykułem 9 i artykułem 14 Paktu, w zakresie procesów cywilnych i karnych, został już przedstawiony.</w:t>
      </w:r>
      <w:r w:rsidRPr="00772CDD">
        <w:rPr>
          <w:rStyle w:val="Odwoanieprzypisudolnego"/>
          <w:lang w:val="pl-PL"/>
        </w:rPr>
        <w:footnoteReference w:id="173"/>
      </w:r>
      <w:r w:rsidRPr="00772CDD">
        <w:rPr>
          <w:lang w:val="pl-PL"/>
        </w:rPr>
        <w:t xml:space="preserve"> </w:t>
      </w:r>
      <w:r w:rsidR="00AB4143" w:rsidRPr="00772CDD">
        <w:rPr>
          <w:lang w:val="pl-PL"/>
        </w:rPr>
        <w:t xml:space="preserve">Artykuł 9 dotyczy pozbawienia wolności, które tylko w niektórych przypadkach ma miejsce w ramach postępowania cywilnego lub karnego w zakresie artykułu 14. Wymogi proceduralne artykułu 9, ustępy 2 – 5 mają zastosowanie do </w:t>
      </w:r>
      <w:r w:rsidR="00AB4143" w:rsidRPr="00772CDD">
        <w:rPr>
          <w:lang w:val="pl-PL"/>
        </w:rPr>
        <w:lastRenderedPageBreak/>
        <w:t>postępowań objętych zakresem artykułu 14 tylko wtedy, gdy ma miejsce aresztowanie lub zatrzymanie.</w:t>
      </w:r>
      <w:r w:rsidRPr="00772CDD">
        <w:rPr>
          <w:rStyle w:val="Odwoanieprzypisudolnego"/>
          <w:lang w:val="pl-PL"/>
        </w:rPr>
        <w:footnoteReference w:id="174"/>
      </w:r>
    </w:p>
    <w:p w14:paraId="12EA8EE2" w14:textId="77777777" w:rsidR="008B11E6" w:rsidRPr="00772CDD" w:rsidRDefault="00AB4143" w:rsidP="00677648">
      <w:pPr>
        <w:pStyle w:val="SingleTxtG"/>
        <w:numPr>
          <w:ilvl w:val="0"/>
          <w:numId w:val="9"/>
        </w:numPr>
        <w:ind w:left="1134" w:firstLine="0"/>
        <w:rPr>
          <w:lang w:val="pl-PL"/>
        </w:rPr>
      </w:pPr>
      <w:r w:rsidRPr="00772CDD">
        <w:rPr>
          <w:lang w:val="pl-PL"/>
        </w:rPr>
        <w:t>Artykuł 24, ustęp 1 Paktu uprawnia każde dziecko "do środków ochrony, jakich wymaga status małoletniego, ze strony rodziny, społeczeństwa i Państwa". Artykuł ten wymaga przyjęcia specjalnych środków w celu ochrony wolności i bezpieczeństwa osobistego każdego dziecka, oprócz środków zwykle wymaganych przez artykuł 9 w odniesieniu do każdego człowieka.</w:t>
      </w:r>
      <w:r w:rsidR="008B11E6" w:rsidRPr="00772CDD">
        <w:rPr>
          <w:vertAlign w:val="superscript"/>
          <w:lang w:val="pl-PL"/>
        </w:rPr>
        <w:footnoteReference w:id="175"/>
      </w:r>
      <w:r w:rsidR="00040AAD" w:rsidRPr="00772CDD">
        <w:rPr>
          <w:lang w:val="pl-PL"/>
        </w:rPr>
        <w:t xml:space="preserve"> </w:t>
      </w:r>
      <w:r w:rsidR="008B11E6" w:rsidRPr="00772CDD">
        <w:rPr>
          <w:lang w:val="pl-PL"/>
        </w:rPr>
        <w:t>Dziecko może być pozbawione wolności jedynie w ostateczności i na możliwie najkrótszy okres.</w:t>
      </w:r>
      <w:r w:rsidR="008B11E6" w:rsidRPr="00772CDD">
        <w:rPr>
          <w:rStyle w:val="Odwoanieprzypisudolnego"/>
          <w:lang w:val="pl-PL"/>
        </w:rPr>
        <w:footnoteReference w:id="176"/>
      </w:r>
      <w:r w:rsidR="00040AAD" w:rsidRPr="00772CDD">
        <w:rPr>
          <w:lang w:val="pl-PL"/>
        </w:rPr>
        <w:t xml:space="preserve"> Poza innymi wymaganiami mającymi zastosowanie do każdej kategorii pozbawienia wolności, dobro dziecka musi być sprawą nadrzędną przy podejmowaniu każdej decyzji o rozpoczęciu lub kontynuacji pozbawienia wolności.</w:t>
      </w:r>
      <w:r w:rsidR="00040AAD" w:rsidRPr="00772CDD">
        <w:rPr>
          <w:sz w:val="18"/>
          <w:vertAlign w:val="superscript"/>
          <w:lang w:val="pl-PL"/>
        </w:rPr>
        <w:footnoteReference w:id="177"/>
      </w:r>
      <w:r w:rsidR="00040AAD" w:rsidRPr="00772CDD">
        <w:rPr>
          <w:lang w:val="pl-PL"/>
        </w:rPr>
        <w:t xml:space="preserve"> </w:t>
      </w:r>
      <w:r w:rsidR="008B11E6" w:rsidRPr="00772CDD">
        <w:rPr>
          <w:lang w:val="pl-PL"/>
        </w:rPr>
        <w:t>Komitet przyznaje, że w niektórych przypadkach pozbawienie wolności będzie leżało w najlepszym interesie dziecka. Umieszczenie dziecka w placówce opiekuńczej stanowi pozbawienie wolności w rozumieniu artykułu 9.</w:t>
      </w:r>
      <w:r w:rsidR="008B11E6" w:rsidRPr="00772CDD">
        <w:rPr>
          <w:rStyle w:val="Odwoanieprzypisudolnego"/>
          <w:lang w:val="pl-PL"/>
        </w:rPr>
        <w:footnoteReference w:id="178"/>
      </w:r>
      <w:r w:rsidR="008B11E6" w:rsidRPr="00772CDD">
        <w:rPr>
          <w:lang w:val="pl-PL"/>
        </w:rPr>
        <w:t xml:space="preserve"> </w:t>
      </w:r>
      <w:r w:rsidR="005D5BBD" w:rsidRPr="00772CDD">
        <w:rPr>
          <w:lang w:val="pl-PL"/>
        </w:rPr>
        <w:t>Decyzja o pozbawieniu dziecka wolności musi być przedmiotem okresowej kontroli w celu ustalenia jego dalszej konieczności i zasadności.</w:t>
      </w:r>
      <w:r w:rsidR="008B11E6" w:rsidRPr="00772CDD">
        <w:rPr>
          <w:rStyle w:val="Odwoanieprzypisudolnego"/>
          <w:lang w:val="pl-PL"/>
        </w:rPr>
        <w:footnoteReference w:id="179"/>
      </w:r>
      <w:r w:rsidR="006D2846" w:rsidRPr="00772CDD">
        <w:rPr>
          <w:lang w:val="pl-PL"/>
        </w:rPr>
        <w:t xml:space="preserve"> </w:t>
      </w:r>
      <w:r w:rsidR="008B11E6" w:rsidRPr="00772CDD">
        <w:rPr>
          <w:lang w:val="pl-PL"/>
        </w:rPr>
        <w:t>Dziecko ma prawo do bycia wysłuchanym, bezpośrednio lub za pośrednictwem prawnej lub innej pomocy, w odniesieniu do wszelkich decyzji dotyczących pozbawienia wolności, a stosowane procedury powinny być odpowiednie dla dzieci.</w:t>
      </w:r>
      <w:r w:rsidR="008B11E6" w:rsidRPr="00772CDD">
        <w:rPr>
          <w:rStyle w:val="Odwoanieprzypisudolnego"/>
          <w:lang w:val="pl-PL"/>
        </w:rPr>
        <w:footnoteReference w:id="180"/>
      </w:r>
      <w:r w:rsidR="008B11E6" w:rsidRPr="00772CDD">
        <w:rPr>
          <w:lang w:val="pl-PL"/>
        </w:rPr>
        <w:t>Prawo do zwolnienia od bezprawnego zatrzymania powinno doprowadzić do powrotu dziecka do rodziny lub umieszczenia w alternatywnej formie opieki, zbieżnej z najlepszym interesem dziecka, a nie zwykłego pozostawienia dziecka samemu sobie.</w:t>
      </w:r>
      <w:r w:rsidR="008B11E6" w:rsidRPr="00772CDD">
        <w:rPr>
          <w:rStyle w:val="Odwoanieprzypisudolnego"/>
          <w:lang w:val="pl-PL"/>
        </w:rPr>
        <w:footnoteReference w:id="181"/>
      </w:r>
    </w:p>
    <w:p w14:paraId="4B784014" w14:textId="77777777" w:rsidR="007814B2" w:rsidRPr="00772CDD" w:rsidRDefault="007814B2" w:rsidP="00FB461A">
      <w:pPr>
        <w:pStyle w:val="SingleTxtG"/>
        <w:numPr>
          <w:ilvl w:val="0"/>
          <w:numId w:val="9"/>
        </w:numPr>
        <w:ind w:left="1134" w:firstLine="0"/>
        <w:rPr>
          <w:lang w:val="pl-PL"/>
        </w:rPr>
      </w:pPr>
      <w:r w:rsidRPr="00772CDD">
        <w:rPr>
          <w:lang w:val="pl-PL"/>
        </w:rPr>
        <w:t>W związku z artykułem 2, ustęp 1 Paktu, Państwa-strony mają obowiązek poszanowania i zagwarantowania praw określonych w artykule 9 wszystkim osobom, które mogą przebywać na ich terytorium oraz wszystkim osobom podlegającym ich jurysdykcji.</w:t>
      </w:r>
      <w:r w:rsidRPr="00772CDD">
        <w:rPr>
          <w:rStyle w:val="Odwoanieprzypisudolnego"/>
          <w:lang w:val="pl-PL"/>
        </w:rPr>
        <w:footnoteReference w:id="182"/>
      </w:r>
      <w:r w:rsidRPr="00772CDD">
        <w:rPr>
          <w:lang w:val="pl-PL"/>
        </w:rPr>
        <w:t xml:space="preserve"> Biorąc pod uwagę, że aresztowanie i zatrzymanie umieszczają osoby pod faktyczną kontrolą Państwa, Państwa-strony nie mogę samowolnie lub bezprawnie aresztować lub zatrzymywać osób poza ich terytorium.</w:t>
      </w:r>
      <w:r w:rsidRPr="00772CDD">
        <w:rPr>
          <w:rStyle w:val="Odwoanieprzypisudolnego"/>
          <w:lang w:val="pl-PL"/>
        </w:rPr>
        <w:footnoteReference w:id="183"/>
      </w:r>
      <w:r w:rsidRPr="00772CDD">
        <w:rPr>
          <w:lang w:val="pl-PL"/>
        </w:rPr>
        <w:t xml:space="preserve"> Państwa-strony nie mogą umieszczać osób przebywających poza ich terytorium, między innymi, w długotrwałym odosobnieniu ani pozbawiać ich prawa do kontroli legalności ich zatrzymania.</w:t>
      </w:r>
      <w:r w:rsidRPr="00772CDD">
        <w:rPr>
          <w:rStyle w:val="Odwoanieprzypisudolnego"/>
          <w:lang w:val="pl-PL"/>
        </w:rPr>
        <w:footnoteReference w:id="184"/>
      </w:r>
      <w:r w:rsidRPr="00772CDD">
        <w:rPr>
          <w:lang w:val="pl-PL"/>
        </w:rPr>
        <w:t xml:space="preserve"> Eksterytorialne umiejscowienie aresztu może być okolicznością podlegającą ocenie terminowości w myśl ustępu 3.</w:t>
      </w:r>
    </w:p>
    <w:p w14:paraId="5F3F2025" w14:textId="77777777" w:rsidR="007814B2" w:rsidRPr="00772CDD" w:rsidRDefault="007814B2" w:rsidP="00677648">
      <w:pPr>
        <w:pStyle w:val="SingleTxtG"/>
        <w:numPr>
          <w:ilvl w:val="0"/>
          <w:numId w:val="9"/>
        </w:numPr>
        <w:ind w:left="1134" w:firstLine="0"/>
        <w:rPr>
          <w:lang w:val="pl-PL"/>
        </w:rPr>
      </w:pPr>
      <w:r w:rsidRPr="00772CDD">
        <w:rPr>
          <w:lang w:val="pl-PL"/>
        </w:rPr>
        <w:lastRenderedPageBreak/>
        <w:t>W odniesieniu do artykułu 4 Paktu, Komitet zauważa, że – podobnie jak pozostałe zapisy Paktu – artykuł 9 stosuje się również w sytuacjach konfliktu zbrojnego, w których zastosowanie mają zasady międzynarodowego prawa humanitarnego.</w:t>
      </w:r>
      <w:r w:rsidRPr="00772CDD">
        <w:rPr>
          <w:rStyle w:val="Odwoanieprzypisudolnego"/>
          <w:lang w:val="pl-PL"/>
        </w:rPr>
        <w:footnoteReference w:id="185"/>
      </w:r>
      <w:r w:rsidRPr="00772CDD">
        <w:rPr>
          <w:lang w:val="pl-PL"/>
        </w:rPr>
        <w:t xml:space="preserve"> Choć zasady międzynarodowego prawa humanitarnego mogą być istotne dla celów interpretacji artykułu 9, obie sfery prawa są komplementarne, a nie wzajemnie wykluczające.</w:t>
      </w:r>
      <w:r w:rsidRPr="00772CDD">
        <w:rPr>
          <w:rStyle w:val="Odwoanieprzypisudolnego"/>
          <w:lang w:val="pl-PL"/>
        </w:rPr>
        <w:footnoteReference w:id="186"/>
      </w:r>
      <w:r w:rsidR="00E607D8" w:rsidRPr="00772CDD">
        <w:rPr>
          <w:lang w:val="pl-PL"/>
        </w:rPr>
        <w:t xml:space="preserve"> </w:t>
      </w:r>
      <w:r w:rsidR="005538D9" w:rsidRPr="00772CDD">
        <w:rPr>
          <w:lang w:val="pl-PL"/>
        </w:rPr>
        <w:t>Zatrzymanie zabezpieczające upoważnione i zgodne z regulacjami międzynarodowego prawa humanitarnego co do zasady nie jest arbitralne. W sytuacjach konfliktu, dostęp Międzynarodowego Komitetu Czerwonego Krzyża do wszystkich miejsc zatrzymań staje się niezbędnym dodatkowym zabezpieczeniem praw do wolności i bezpieczeństwa osobistego.</w:t>
      </w:r>
    </w:p>
    <w:p w14:paraId="13C12654" w14:textId="77777777" w:rsidR="007814B2" w:rsidRPr="00772CDD" w:rsidRDefault="00AB4143" w:rsidP="00677648">
      <w:pPr>
        <w:pStyle w:val="SingleTxtG"/>
        <w:numPr>
          <w:ilvl w:val="0"/>
          <w:numId w:val="9"/>
        </w:numPr>
        <w:ind w:left="1134" w:firstLine="0"/>
        <w:rPr>
          <w:lang w:val="pl-PL"/>
        </w:rPr>
      </w:pPr>
      <w:r w:rsidRPr="00772CDD">
        <w:rPr>
          <w:lang w:val="pl-PL"/>
        </w:rPr>
        <w:t>Artykuł 9 nie jest wpisany na listę praw niemożliwych do zawieszenia zawartą w artykule 4, ustęp 2 Paktu, ale istnieją ograniczenia prawa Państw-stron do zawieszenia stosowania zobowiązań. Państwa-strony zawieszające stosowanie zobowiązań wynikających ze zwykłych procedur wymaganych przez artykuł 9 w sytuacji konfliktu zbrojnego lub innego zagrożenia bezpieczeństwa publicznego muszą zapewnić, że odstępstwa te nie wykraczają poza ramy ściśle wymagane przez rzeczywistą sytuację.</w:t>
      </w:r>
      <w:r w:rsidR="007814B2" w:rsidRPr="00772CDD">
        <w:rPr>
          <w:rStyle w:val="Odwoanieprzypisudolnego"/>
          <w:lang w:val="pl-PL"/>
        </w:rPr>
        <w:footnoteReference w:id="187"/>
      </w:r>
      <w:r w:rsidR="007814B2" w:rsidRPr="00772CDD">
        <w:rPr>
          <w:lang w:val="pl-PL"/>
        </w:rPr>
        <w:t xml:space="preserve"> Środki stanowiące odstępstwo muszą pozostawać spójne z pozostałymi zobowiązaniami Państw-stron wynikającymi z prawa międzynarodowego, w tym przepisami międzynarodowego prawa humanitarnego w odniesieniu do pozbawienia wolności i braku dyskryminacji.</w:t>
      </w:r>
      <w:r w:rsidR="007814B2" w:rsidRPr="00772CDD">
        <w:rPr>
          <w:rStyle w:val="Odwoanieprzypisudolnego"/>
          <w:lang w:val="pl-PL"/>
        </w:rPr>
        <w:footnoteReference w:id="188"/>
      </w:r>
      <w:r w:rsidR="007814B2" w:rsidRPr="00772CDD">
        <w:rPr>
          <w:lang w:val="pl-PL"/>
        </w:rPr>
        <w:t xml:space="preserve"> Tym samym, zakazy brania zakładników, uprowadzeń lub tajnemu przetrzymywaniu nie podlegają możliwości zawieszenia.</w:t>
      </w:r>
      <w:r w:rsidR="007814B2" w:rsidRPr="00772CDD">
        <w:rPr>
          <w:rStyle w:val="Odwoanieprzypisudolnego"/>
          <w:lang w:val="pl-PL"/>
        </w:rPr>
        <w:footnoteReference w:id="189"/>
      </w:r>
      <w:r w:rsidR="007814B2" w:rsidRPr="00772CDD">
        <w:rPr>
          <w:lang w:val="pl-PL"/>
        </w:rPr>
        <w:t xml:space="preserve"> </w:t>
      </w:r>
    </w:p>
    <w:p w14:paraId="73E813CB" w14:textId="77777777" w:rsidR="007814B2" w:rsidRPr="00772CDD" w:rsidRDefault="007814B2" w:rsidP="00FB461A">
      <w:pPr>
        <w:pStyle w:val="SingleTxtG"/>
        <w:numPr>
          <w:ilvl w:val="0"/>
          <w:numId w:val="9"/>
        </w:numPr>
        <w:ind w:left="1134" w:firstLine="0"/>
        <w:rPr>
          <w:lang w:val="pl-PL"/>
        </w:rPr>
      </w:pPr>
      <w:r w:rsidRPr="00772CDD">
        <w:rPr>
          <w:lang w:val="pl-PL"/>
        </w:rPr>
        <w:t>W artykule 9 istnieją inne elementy, które w opinii Komitetu nie mogą być przedmiotem zgodnego z prawem zawieszenia stosowania ujętego w artykule 4. Podstawowa gwarancja chroniąca przed samowolnym zatrzymywaniem nie podlega zawieszeniu nawet w zakresie, w jakim sytuacje objęte artykułem 4 nie mogą uzasadniać pozbawienia wolności, które jest nieuzasadnione lub zbędne w danych okolicznościach.</w:t>
      </w:r>
      <w:r w:rsidRPr="00772CDD">
        <w:rPr>
          <w:rStyle w:val="Odwoanieprzypisudolnego"/>
          <w:lang w:val="pl-PL"/>
        </w:rPr>
        <w:footnoteReference w:id="190"/>
      </w:r>
      <w:r w:rsidRPr="00772CDD">
        <w:rPr>
          <w:lang w:val="pl-PL"/>
        </w:rPr>
        <w:t xml:space="preserve"> Istnienie i natura sytuacji nadzwyczajnej, która zagraża życiu narodu może, jednakże, mieć znaczenie dla ustalenia, czy dane zatrzymanie lub aresztowanie jest samowolne. Dopuszczalne odstępstwa od innych względnie obowiązujących praw mogą również być istotne, gdy pozbawienie wolności zostanie scharakteryzowane jako samowolne z powodu jego ingerencji w inne prawo chronione przez Pakt. Podczas międzynarodowych konfliktów zbrojnych, materialne i proceduralne zasady międzynarodowego prawa humanitarnego pozostają w mocy i ograniczają możliwość zawieszenia stosowania zobowiązań, tym samym pomagając zmniejszyć ryzyko samowolnych zatrzymań.</w:t>
      </w:r>
      <w:r w:rsidRPr="00772CDD">
        <w:rPr>
          <w:rStyle w:val="Odwoanieprzypisudolnego"/>
          <w:lang w:val="pl-PL"/>
        </w:rPr>
        <w:footnoteReference w:id="191"/>
      </w:r>
      <w:r w:rsidRPr="00772CDD">
        <w:rPr>
          <w:lang w:val="pl-PL"/>
        </w:rPr>
        <w:t xml:space="preserve"> Poza tym kontekstem, wymogi ścisłej konieczności i proporcjonalności ograniczają wszelkie środki stanowiące odstępstwo obejmujące zatrzymanie zabezpieczające, które muszą być ograniczone w czasie i powiązane z procedurami zapobiegającymi samowolnemu stosowaniu, jak wyjaśniono w pkt. 15 powyżej,</w:t>
      </w:r>
      <w:r w:rsidRPr="00772CDD">
        <w:rPr>
          <w:rStyle w:val="Odwoanieprzypisudolnego"/>
          <w:lang w:val="pl-PL"/>
        </w:rPr>
        <w:footnoteReference w:id="192"/>
      </w:r>
      <w:r w:rsidRPr="00772CDD">
        <w:rPr>
          <w:lang w:val="pl-PL"/>
        </w:rPr>
        <w:t xml:space="preserve"> w tym sądową kontrolę w rozumieniu pkt. 45 powyżej.</w:t>
      </w:r>
      <w:r w:rsidRPr="00772CDD">
        <w:rPr>
          <w:rStyle w:val="Odwoanieprzypisudolnego"/>
          <w:lang w:val="pl-PL"/>
        </w:rPr>
        <w:footnoteReference w:id="193"/>
      </w:r>
    </w:p>
    <w:p w14:paraId="294C4430" w14:textId="77777777" w:rsidR="007814B2" w:rsidRPr="00772CDD" w:rsidRDefault="007814B2" w:rsidP="00677648">
      <w:pPr>
        <w:pStyle w:val="SingleTxtG"/>
        <w:numPr>
          <w:ilvl w:val="0"/>
          <w:numId w:val="9"/>
        </w:numPr>
        <w:ind w:left="1134" w:firstLine="0"/>
        <w:rPr>
          <w:lang w:val="pl-PL"/>
        </w:rPr>
      </w:pPr>
      <w:r w:rsidRPr="00772CDD">
        <w:rPr>
          <w:lang w:val="pl-PL"/>
        </w:rPr>
        <w:lastRenderedPageBreak/>
        <w:t>Gwarancje proceduralne chroniące wolność osobistą nie mogą być przedmiotem zawieszenia wykonywania zobowiązań, które obchodziłoby ochronę praw bezwzględnie obowiązujących.</w:t>
      </w:r>
      <w:r w:rsidRPr="00772CDD">
        <w:rPr>
          <w:rStyle w:val="Odwoanieprzypisudolnego"/>
          <w:lang w:val="pl-PL"/>
        </w:rPr>
        <w:footnoteReference w:id="194"/>
      </w:r>
      <w:r w:rsidRPr="00772CDD">
        <w:rPr>
          <w:lang w:val="pl-PL"/>
        </w:rPr>
        <w:t xml:space="preserve">  W celu ochrony praw bezwzględnie obowiązujących, w tym zawartych w artykułach 6 i 7, prawo do wszczęcia postępowania przed sądem w celu niezwłocznego uzyskania decyzji o legalności zatrzymania nie może być ograniczone zawieszenie stosowania zobowiązań.</w:t>
      </w:r>
      <w:r w:rsidRPr="00772CDD">
        <w:rPr>
          <w:rStyle w:val="Odwoanieprzypisudolnego"/>
          <w:lang w:val="pl-PL"/>
        </w:rPr>
        <w:footnoteReference w:id="195"/>
      </w:r>
    </w:p>
    <w:p w14:paraId="6DE0BF93" w14:textId="77777777" w:rsidR="007814B2" w:rsidRPr="00772CDD" w:rsidRDefault="007814B2" w:rsidP="00677648">
      <w:pPr>
        <w:pStyle w:val="SingleTxtG"/>
        <w:numPr>
          <w:ilvl w:val="0"/>
          <w:numId w:val="9"/>
        </w:numPr>
        <w:ind w:left="1134" w:firstLine="0"/>
        <w:rPr>
          <w:lang w:val="pl-PL"/>
        </w:rPr>
      </w:pPr>
      <w:r w:rsidRPr="00772CDD">
        <w:rPr>
          <w:lang w:val="pl-PL"/>
        </w:rPr>
        <w:t>Choć zastrzeżenia do niektórych postanowień artykułu 9 są akceptowalne, zastrzeżenie przez Państwa-strony prawa do podejmowania samowolnych aresztowań i zatrzymań osób byłoby niezgodne z przedmiotem i celem Paktu.</w:t>
      </w:r>
      <w:r w:rsidRPr="00772CDD">
        <w:rPr>
          <w:rStyle w:val="Odwoanieprzypisudolnego"/>
          <w:lang w:val="pl-PL"/>
        </w:rPr>
        <w:footnoteReference w:id="196"/>
      </w:r>
    </w:p>
    <w:p w14:paraId="622257F2" w14:textId="77777777" w:rsidR="007814B2" w:rsidRPr="00772CDD" w:rsidRDefault="007814B2" w:rsidP="009E2CFA">
      <w:pPr>
        <w:pStyle w:val="SingleTxtG"/>
        <w:spacing w:before="240" w:after="0"/>
        <w:jc w:val="center"/>
        <w:rPr>
          <w:u w:val="single"/>
          <w:lang w:val="pl-PL"/>
        </w:rPr>
      </w:pPr>
      <w:r w:rsidRPr="00772CDD">
        <w:rPr>
          <w:u w:val="single"/>
          <w:lang w:val="pl-PL"/>
        </w:rPr>
        <w:tab/>
      </w:r>
      <w:r w:rsidRPr="00772CDD">
        <w:rPr>
          <w:u w:val="single"/>
          <w:lang w:val="pl-PL"/>
        </w:rPr>
        <w:tab/>
      </w:r>
      <w:r w:rsidRPr="00772CDD">
        <w:rPr>
          <w:u w:val="single"/>
          <w:lang w:val="pl-PL"/>
        </w:rPr>
        <w:tab/>
      </w:r>
    </w:p>
    <w:sectPr w:rsidR="007814B2" w:rsidRPr="00772CDD" w:rsidSect="00045D7D">
      <w:headerReference w:type="even" r:id="rId12"/>
      <w:headerReference w:type="default" r:id="rId13"/>
      <w:footerReference w:type="even" r:id="rId14"/>
      <w:footerReference w:type="default" r:id="rId15"/>
      <w:footerReference w:type="first" r:id="rId16"/>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644CF7" w14:textId="77777777" w:rsidR="00CB370B" w:rsidRDefault="00CB370B"/>
  </w:endnote>
  <w:endnote w:type="continuationSeparator" w:id="0">
    <w:p w14:paraId="7B6F1254" w14:textId="77777777" w:rsidR="00CB370B" w:rsidRDefault="00CB370B"/>
  </w:endnote>
  <w:endnote w:type="continuationNotice" w:id="1">
    <w:p w14:paraId="180EC667" w14:textId="77777777" w:rsidR="00CB370B" w:rsidRDefault="00CB37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51026" w14:textId="77777777" w:rsidR="00683B29" w:rsidRPr="00561CEF" w:rsidRDefault="00683B29" w:rsidP="00561CEF">
    <w:pPr>
      <w:pStyle w:val="Stopka"/>
      <w:tabs>
        <w:tab w:val="right" w:pos="9638"/>
      </w:tabs>
    </w:pPr>
    <w:r w:rsidRPr="00561CEF">
      <w:rPr>
        <w:b/>
        <w:sz w:val="18"/>
      </w:rPr>
      <w:fldChar w:fldCharType="begin"/>
    </w:r>
    <w:r w:rsidRPr="00561CEF">
      <w:rPr>
        <w:b/>
        <w:sz w:val="18"/>
      </w:rPr>
      <w:instrText xml:space="preserve"> PAGE  \* MERGEFORMAT </w:instrText>
    </w:r>
    <w:r w:rsidRPr="00561CEF">
      <w:rPr>
        <w:b/>
        <w:sz w:val="18"/>
      </w:rPr>
      <w:fldChar w:fldCharType="separate"/>
    </w:r>
    <w:r w:rsidR="00DD455A">
      <w:rPr>
        <w:b/>
        <w:noProof/>
        <w:sz w:val="18"/>
      </w:rPr>
      <w:t>2</w:t>
    </w:r>
    <w:r w:rsidRPr="00561CEF">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32ED8" w14:textId="77777777" w:rsidR="00683B29" w:rsidRPr="00561CEF" w:rsidRDefault="00683B29" w:rsidP="00561CEF">
    <w:pPr>
      <w:pStyle w:val="Stopka"/>
      <w:tabs>
        <w:tab w:val="right" w:pos="9638"/>
      </w:tabs>
      <w:rPr>
        <w:b/>
        <w:sz w:val="18"/>
      </w:rPr>
    </w:pPr>
    <w:r>
      <w:tab/>
    </w:r>
    <w:r w:rsidRPr="00561CEF">
      <w:rPr>
        <w:b/>
        <w:sz w:val="18"/>
      </w:rPr>
      <w:fldChar w:fldCharType="begin"/>
    </w:r>
    <w:r w:rsidRPr="00561CEF">
      <w:rPr>
        <w:b/>
        <w:sz w:val="18"/>
      </w:rPr>
      <w:instrText xml:space="preserve"> PAGE  \* MERGEFORMAT </w:instrText>
    </w:r>
    <w:r w:rsidRPr="00561CEF">
      <w:rPr>
        <w:b/>
        <w:sz w:val="18"/>
      </w:rPr>
      <w:fldChar w:fldCharType="separate"/>
    </w:r>
    <w:r w:rsidR="00DD455A">
      <w:rPr>
        <w:b/>
        <w:noProof/>
        <w:sz w:val="18"/>
      </w:rPr>
      <w:t>3</w:t>
    </w:r>
    <w:r w:rsidRPr="00561CEF">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75039" w14:textId="6C91392D" w:rsidR="00683B29" w:rsidRPr="00561CEF" w:rsidRDefault="00DD455A">
    <w:r>
      <w:rPr>
        <w:noProof/>
        <w:lang w:val="pl-PL" w:eastAsia="pl-PL"/>
      </w:rPr>
      <w:drawing>
        <wp:anchor distT="0" distB="0" distL="114300" distR="114300" simplePos="0" relativeHeight="251657728" behindDoc="0" locked="0" layoutInCell="1" allowOverlap="1" wp14:anchorId="17CBF949" wp14:editId="7BFE79BD">
          <wp:simplePos x="0" y="0"/>
          <wp:positionH relativeFrom="margin">
            <wp:posOffset>4283710</wp:posOffset>
          </wp:positionH>
          <wp:positionV relativeFrom="margin">
            <wp:posOffset>8207375</wp:posOffset>
          </wp:positionV>
          <wp:extent cx="930275" cy="230505"/>
          <wp:effectExtent l="0" t="0" r="3175" b="0"/>
          <wp:wrapNone/>
          <wp:docPr id="7" name="Obraz 7"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r w:rsidR="00683B29">
      <w:t>GE.14-24451  (E)</w:t>
    </w:r>
    <w:r w:rsidR="00683B29">
      <w:br/>
    </w:r>
    <w:r w:rsidR="00683B29" w:rsidRPr="00AD2760">
      <w:rPr>
        <w:rFonts w:ascii="C39T30Lfz" w:hAnsi="C39T30Lfz"/>
        <w:sz w:val="56"/>
      </w:rPr>
      <w:t></w:t>
    </w:r>
    <w:r w:rsidR="00683B29" w:rsidRPr="00AD2760">
      <w:rPr>
        <w:rFonts w:ascii="C39T30Lfz" w:hAnsi="C39T30Lfz"/>
        <w:sz w:val="56"/>
      </w:rPr>
      <w:t></w:t>
    </w:r>
    <w:r w:rsidR="00683B29" w:rsidRPr="00AD2760">
      <w:rPr>
        <w:rFonts w:ascii="C39T30Lfz" w:hAnsi="C39T30Lfz"/>
        <w:sz w:val="56"/>
      </w:rPr>
      <w:t></w:t>
    </w:r>
    <w:r w:rsidR="00683B29" w:rsidRPr="00AD2760">
      <w:rPr>
        <w:rFonts w:ascii="C39T30Lfz" w:hAnsi="C39T30Lfz"/>
        <w:sz w:val="56"/>
      </w:rPr>
      <w:t></w:t>
    </w:r>
    <w:r w:rsidR="00683B29" w:rsidRPr="00AD2760">
      <w:rPr>
        <w:rFonts w:ascii="C39T30Lfz" w:hAnsi="C39T30Lfz"/>
        <w:sz w:val="56"/>
      </w:rPr>
      <w:t></w:t>
    </w:r>
    <w:r w:rsidR="00683B29" w:rsidRPr="00AD2760">
      <w:rPr>
        <w:rFonts w:ascii="C39T30Lfz" w:hAnsi="C39T30Lfz"/>
        <w:sz w:val="56"/>
      </w:rPr>
      <w:t></w:t>
    </w:r>
    <w:r w:rsidR="00683B29" w:rsidRPr="00AD2760">
      <w:rPr>
        <w:rFonts w:ascii="C39T30Lfz" w:hAnsi="C39T30Lfz"/>
        <w:sz w:val="56"/>
      </w:rPr>
      <w:t></w:t>
    </w:r>
    <w:r w:rsidR="00683B29" w:rsidRPr="00AD2760">
      <w:rPr>
        <w:rFonts w:ascii="C39T30Lfz" w:hAnsi="C39T30Lfz"/>
        <w:sz w:val="56"/>
      </w:rPr>
      <w:t></w:t>
    </w:r>
    <w:r w:rsidR="00683B29" w:rsidRPr="00AD2760">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89DB95" w14:textId="77777777" w:rsidR="00CB370B" w:rsidRPr="000B175B" w:rsidRDefault="00CB370B" w:rsidP="000B175B">
      <w:pPr>
        <w:tabs>
          <w:tab w:val="right" w:pos="2155"/>
        </w:tabs>
        <w:spacing w:after="80"/>
        <w:ind w:left="680"/>
        <w:rPr>
          <w:u w:val="single"/>
        </w:rPr>
      </w:pPr>
      <w:r>
        <w:rPr>
          <w:u w:val="single"/>
        </w:rPr>
        <w:tab/>
      </w:r>
    </w:p>
  </w:footnote>
  <w:footnote w:type="continuationSeparator" w:id="0">
    <w:p w14:paraId="17F7355A" w14:textId="77777777" w:rsidR="00CB370B" w:rsidRPr="00FC68B7" w:rsidRDefault="00CB370B" w:rsidP="00FC68B7">
      <w:pPr>
        <w:tabs>
          <w:tab w:val="left" w:pos="2155"/>
        </w:tabs>
        <w:spacing w:after="80"/>
        <w:ind w:left="680"/>
        <w:rPr>
          <w:u w:val="single"/>
        </w:rPr>
      </w:pPr>
      <w:r>
        <w:rPr>
          <w:u w:val="single"/>
        </w:rPr>
        <w:tab/>
      </w:r>
    </w:p>
  </w:footnote>
  <w:footnote w:type="continuationNotice" w:id="1">
    <w:p w14:paraId="36F5DF61" w14:textId="77777777" w:rsidR="00CB370B" w:rsidRDefault="00CB370B"/>
  </w:footnote>
  <w:footnote w:id="2">
    <w:p w14:paraId="07272BA8" w14:textId="77777777" w:rsidR="00683B29" w:rsidRPr="00EF7CB3" w:rsidRDefault="00683B29" w:rsidP="00530E4F">
      <w:pPr>
        <w:pStyle w:val="Tekstprzypisudolnego"/>
        <w:rPr>
          <w:lang w:val="pl-PL"/>
        </w:rPr>
      </w:pPr>
      <w:r w:rsidRPr="00EF7CB3">
        <w:rPr>
          <w:lang w:val="pl-PL"/>
        </w:rPr>
        <w:tab/>
      </w:r>
      <w:r w:rsidRPr="00EF7CB3">
        <w:rPr>
          <w:rStyle w:val="Odwoanieprzypisudolnego"/>
          <w:sz w:val="20"/>
          <w:vertAlign w:val="baseline"/>
          <w:lang w:val="pl-PL"/>
        </w:rPr>
        <w:t>*</w:t>
      </w:r>
      <w:r w:rsidRPr="00EF7CB3">
        <w:rPr>
          <w:lang w:val="pl-PL"/>
        </w:rPr>
        <w:tab/>
        <w:t>Przyjęty przez Komitet w trakcie 112 sesji (7-31 października 2014 r.).</w:t>
      </w:r>
    </w:p>
  </w:footnote>
  <w:footnote w:id="3">
    <w:p w14:paraId="04C2801C" w14:textId="5E48D39B"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854/1999, </w:t>
      </w:r>
      <w:r w:rsidRPr="00EF7CB3">
        <w:rPr>
          <w:i/>
          <w:lang w:val="pl-PL"/>
        </w:rPr>
        <w:t xml:space="preserve">Wackenheim </w:t>
      </w:r>
      <w:r w:rsidRPr="00EF7CB3">
        <w:rPr>
          <w:lang w:val="pl-PL"/>
        </w:rPr>
        <w:t>v.</w:t>
      </w:r>
      <w:r w:rsidRPr="00EF7CB3">
        <w:rPr>
          <w:i/>
          <w:lang w:val="pl-PL"/>
        </w:rPr>
        <w:t xml:space="preserve"> France</w:t>
      </w:r>
      <w:r w:rsidRPr="00EF7CB3">
        <w:rPr>
          <w:lang w:val="pl-PL"/>
        </w:rPr>
        <w:t xml:space="preserve">, </w:t>
      </w:r>
      <w:r>
        <w:rPr>
          <w:lang w:val="pl-PL"/>
        </w:rPr>
        <w:t>ust.</w:t>
      </w:r>
      <w:r w:rsidRPr="00EF7CB3">
        <w:rPr>
          <w:lang w:val="pl-PL"/>
        </w:rPr>
        <w:t xml:space="preserve"> 6.3. </w:t>
      </w:r>
    </w:p>
  </w:footnote>
  <w:footnote w:id="4">
    <w:p w14:paraId="34B96EDD" w14:textId="1A407239"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263/1987, </w:t>
      </w:r>
      <w:r w:rsidRPr="00EF7CB3">
        <w:rPr>
          <w:i/>
          <w:lang w:val="pl-PL"/>
        </w:rPr>
        <w:t xml:space="preserve">González del Río </w:t>
      </w:r>
      <w:r w:rsidRPr="00EF7CB3">
        <w:rPr>
          <w:iCs/>
          <w:lang w:val="pl-PL"/>
        </w:rPr>
        <w:t>v.</w:t>
      </w:r>
      <w:r w:rsidRPr="00EF7CB3">
        <w:rPr>
          <w:i/>
          <w:lang w:val="pl-PL"/>
        </w:rPr>
        <w:t xml:space="preserve"> Peru</w:t>
      </w:r>
      <w:r w:rsidRPr="00EF7CB3">
        <w:rPr>
          <w:lang w:val="pl-PL"/>
        </w:rPr>
        <w:t xml:space="preserve">, </w:t>
      </w:r>
      <w:r>
        <w:rPr>
          <w:lang w:val="pl-PL"/>
        </w:rPr>
        <w:t>ust.</w:t>
      </w:r>
      <w:r w:rsidRPr="00EF7CB3">
        <w:rPr>
          <w:lang w:val="pl-PL"/>
        </w:rPr>
        <w:t xml:space="preserve"> 5.1; 833/1998, </w:t>
      </w:r>
      <w:r w:rsidRPr="00EF7CB3">
        <w:rPr>
          <w:i/>
          <w:lang w:val="pl-PL"/>
        </w:rPr>
        <w:t xml:space="preserve">Karker </w:t>
      </w:r>
      <w:r w:rsidRPr="00EF7CB3">
        <w:rPr>
          <w:iCs/>
          <w:lang w:val="pl-PL"/>
        </w:rPr>
        <w:t>v.</w:t>
      </w:r>
      <w:r w:rsidRPr="00EF7CB3">
        <w:rPr>
          <w:i/>
          <w:lang w:val="pl-PL"/>
        </w:rPr>
        <w:t xml:space="preserve"> France</w:t>
      </w:r>
      <w:r w:rsidRPr="00EF7CB3">
        <w:rPr>
          <w:lang w:val="pl-PL"/>
        </w:rPr>
        <w:t xml:space="preserve">, </w:t>
      </w:r>
      <w:r>
        <w:rPr>
          <w:lang w:val="pl-PL"/>
        </w:rPr>
        <w:t>ust.</w:t>
      </w:r>
      <w:r w:rsidRPr="00EF7CB3">
        <w:rPr>
          <w:lang w:val="pl-PL"/>
        </w:rPr>
        <w:t> 8.5.</w:t>
      </w:r>
    </w:p>
  </w:footnote>
  <w:footnote w:id="5">
    <w:p w14:paraId="48DEF312" w14:textId="5752C9CA"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Patrz uwagi końcowe: Mexico (CCPR/C/MEX/CO/5, 2010), </w:t>
      </w:r>
      <w:r>
        <w:rPr>
          <w:lang w:val="pl-PL"/>
        </w:rPr>
        <w:t>ust.</w:t>
      </w:r>
      <w:r w:rsidRPr="00EF7CB3">
        <w:rPr>
          <w:lang w:val="pl-PL"/>
        </w:rPr>
        <w:t> 15.</w:t>
      </w:r>
    </w:p>
  </w:footnote>
  <w:footnote w:id="6">
    <w:p w14:paraId="2C1FCAC3" w14:textId="5BF9FB2A" w:rsidR="00683B29" w:rsidRPr="00EF7CB3" w:rsidRDefault="00683B29" w:rsidP="00FB461A">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1134/2002, </w:t>
      </w:r>
      <w:r w:rsidRPr="00EF7CB3">
        <w:rPr>
          <w:i/>
          <w:lang w:val="pl-PL"/>
        </w:rPr>
        <w:t xml:space="preserve">Gorji-Dinka </w:t>
      </w:r>
      <w:r w:rsidRPr="00EF7CB3">
        <w:rPr>
          <w:lang w:val="pl-PL"/>
        </w:rPr>
        <w:t>v.</w:t>
      </w:r>
      <w:r w:rsidRPr="00EF7CB3">
        <w:rPr>
          <w:i/>
          <w:lang w:val="pl-PL"/>
        </w:rPr>
        <w:t xml:space="preserve"> Cameroon</w:t>
      </w:r>
      <w:r w:rsidRPr="00EF7CB3">
        <w:rPr>
          <w:lang w:val="pl-PL"/>
        </w:rPr>
        <w:t xml:space="preserve">, </w:t>
      </w:r>
      <w:r>
        <w:rPr>
          <w:lang w:val="pl-PL"/>
        </w:rPr>
        <w:t>ust.</w:t>
      </w:r>
      <w:r w:rsidRPr="00EF7CB3">
        <w:rPr>
          <w:lang w:val="pl-PL"/>
        </w:rPr>
        <w:t xml:space="preserve"> 5.4; patrz uwagi końcowe: Wielka Brytania (CCPR/C/GBR/CO/6, 2008), </w:t>
      </w:r>
      <w:r>
        <w:rPr>
          <w:lang w:val="pl-PL"/>
        </w:rPr>
        <w:t>ust.</w:t>
      </w:r>
      <w:r w:rsidRPr="00EF7CB3">
        <w:rPr>
          <w:lang w:val="pl-PL"/>
        </w:rPr>
        <w:t> 17 (zarządzenie dotyczące kontroli obejmujące zakazy aż do 16 godzin).</w:t>
      </w:r>
    </w:p>
  </w:footnote>
  <w:footnote w:id="7">
    <w:p w14:paraId="5AB270C8" w14:textId="74D73515" w:rsidR="00683B29" w:rsidRPr="00EF7CB3" w:rsidRDefault="00683B29" w:rsidP="00FB461A">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754/1997, </w:t>
      </w:r>
      <w:r w:rsidRPr="00EF7CB3">
        <w:rPr>
          <w:i/>
          <w:lang w:val="pl-PL"/>
        </w:rPr>
        <w:t xml:space="preserve">A. </w:t>
      </w:r>
      <w:r w:rsidRPr="00EF7CB3">
        <w:rPr>
          <w:lang w:val="pl-PL"/>
        </w:rPr>
        <w:t>v.</w:t>
      </w:r>
      <w:r w:rsidRPr="00EF7CB3">
        <w:rPr>
          <w:i/>
          <w:lang w:val="pl-PL"/>
        </w:rPr>
        <w:t xml:space="preserve"> New Zealand</w:t>
      </w:r>
      <w:r w:rsidRPr="00EF7CB3">
        <w:rPr>
          <w:lang w:val="pl-PL"/>
        </w:rPr>
        <w:t xml:space="preserve">, </w:t>
      </w:r>
      <w:r>
        <w:rPr>
          <w:lang w:val="pl-PL"/>
        </w:rPr>
        <w:t>ust.</w:t>
      </w:r>
      <w:r w:rsidRPr="00EF7CB3">
        <w:rPr>
          <w:lang w:val="pl-PL"/>
        </w:rPr>
        <w:t xml:space="preserve"> 7.2 (zdrowie psychiczne); patrz uwagi końcowe: Republika Mołdawii (CCPR/C/MDA/CO/2, 2009), </w:t>
      </w:r>
      <w:r>
        <w:rPr>
          <w:lang w:val="pl-PL"/>
        </w:rPr>
        <w:t>ust.</w:t>
      </w:r>
      <w:r w:rsidRPr="00EF7CB3">
        <w:rPr>
          <w:lang w:val="pl-PL"/>
        </w:rPr>
        <w:t> 13 (choroba zakaźna).</w:t>
      </w:r>
    </w:p>
  </w:footnote>
  <w:footnote w:id="8">
    <w:p w14:paraId="0A9D8F9C" w14:textId="7CCD6BB6" w:rsidR="00683B29" w:rsidRPr="00EF7CB3" w:rsidRDefault="00683B29" w:rsidP="00FB461A">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Patrz uwagi końcowe: Belgia (CCPR/CO/81/BEL, 2004), </w:t>
      </w:r>
      <w:r>
        <w:rPr>
          <w:lang w:val="pl-PL"/>
        </w:rPr>
        <w:t>ust.</w:t>
      </w:r>
      <w:r w:rsidRPr="00EF7CB3">
        <w:rPr>
          <w:lang w:val="pl-PL"/>
        </w:rPr>
        <w:t> 17 (przetrzymywanie imigrantów oczekujących na wydalenie).</w:t>
      </w:r>
    </w:p>
  </w:footnote>
  <w:footnote w:id="9">
    <w:p w14:paraId="599B1D2D" w14:textId="6ECAFC7F"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R.12/52, </w:t>
      </w:r>
      <w:r w:rsidRPr="00EF7CB3">
        <w:rPr>
          <w:i/>
          <w:lang w:val="pl-PL"/>
        </w:rPr>
        <w:t>Saldías de López v. Uruguay</w:t>
      </w:r>
      <w:r w:rsidRPr="00EF7CB3">
        <w:rPr>
          <w:lang w:val="pl-PL"/>
        </w:rPr>
        <w:t xml:space="preserve">, </w:t>
      </w:r>
      <w:r>
        <w:rPr>
          <w:lang w:val="pl-PL"/>
        </w:rPr>
        <w:t>ust.</w:t>
      </w:r>
      <w:r w:rsidRPr="00EF7CB3">
        <w:rPr>
          <w:lang w:val="pl-PL"/>
        </w:rPr>
        <w:t> 13.</w:t>
      </w:r>
    </w:p>
  </w:footnote>
  <w:footnote w:id="10">
    <w:p w14:paraId="2EBB2875" w14:textId="6AC393A6" w:rsidR="00683B29" w:rsidRPr="00EF7CB3" w:rsidRDefault="00683B29" w:rsidP="00FB461A">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Patrz uwagi końcowe: Czechy (CCPR/C/CZE/CO/2, 2007), </w:t>
      </w:r>
      <w:r>
        <w:rPr>
          <w:lang w:val="pl-PL"/>
        </w:rPr>
        <w:t>ust.</w:t>
      </w:r>
      <w:r w:rsidRPr="00EF7CB3">
        <w:rPr>
          <w:lang w:val="pl-PL"/>
        </w:rPr>
        <w:t xml:space="preserve"> 13; oraz Republika Korei (CCPR/C/KOR/CO/3, 2006), </w:t>
      </w:r>
      <w:r>
        <w:rPr>
          <w:lang w:val="pl-PL"/>
        </w:rPr>
        <w:t>ust.</w:t>
      </w:r>
      <w:r w:rsidRPr="00EF7CB3">
        <w:rPr>
          <w:lang w:val="pl-PL"/>
        </w:rPr>
        <w:t> 13.</w:t>
      </w:r>
    </w:p>
  </w:footnote>
  <w:footnote w:id="11">
    <w:p w14:paraId="5D0BD390" w14:textId="7869783A"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265/1987, </w:t>
      </w:r>
      <w:r w:rsidRPr="00EF7CB3">
        <w:rPr>
          <w:i/>
          <w:lang w:val="pl-PL"/>
        </w:rPr>
        <w:t xml:space="preserve">Vuolanne </w:t>
      </w:r>
      <w:r w:rsidRPr="00EF7CB3">
        <w:rPr>
          <w:lang w:val="pl-PL"/>
        </w:rPr>
        <w:t>v.</w:t>
      </w:r>
      <w:r w:rsidRPr="00EF7CB3">
        <w:rPr>
          <w:i/>
          <w:lang w:val="pl-PL"/>
        </w:rPr>
        <w:t xml:space="preserve"> Finland</w:t>
      </w:r>
      <w:r w:rsidRPr="00EF7CB3">
        <w:rPr>
          <w:lang w:val="pl-PL"/>
        </w:rPr>
        <w:t xml:space="preserve">, </w:t>
      </w:r>
      <w:r>
        <w:rPr>
          <w:lang w:val="pl-PL"/>
        </w:rPr>
        <w:t>ust.</w:t>
      </w:r>
      <w:r w:rsidRPr="00EF7CB3">
        <w:rPr>
          <w:lang w:val="pl-PL"/>
        </w:rPr>
        <w:t> 9.4.</w:t>
      </w:r>
    </w:p>
  </w:footnote>
  <w:footnote w:id="12">
    <w:p w14:paraId="29C02AF5" w14:textId="19BFDE86"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1758/2008, </w:t>
      </w:r>
      <w:r w:rsidRPr="00EF7CB3">
        <w:rPr>
          <w:i/>
          <w:lang w:val="pl-PL"/>
        </w:rPr>
        <w:t xml:space="preserve">Jessop </w:t>
      </w:r>
      <w:r w:rsidRPr="00EF7CB3">
        <w:rPr>
          <w:lang w:val="pl-PL"/>
        </w:rPr>
        <w:t>v.</w:t>
      </w:r>
      <w:r w:rsidRPr="00EF7CB3">
        <w:rPr>
          <w:i/>
          <w:lang w:val="pl-PL"/>
        </w:rPr>
        <w:t xml:space="preserve"> New Zealand</w:t>
      </w:r>
      <w:r w:rsidRPr="00EF7CB3">
        <w:rPr>
          <w:lang w:val="pl-PL"/>
        </w:rPr>
        <w:t xml:space="preserve">, </w:t>
      </w:r>
      <w:r>
        <w:rPr>
          <w:lang w:val="pl-PL"/>
        </w:rPr>
        <w:t>ust.</w:t>
      </w:r>
      <w:r w:rsidRPr="00EF7CB3">
        <w:rPr>
          <w:lang w:val="pl-PL"/>
        </w:rPr>
        <w:t> 7.9–7.10.</w:t>
      </w:r>
    </w:p>
  </w:footnote>
  <w:footnote w:id="13">
    <w:p w14:paraId="4C3CC535" w14:textId="16371D20" w:rsidR="00683B29" w:rsidRPr="00EF7CB3" w:rsidRDefault="00683B29" w:rsidP="00FB461A">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Patrz uwagi końcowe: Yemen (CCPR/C/YEM/CO/5, 2012), </w:t>
      </w:r>
      <w:r>
        <w:rPr>
          <w:lang w:val="pl-PL"/>
        </w:rPr>
        <w:t>ust.</w:t>
      </w:r>
      <w:r w:rsidRPr="00EF7CB3">
        <w:rPr>
          <w:lang w:val="pl-PL"/>
        </w:rPr>
        <w:t> 24.</w:t>
      </w:r>
    </w:p>
  </w:footnote>
  <w:footnote w:id="14">
    <w:p w14:paraId="526651AD" w14:textId="504D6416"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319/1988, </w:t>
      </w:r>
      <w:r w:rsidRPr="00EF7CB3">
        <w:rPr>
          <w:i/>
          <w:lang w:val="pl-PL"/>
        </w:rPr>
        <w:t xml:space="preserve">Cañón García </w:t>
      </w:r>
      <w:r w:rsidRPr="00EF7CB3">
        <w:rPr>
          <w:lang w:val="pl-PL"/>
        </w:rPr>
        <w:t>v.</w:t>
      </w:r>
      <w:r w:rsidRPr="00EF7CB3">
        <w:rPr>
          <w:i/>
          <w:lang w:val="pl-PL"/>
        </w:rPr>
        <w:t xml:space="preserve"> Ecuador</w:t>
      </w:r>
      <w:r w:rsidRPr="00EF7CB3">
        <w:rPr>
          <w:lang w:val="pl-PL"/>
        </w:rPr>
        <w:t xml:space="preserve">, </w:t>
      </w:r>
      <w:r>
        <w:rPr>
          <w:lang w:val="pl-PL"/>
        </w:rPr>
        <w:t>ust.</w:t>
      </w:r>
      <w:r w:rsidRPr="00EF7CB3">
        <w:rPr>
          <w:lang w:val="pl-PL"/>
        </w:rPr>
        <w:t> 5.1–5.2.</w:t>
      </w:r>
    </w:p>
  </w:footnote>
  <w:footnote w:id="15">
    <w:p w14:paraId="3A58485E" w14:textId="24362E7D" w:rsidR="00683B29" w:rsidRPr="00EF7CB3" w:rsidRDefault="00683B29" w:rsidP="00FB461A">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Patrz uwagi końcowe: Guatemala (CCPR/C/GTM/CO/3, 2012), </w:t>
      </w:r>
      <w:r>
        <w:rPr>
          <w:lang w:val="pl-PL"/>
        </w:rPr>
        <w:t>ust.</w:t>
      </w:r>
      <w:r w:rsidRPr="00EF7CB3">
        <w:rPr>
          <w:lang w:val="pl-PL"/>
        </w:rPr>
        <w:t> 16.</w:t>
      </w:r>
    </w:p>
  </w:footnote>
  <w:footnote w:id="16">
    <w:p w14:paraId="67DD14EA" w14:textId="63002C85"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613/1995, </w:t>
      </w:r>
      <w:r w:rsidRPr="00EF7CB3">
        <w:rPr>
          <w:i/>
          <w:lang w:val="pl-PL"/>
        </w:rPr>
        <w:t xml:space="preserve">Leehong </w:t>
      </w:r>
      <w:r w:rsidRPr="00EF7CB3">
        <w:rPr>
          <w:lang w:val="pl-PL"/>
        </w:rPr>
        <w:t>v.</w:t>
      </w:r>
      <w:r w:rsidRPr="00EF7CB3">
        <w:rPr>
          <w:i/>
          <w:lang w:val="pl-PL"/>
        </w:rPr>
        <w:t xml:space="preserve"> Jamaica</w:t>
      </w:r>
      <w:r w:rsidRPr="00EF7CB3">
        <w:rPr>
          <w:lang w:val="pl-PL"/>
        </w:rPr>
        <w:t xml:space="preserve">, </w:t>
      </w:r>
      <w:r>
        <w:rPr>
          <w:lang w:val="pl-PL"/>
        </w:rPr>
        <w:t>ust.</w:t>
      </w:r>
      <w:r w:rsidRPr="00EF7CB3">
        <w:rPr>
          <w:lang w:val="pl-PL"/>
        </w:rPr>
        <w:t> 9.3.</w:t>
      </w:r>
    </w:p>
  </w:footnote>
  <w:footnote w:id="17">
    <w:p w14:paraId="27783BE3" w14:textId="6052D32C"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1560/2007, </w:t>
      </w:r>
      <w:r w:rsidRPr="00EF7CB3">
        <w:rPr>
          <w:i/>
          <w:lang w:val="pl-PL"/>
        </w:rPr>
        <w:t xml:space="preserve">Marcellana and Gumanoy </w:t>
      </w:r>
      <w:r w:rsidRPr="00EF7CB3">
        <w:rPr>
          <w:lang w:val="pl-PL"/>
        </w:rPr>
        <w:t>v.</w:t>
      </w:r>
      <w:r w:rsidRPr="00EF7CB3">
        <w:rPr>
          <w:i/>
          <w:lang w:val="pl-PL"/>
        </w:rPr>
        <w:t xml:space="preserve"> Philippines</w:t>
      </w:r>
      <w:r w:rsidRPr="00EF7CB3">
        <w:rPr>
          <w:lang w:val="pl-PL"/>
        </w:rPr>
        <w:t xml:space="preserve">, </w:t>
      </w:r>
      <w:r>
        <w:rPr>
          <w:lang w:val="pl-PL"/>
        </w:rPr>
        <w:t>ust.</w:t>
      </w:r>
      <w:r w:rsidRPr="00EF7CB3">
        <w:rPr>
          <w:lang w:val="pl-PL"/>
        </w:rPr>
        <w:t xml:space="preserve"> 7.7. Państwa-strony naruszają również prawo do bezpieczeństwa osobistego jeśli dopuszczają się do wykonywania jurysdykcji wobec osób poza ich terytorium poprzez wydanie </w:t>
      </w:r>
      <w:r w:rsidRPr="00EF7CB3">
        <w:rPr>
          <w:i/>
          <w:lang w:val="pl-PL"/>
        </w:rPr>
        <w:t>fatwy</w:t>
      </w:r>
      <w:r w:rsidRPr="00EF7CB3">
        <w:rPr>
          <w:lang w:val="pl-PL"/>
        </w:rPr>
        <w:t xml:space="preserve"> lub podobnego wyroku śmierci upoważniającego do zabicia ofiary. Patrz uwagi końcowe: Islamic Republic of Iran (CCPR/C/79/Add.25, 1993), </w:t>
      </w:r>
      <w:r>
        <w:rPr>
          <w:lang w:val="pl-PL"/>
        </w:rPr>
        <w:t>ust.</w:t>
      </w:r>
      <w:r w:rsidRPr="00EF7CB3">
        <w:rPr>
          <w:lang w:val="pl-PL"/>
        </w:rPr>
        <w:t xml:space="preserve"> 9; </w:t>
      </w:r>
      <w:r>
        <w:rPr>
          <w:lang w:val="pl-PL"/>
        </w:rPr>
        <w:t>ust.</w:t>
      </w:r>
      <w:r w:rsidRPr="00EF7CB3">
        <w:rPr>
          <w:lang w:val="pl-PL"/>
        </w:rPr>
        <w:t xml:space="preserve"> 63 poniżej (odnośnie eksterytorialnego stosowania). </w:t>
      </w:r>
    </w:p>
  </w:footnote>
  <w:footnote w:id="18">
    <w:p w14:paraId="4A9E3600" w14:textId="3325076C" w:rsidR="00683B29" w:rsidRPr="00EF7CB3" w:rsidRDefault="00683B29" w:rsidP="00FB461A">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Patrz uwagi końcowe: El Salvador (CCPR/CO/78/SLV, 2003), </w:t>
      </w:r>
      <w:r>
        <w:rPr>
          <w:lang w:val="pl-PL"/>
        </w:rPr>
        <w:t>ust.</w:t>
      </w:r>
      <w:r w:rsidRPr="00EF7CB3">
        <w:rPr>
          <w:lang w:val="pl-PL"/>
        </w:rPr>
        <w:t> 16.</w:t>
      </w:r>
    </w:p>
  </w:footnote>
  <w:footnote w:id="19">
    <w:p w14:paraId="328A833B" w14:textId="794104D1" w:rsidR="00683B29" w:rsidRPr="00EF7CB3" w:rsidRDefault="00683B29" w:rsidP="004E4928">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Patrz uwagi końcowe: Norway (CCPR/C/NOR/CO/6, 2011), </w:t>
      </w:r>
      <w:r>
        <w:rPr>
          <w:lang w:val="pl-PL"/>
        </w:rPr>
        <w:t>ust.</w:t>
      </w:r>
      <w:r w:rsidRPr="00EF7CB3">
        <w:rPr>
          <w:lang w:val="pl-PL"/>
        </w:rPr>
        <w:t> 10.</w:t>
      </w:r>
    </w:p>
  </w:footnote>
  <w:footnote w:id="20">
    <w:p w14:paraId="06D93120" w14:textId="3B44152C"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613/1995, </w:t>
      </w:r>
      <w:r w:rsidRPr="00EF7CB3">
        <w:rPr>
          <w:i/>
          <w:lang w:val="pl-PL"/>
        </w:rPr>
        <w:t>Leehong v. Jamaica</w:t>
      </w:r>
      <w:r w:rsidRPr="00EF7CB3">
        <w:rPr>
          <w:lang w:val="pl-PL"/>
        </w:rPr>
        <w:t xml:space="preserve">, </w:t>
      </w:r>
      <w:r>
        <w:rPr>
          <w:lang w:val="pl-PL"/>
        </w:rPr>
        <w:t>ust.</w:t>
      </w:r>
      <w:r w:rsidRPr="00EF7CB3">
        <w:rPr>
          <w:lang w:val="pl-PL"/>
        </w:rPr>
        <w:t> 9.3; patrz Podstawowe zasady używania siły i broni palnej przez funkcjonariuszy organów ochrony porządku publicznego (1990).</w:t>
      </w:r>
    </w:p>
  </w:footnote>
  <w:footnote w:id="21">
    <w:p w14:paraId="553E3F10" w14:textId="48B07494"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Patrz uwagi końcowe: Philippines (CCPR/C/PHL/CO/4, 2012), </w:t>
      </w:r>
      <w:r>
        <w:rPr>
          <w:lang w:val="pl-PL"/>
        </w:rPr>
        <w:t>ust.</w:t>
      </w:r>
      <w:r w:rsidRPr="00EF7CB3">
        <w:rPr>
          <w:lang w:val="pl-PL"/>
        </w:rPr>
        <w:t> 14.</w:t>
      </w:r>
    </w:p>
  </w:footnote>
  <w:footnote w:id="22">
    <w:p w14:paraId="5006299F" w14:textId="0CE8D890"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1124/2002, </w:t>
      </w:r>
      <w:r w:rsidRPr="00EF7CB3">
        <w:rPr>
          <w:i/>
          <w:lang w:val="pl-PL"/>
        </w:rPr>
        <w:t xml:space="preserve">Obodzinsky </w:t>
      </w:r>
      <w:r w:rsidRPr="00EF7CB3">
        <w:rPr>
          <w:lang w:val="pl-PL"/>
        </w:rPr>
        <w:t>v.</w:t>
      </w:r>
      <w:r w:rsidRPr="00EF7CB3">
        <w:rPr>
          <w:i/>
          <w:lang w:val="pl-PL"/>
        </w:rPr>
        <w:t xml:space="preserve"> Canada</w:t>
      </w:r>
      <w:r w:rsidRPr="00EF7CB3">
        <w:rPr>
          <w:lang w:val="pl-PL"/>
        </w:rPr>
        <w:t xml:space="preserve">, </w:t>
      </w:r>
      <w:r>
        <w:rPr>
          <w:lang w:val="pl-PL"/>
        </w:rPr>
        <w:t>ust.</w:t>
      </w:r>
      <w:r w:rsidRPr="00EF7CB3">
        <w:rPr>
          <w:lang w:val="pl-PL"/>
        </w:rPr>
        <w:t> 8.5.</w:t>
      </w:r>
    </w:p>
  </w:footnote>
  <w:footnote w:id="23">
    <w:p w14:paraId="17778651" w14:textId="40FC4856"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414/1990, </w:t>
      </w:r>
      <w:r w:rsidRPr="00EF7CB3">
        <w:rPr>
          <w:i/>
          <w:lang w:val="pl-PL"/>
        </w:rPr>
        <w:t xml:space="preserve">Mika Miha </w:t>
      </w:r>
      <w:r w:rsidRPr="00EF7CB3">
        <w:rPr>
          <w:lang w:val="pl-PL"/>
        </w:rPr>
        <w:t>v.</w:t>
      </w:r>
      <w:r w:rsidRPr="00EF7CB3">
        <w:rPr>
          <w:i/>
          <w:lang w:val="pl-PL"/>
        </w:rPr>
        <w:t xml:space="preserve"> Equatorial Guinea</w:t>
      </w:r>
      <w:r w:rsidRPr="00EF7CB3">
        <w:rPr>
          <w:lang w:val="pl-PL"/>
        </w:rPr>
        <w:t xml:space="preserve">, </w:t>
      </w:r>
      <w:r>
        <w:rPr>
          <w:lang w:val="pl-PL"/>
        </w:rPr>
        <w:t>ust.</w:t>
      </w:r>
      <w:r w:rsidRPr="00EF7CB3">
        <w:rPr>
          <w:lang w:val="pl-PL"/>
        </w:rPr>
        <w:t> 6.5.</w:t>
      </w:r>
    </w:p>
  </w:footnote>
  <w:footnote w:id="24">
    <w:p w14:paraId="5F6884D3" w14:textId="4643B653" w:rsidR="00683B29" w:rsidRPr="00EF7CB3" w:rsidRDefault="00683B29" w:rsidP="004E4928">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Patrz uwagi końcowe: Brazil (CCPR/C/BRA/CO/2, 2005), </w:t>
      </w:r>
      <w:r>
        <w:rPr>
          <w:lang w:val="pl-PL"/>
        </w:rPr>
        <w:t>ust.</w:t>
      </w:r>
      <w:r w:rsidRPr="00EF7CB3">
        <w:rPr>
          <w:lang w:val="pl-PL"/>
        </w:rPr>
        <w:t> 16.</w:t>
      </w:r>
    </w:p>
  </w:footnote>
  <w:footnote w:id="25">
    <w:p w14:paraId="47BC83B8" w14:textId="2713A932"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856/1999, </w:t>
      </w:r>
      <w:r w:rsidRPr="00EF7CB3">
        <w:rPr>
          <w:i/>
          <w:lang w:val="pl-PL"/>
        </w:rPr>
        <w:t xml:space="preserve">Chambala </w:t>
      </w:r>
      <w:r w:rsidRPr="00EF7CB3">
        <w:rPr>
          <w:lang w:val="pl-PL"/>
        </w:rPr>
        <w:t>v.</w:t>
      </w:r>
      <w:r w:rsidRPr="00EF7CB3">
        <w:rPr>
          <w:i/>
          <w:lang w:val="pl-PL"/>
        </w:rPr>
        <w:t xml:space="preserve"> Zambia</w:t>
      </w:r>
      <w:r w:rsidRPr="00EF7CB3">
        <w:rPr>
          <w:lang w:val="pl-PL"/>
        </w:rPr>
        <w:t xml:space="preserve">, </w:t>
      </w:r>
      <w:r>
        <w:rPr>
          <w:lang w:val="pl-PL"/>
        </w:rPr>
        <w:t>ust.</w:t>
      </w:r>
      <w:r w:rsidRPr="00EF7CB3">
        <w:rPr>
          <w:lang w:val="pl-PL"/>
        </w:rPr>
        <w:t> 7.3.</w:t>
      </w:r>
    </w:p>
  </w:footnote>
  <w:footnote w:id="26">
    <w:p w14:paraId="2616075B" w14:textId="70D25770"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1134/2002, </w:t>
      </w:r>
      <w:r w:rsidRPr="00EF7CB3">
        <w:rPr>
          <w:i/>
          <w:lang w:val="pl-PL"/>
        </w:rPr>
        <w:t xml:space="preserve">Gorji-Dinka </w:t>
      </w:r>
      <w:r w:rsidRPr="00EF7CB3">
        <w:rPr>
          <w:lang w:val="pl-PL"/>
        </w:rPr>
        <w:t>v.</w:t>
      </w:r>
      <w:r w:rsidRPr="00EF7CB3">
        <w:rPr>
          <w:i/>
          <w:lang w:val="pl-PL"/>
        </w:rPr>
        <w:t xml:space="preserve"> Cameroon</w:t>
      </w:r>
      <w:r w:rsidRPr="00EF7CB3">
        <w:rPr>
          <w:lang w:val="pl-PL"/>
        </w:rPr>
        <w:t xml:space="preserve">, </w:t>
      </w:r>
      <w:r>
        <w:rPr>
          <w:lang w:val="pl-PL"/>
        </w:rPr>
        <w:t>ust.</w:t>
      </w:r>
      <w:r w:rsidRPr="00EF7CB3">
        <w:rPr>
          <w:lang w:val="pl-PL"/>
        </w:rPr>
        <w:t xml:space="preserve"> 5.1; 305/1988, </w:t>
      </w:r>
      <w:r w:rsidRPr="00EF7CB3">
        <w:rPr>
          <w:i/>
          <w:lang w:val="pl-PL"/>
        </w:rPr>
        <w:t xml:space="preserve">Van Alphen </w:t>
      </w:r>
      <w:r w:rsidRPr="00EF7CB3">
        <w:rPr>
          <w:lang w:val="pl-PL"/>
        </w:rPr>
        <w:t xml:space="preserve">v. </w:t>
      </w:r>
      <w:r w:rsidRPr="00EF7CB3">
        <w:rPr>
          <w:i/>
          <w:lang w:val="pl-PL"/>
        </w:rPr>
        <w:t>Netherlands</w:t>
      </w:r>
      <w:r w:rsidRPr="00EF7CB3">
        <w:rPr>
          <w:lang w:val="pl-PL"/>
        </w:rPr>
        <w:t xml:space="preserve">, </w:t>
      </w:r>
      <w:r>
        <w:rPr>
          <w:lang w:val="pl-PL"/>
        </w:rPr>
        <w:t>ust.</w:t>
      </w:r>
      <w:r w:rsidRPr="00EF7CB3">
        <w:rPr>
          <w:lang w:val="pl-PL"/>
        </w:rPr>
        <w:t> 5.8.</w:t>
      </w:r>
    </w:p>
  </w:footnote>
  <w:footnote w:id="27">
    <w:p w14:paraId="3624FBE9" w14:textId="26C4AE2A" w:rsidR="00683B29" w:rsidRPr="00EF7CB3" w:rsidRDefault="00683B29" w:rsidP="00FB461A">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1369/2005, </w:t>
      </w:r>
      <w:r w:rsidRPr="00EF7CB3">
        <w:rPr>
          <w:i/>
          <w:lang w:val="pl-PL"/>
        </w:rPr>
        <w:t xml:space="preserve">Kulov </w:t>
      </w:r>
      <w:r w:rsidRPr="00EF7CB3">
        <w:rPr>
          <w:lang w:val="pl-PL"/>
        </w:rPr>
        <w:t>v.</w:t>
      </w:r>
      <w:r w:rsidRPr="00EF7CB3">
        <w:rPr>
          <w:i/>
          <w:lang w:val="pl-PL"/>
        </w:rPr>
        <w:t xml:space="preserve"> Kyrgyzstan</w:t>
      </w:r>
      <w:r w:rsidRPr="00EF7CB3">
        <w:rPr>
          <w:lang w:val="pl-PL"/>
        </w:rPr>
        <w:t xml:space="preserve">, </w:t>
      </w:r>
      <w:r>
        <w:rPr>
          <w:lang w:val="pl-PL"/>
        </w:rPr>
        <w:t>ust.</w:t>
      </w:r>
      <w:r w:rsidRPr="00EF7CB3">
        <w:rPr>
          <w:lang w:val="pl-PL"/>
        </w:rPr>
        <w:t> 8.3. Areszt tymczasowy w sprawach karnych jest szerzej omówiony w rozdziale IV poniżej.</w:t>
      </w:r>
    </w:p>
  </w:footnote>
  <w:footnote w:id="28">
    <w:p w14:paraId="43E0E8EB" w14:textId="03719637" w:rsidR="00683B29" w:rsidRPr="00EF7CB3" w:rsidRDefault="00683B29" w:rsidP="00743528">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1324/2004, </w:t>
      </w:r>
      <w:r w:rsidRPr="00EF7CB3">
        <w:rPr>
          <w:i/>
          <w:lang w:val="pl-PL"/>
        </w:rPr>
        <w:t xml:space="preserve">Shafiq </w:t>
      </w:r>
      <w:r w:rsidRPr="00EF7CB3">
        <w:rPr>
          <w:lang w:val="pl-PL"/>
        </w:rPr>
        <w:t>v.</w:t>
      </w:r>
      <w:r w:rsidRPr="00EF7CB3">
        <w:rPr>
          <w:i/>
          <w:lang w:val="pl-PL"/>
        </w:rPr>
        <w:t xml:space="preserve"> A</w:t>
      </w:r>
      <w:r>
        <w:rPr>
          <w:i/>
          <w:lang w:val="pl-PL"/>
        </w:rPr>
        <w:t>ust</w:t>
      </w:r>
      <w:r w:rsidRPr="00EF7CB3">
        <w:rPr>
          <w:i/>
          <w:lang w:val="pl-PL"/>
        </w:rPr>
        <w:t>ralia</w:t>
      </w:r>
      <w:r w:rsidRPr="00EF7CB3">
        <w:rPr>
          <w:lang w:val="pl-PL"/>
        </w:rPr>
        <w:t xml:space="preserve">, </w:t>
      </w:r>
      <w:r>
        <w:rPr>
          <w:lang w:val="pl-PL"/>
        </w:rPr>
        <w:t>ust.</w:t>
      </w:r>
      <w:r w:rsidRPr="00EF7CB3">
        <w:rPr>
          <w:lang w:val="pl-PL"/>
        </w:rPr>
        <w:t> 7.2.</w:t>
      </w:r>
    </w:p>
  </w:footnote>
  <w:footnote w:id="29">
    <w:p w14:paraId="26545FF5" w14:textId="7806F9FF" w:rsidR="00683B29" w:rsidRPr="00EF7CB3" w:rsidRDefault="00683B29" w:rsidP="00CA293B">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631/1995, </w:t>
      </w:r>
      <w:r w:rsidRPr="00EF7CB3">
        <w:rPr>
          <w:i/>
          <w:lang w:val="pl-PL"/>
        </w:rPr>
        <w:t xml:space="preserve">Spakmo </w:t>
      </w:r>
      <w:r w:rsidRPr="00EF7CB3">
        <w:rPr>
          <w:lang w:val="pl-PL"/>
        </w:rPr>
        <w:t>v.</w:t>
      </w:r>
      <w:r w:rsidRPr="00EF7CB3">
        <w:rPr>
          <w:i/>
          <w:lang w:val="pl-PL"/>
        </w:rPr>
        <w:t xml:space="preserve"> Norway</w:t>
      </w:r>
      <w:r w:rsidRPr="00EF7CB3">
        <w:rPr>
          <w:lang w:val="pl-PL"/>
        </w:rPr>
        <w:t xml:space="preserve">, </w:t>
      </w:r>
      <w:r>
        <w:rPr>
          <w:lang w:val="pl-PL"/>
        </w:rPr>
        <w:t>ust.</w:t>
      </w:r>
      <w:r w:rsidRPr="00EF7CB3">
        <w:rPr>
          <w:lang w:val="pl-PL"/>
        </w:rPr>
        <w:t> 6.3.</w:t>
      </w:r>
    </w:p>
  </w:footnote>
  <w:footnote w:id="30">
    <w:p w14:paraId="0DF1F2A7" w14:textId="2DE1433C"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1460/2006, </w:t>
      </w:r>
      <w:r w:rsidRPr="00EF7CB3">
        <w:rPr>
          <w:i/>
          <w:lang w:val="pl-PL"/>
        </w:rPr>
        <w:t xml:space="preserve">Yklymova </w:t>
      </w:r>
      <w:r w:rsidRPr="00EF7CB3">
        <w:rPr>
          <w:lang w:val="pl-PL"/>
        </w:rPr>
        <w:t>v.</w:t>
      </w:r>
      <w:r w:rsidRPr="00EF7CB3">
        <w:rPr>
          <w:i/>
          <w:lang w:val="pl-PL"/>
        </w:rPr>
        <w:t xml:space="preserve"> Turkmenistan</w:t>
      </w:r>
      <w:r w:rsidRPr="00EF7CB3">
        <w:rPr>
          <w:lang w:val="pl-PL"/>
        </w:rPr>
        <w:t xml:space="preserve">, </w:t>
      </w:r>
      <w:r>
        <w:rPr>
          <w:lang w:val="pl-PL"/>
        </w:rPr>
        <w:t>ust.</w:t>
      </w:r>
      <w:r w:rsidRPr="00EF7CB3">
        <w:rPr>
          <w:lang w:val="pl-PL"/>
        </w:rPr>
        <w:t xml:space="preserve"> 7.2–7.3 (de facto areszt domowy); 1096/2002, </w:t>
      </w:r>
      <w:r w:rsidRPr="00EF7CB3">
        <w:rPr>
          <w:i/>
          <w:lang w:val="pl-PL"/>
        </w:rPr>
        <w:t xml:space="preserve">Kurbanova </w:t>
      </w:r>
      <w:r w:rsidRPr="00EF7CB3">
        <w:rPr>
          <w:lang w:val="pl-PL"/>
        </w:rPr>
        <w:t>v.</w:t>
      </w:r>
      <w:r w:rsidRPr="00EF7CB3">
        <w:rPr>
          <w:i/>
          <w:lang w:val="pl-PL"/>
        </w:rPr>
        <w:t xml:space="preserve"> Tajikistan</w:t>
      </w:r>
      <w:r w:rsidRPr="00EF7CB3">
        <w:rPr>
          <w:lang w:val="pl-PL"/>
        </w:rPr>
        <w:t xml:space="preserve">, </w:t>
      </w:r>
      <w:r>
        <w:rPr>
          <w:lang w:val="pl-PL"/>
        </w:rPr>
        <w:t>ust.</w:t>
      </w:r>
      <w:r w:rsidRPr="00EF7CB3">
        <w:rPr>
          <w:lang w:val="pl-PL"/>
        </w:rPr>
        <w:t> 7.2 (zatrzymanie przed wydaniem nakazu aresztowania)</w:t>
      </w:r>
    </w:p>
  </w:footnote>
  <w:footnote w:id="31">
    <w:p w14:paraId="15F6B06F" w14:textId="674E7F33"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635/1995, </w:t>
      </w:r>
      <w:r w:rsidRPr="00EF7CB3">
        <w:rPr>
          <w:i/>
          <w:lang w:val="pl-PL"/>
        </w:rPr>
        <w:t xml:space="preserve">Morrison </w:t>
      </w:r>
      <w:r w:rsidRPr="00EF7CB3">
        <w:rPr>
          <w:lang w:val="pl-PL"/>
        </w:rPr>
        <w:t>v.</w:t>
      </w:r>
      <w:r w:rsidRPr="00EF7CB3">
        <w:rPr>
          <w:i/>
          <w:lang w:val="pl-PL"/>
        </w:rPr>
        <w:t xml:space="preserve"> Jamaica</w:t>
      </w:r>
      <w:r w:rsidRPr="00EF7CB3">
        <w:rPr>
          <w:lang w:val="pl-PL"/>
        </w:rPr>
        <w:t xml:space="preserve">, </w:t>
      </w:r>
      <w:r>
        <w:rPr>
          <w:lang w:val="pl-PL"/>
        </w:rPr>
        <w:t>ust.</w:t>
      </w:r>
      <w:r w:rsidRPr="00EF7CB3">
        <w:rPr>
          <w:lang w:val="pl-PL"/>
        </w:rPr>
        <w:t xml:space="preserve"> 22.2–22.3; 1397/2005, </w:t>
      </w:r>
      <w:r w:rsidRPr="00EF7CB3">
        <w:rPr>
          <w:i/>
          <w:lang w:val="pl-PL"/>
        </w:rPr>
        <w:t xml:space="preserve">Engo </w:t>
      </w:r>
      <w:r w:rsidRPr="00EF7CB3">
        <w:rPr>
          <w:lang w:val="pl-PL"/>
        </w:rPr>
        <w:t>v.</w:t>
      </w:r>
      <w:r w:rsidRPr="00EF7CB3">
        <w:rPr>
          <w:i/>
          <w:lang w:val="pl-PL"/>
        </w:rPr>
        <w:t xml:space="preserve"> Cameroon</w:t>
      </w:r>
      <w:r w:rsidRPr="00EF7CB3">
        <w:rPr>
          <w:lang w:val="pl-PL"/>
        </w:rPr>
        <w:t xml:space="preserve">, </w:t>
      </w:r>
      <w:r>
        <w:rPr>
          <w:lang w:val="pl-PL"/>
        </w:rPr>
        <w:t>ust.</w:t>
      </w:r>
      <w:r w:rsidRPr="00EF7CB3">
        <w:rPr>
          <w:lang w:val="pl-PL"/>
        </w:rPr>
        <w:t xml:space="preserve"> 7.3. </w:t>
      </w:r>
    </w:p>
  </w:footnote>
  <w:footnote w:id="32">
    <w:p w14:paraId="33DB5BE8" w14:textId="4E1F8F49" w:rsidR="00683B29" w:rsidRPr="00EF7CB3" w:rsidRDefault="00683B29" w:rsidP="00556310">
      <w:pPr>
        <w:pStyle w:val="Tekstprzypisudolnego"/>
        <w:rPr>
          <w:lang w:val="pl-PL"/>
        </w:rPr>
      </w:pPr>
      <w:r w:rsidRPr="00EF7CB3">
        <w:rPr>
          <w:lang w:val="pl-PL"/>
        </w:rPr>
        <w:tab/>
      </w:r>
      <w:r w:rsidRPr="00EF7CB3">
        <w:rPr>
          <w:rStyle w:val="Odwoanieprzypisudolnego"/>
          <w:lang w:val="pl-PL"/>
        </w:rPr>
        <w:footnoteRef/>
      </w:r>
      <w:r w:rsidRPr="00EF7CB3">
        <w:rPr>
          <w:lang w:val="pl-PL"/>
        </w:rPr>
        <w:tab/>
        <w:t>Zatrzymanie za przestępstwa takie jak osz</w:t>
      </w:r>
      <w:r>
        <w:rPr>
          <w:lang w:val="pl-PL"/>
        </w:rPr>
        <w:t>ust.</w:t>
      </w:r>
      <w:r w:rsidRPr="00EF7CB3">
        <w:rPr>
          <w:lang w:val="pl-PL"/>
        </w:rPr>
        <w:t xml:space="preserve">wo, które związane są z długami cywilnoprawnymi, nie narusza artykułu 11 i nie stanowi samowolnego zatrzymania. 1342/2005, </w:t>
      </w:r>
      <w:r w:rsidRPr="00EF7CB3">
        <w:rPr>
          <w:i/>
          <w:lang w:val="pl-PL"/>
        </w:rPr>
        <w:t xml:space="preserve">Gavrilin </w:t>
      </w:r>
      <w:r w:rsidRPr="00EF7CB3">
        <w:rPr>
          <w:lang w:val="pl-PL"/>
        </w:rPr>
        <w:t>v.</w:t>
      </w:r>
      <w:r w:rsidRPr="00EF7CB3">
        <w:rPr>
          <w:i/>
          <w:lang w:val="pl-PL"/>
        </w:rPr>
        <w:t xml:space="preserve"> Belarus</w:t>
      </w:r>
      <w:r w:rsidRPr="00EF7CB3">
        <w:rPr>
          <w:lang w:val="pl-PL"/>
        </w:rPr>
        <w:t xml:space="preserve">, </w:t>
      </w:r>
      <w:r>
        <w:rPr>
          <w:lang w:val="pl-PL"/>
        </w:rPr>
        <w:t>ust.</w:t>
      </w:r>
      <w:r w:rsidRPr="00EF7CB3">
        <w:rPr>
          <w:lang w:val="pl-PL"/>
        </w:rPr>
        <w:t xml:space="preserve"> 7.3. </w:t>
      </w:r>
    </w:p>
  </w:footnote>
  <w:footnote w:id="33">
    <w:p w14:paraId="016194FF" w14:textId="05AC415B"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1629/2007, </w:t>
      </w:r>
      <w:r w:rsidRPr="00EF7CB3">
        <w:rPr>
          <w:i/>
          <w:lang w:val="pl-PL"/>
        </w:rPr>
        <w:t xml:space="preserve">Fardon </w:t>
      </w:r>
      <w:r w:rsidRPr="00EF7CB3">
        <w:rPr>
          <w:lang w:val="pl-PL"/>
        </w:rPr>
        <w:t xml:space="preserve">v. </w:t>
      </w:r>
      <w:r w:rsidRPr="00EF7CB3">
        <w:rPr>
          <w:i/>
          <w:lang w:val="pl-PL"/>
        </w:rPr>
        <w:t>A</w:t>
      </w:r>
      <w:r>
        <w:rPr>
          <w:i/>
          <w:lang w:val="pl-PL"/>
        </w:rPr>
        <w:t>ust</w:t>
      </w:r>
      <w:r w:rsidRPr="00EF7CB3">
        <w:rPr>
          <w:i/>
          <w:lang w:val="pl-PL"/>
        </w:rPr>
        <w:t>ralia</w:t>
      </w:r>
      <w:r w:rsidRPr="00EF7CB3">
        <w:rPr>
          <w:lang w:val="pl-PL"/>
        </w:rPr>
        <w:t xml:space="preserve">, </w:t>
      </w:r>
      <w:r>
        <w:rPr>
          <w:lang w:val="pl-PL"/>
        </w:rPr>
        <w:t>ust.</w:t>
      </w:r>
      <w:r w:rsidRPr="00EF7CB3">
        <w:rPr>
          <w:lang w:val="pl-PL"/>
        </w:rPr>
        <w:t> 7.3.</w:t>
      </w:r>
    </w:p>
  </w:footnote>
  <w:footnote w:id="34">
    <w:p w14:paraId="179DB994" w14:textId="47939441" w:rsidR="00683B29" w:rsidRPr="00EF7CB3" w:rsidRDefault="00683B29" w:rsidP="004E4928">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Ibid., </w:t>
      </w:r>
      <w:r>
        <w:rPr>
          <w:lang w:val="pl-PL"/>
        </w:rPr>
        <w:t>ust.</w:t>
      </w:r>
      <w:r w:rsidRPr="00EF7CB3">
        <w:rPr>
          <w:lang w:val="pl-PL"/>
        </w:rPr>
        <w:t xml:space="preserve"> 7.4 (a)–7.4 (c); patrz uwagi końcowe: United States of America (CCPR/C/USA/CO/3/Rev.1, 2006), </w:t>
      </w:r>
      <w:r>
        <w:rPr>
          <w:lang w:val="pl-PL"/>
        </w:rPr>
        <w:t>ust.</w:t>
      </w:r>
      <w:r w:rsidRPr="00EF7CB3">
        <w:rPr>
          <w:lang w:val="pl-PL"/>
        </w:rPr>
        <w:t xml:space="preserve"> 19; </w:t>
      </w:r>
      <w:r>
        <w:rPr>
          <w:lang w:val="pl-PL"/>
        </w:rPr>
        <w:t xml:space="preserve">Uwaga ogólna nr </w:t>
      </w:r>
      <w:r w:rsidRPr="00EF7CB3">
        <w:rPr>
          <w:lang w:val="pl-PL"/>
        </w:rPr>
        <w:t xml:space="preserve"> 32, </w:t>
      </w:r>
      <w:r>
        <w:rPr>
          <w:lang w:val="pl-PL"/>
        </w:rPr>
        <w:t>ust.</w:t>
      </w:r>
      <w:r w:rsidRPr="00EF7CB3">
        <w:rPr>
          <w:lang w:val="pl-PL"/>
        </w:rPr>
        <w:t> 15 and 18.</w:t>
      </w:r>
    </w:p>
  </w:footnote>
  <w:footnote w:id="35">
    <w:p w14:paraId="18E52C6D" w14:textId="7A3CF140" w:rsidR="00683B29" w:rsidRPr="00EF7CB3" w:rsidRDefault="00683B29" w:rsidP="00530E4F">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1629/2007, </w:t>
      </w:r>
      <w:r w:rsidRPr="00EF7CB3">
        <w:rPr>
          <w:i/>
          <w:lang w:val="pl-PL"/>
        </w:rPr>
        <w:t xml:space="preserve">Fardon </w:t>
      </w:r>
      <w:r w:rsidRPr="00EF7CB3">
        <w:rPr>
          <w:lang w:val="pl-PL"/>
        </w:rPr>
        <w:t>v.</w:t>
      </w:r>
      <w:r w:rsidRPr="00EF7CB3">
        <w:rPr>
          <w:i/>
          <w:lang w:val="pl-PL"/>
        </w:rPr>
        <w:t xml:space="preserve"> A</w:t>
      </w:r>
      <w:r>
        <w:rPr>
          <w:i/>
          <w:lang w:val="pl-PL"/>
        </w:rPr>
        <w:t>ust</w:t>
      </w:r>
      <w:r w:rsidRPr="00EF7CB3">
        <w:rPr>
          <w:i/>
          <w:lang w:val="pl-PL"/>
        </w:rPr>
        <w:t>ralia</w:t>
      </w:r>
      <w:r w:rsidRPr="00EF7CB3">
        <w:rPr>
          <w:lang w:val="pl-PL"/>
        </w:rPr>
        <w:t xml:space="preserve">, </w:t>
      </w:r>
      <w:r>
        <w:rPr>
          <w:lang w:val="pl-PL"/>
        </w:rPr>
        <w:t>ust.</w:t>
      </w:r>
      <w:r w:rsidRPr="00EF7CB3">
        <w:rPr>
          <w:lang w:val="pl-PL"/>
        </w:rPr>
        <w:t xml:space="preserve"> 7.4 (a) (zastosowanie środka postpenalnego w reżimie więziennym identycznym jak sam wyrok); patrz uwagi końcowe: Begia (CCPR/CO/81/BEL, 2004), </w:t>
      </w:r>
      <w:r>
        <w:rPr>
          <w:lang w:val="pl-PL"/>
        </w:rPr>
        <w:t>ust.</w:t>
      </w:r>
      <w:r w:rsidRPr="00EF7CB3">
        <w:rPr>
          <w:lang w:val="pl-PL"/>
        </w:rPr>
        <w:t xml:space="preserve"> 18 (umieszczenie w oddziałach psychiatrycznych), oraz Wielka Brytania (CCPR/CO/73/UK, 2001), </w:t>
      </w:r>
      <w:r>
        <w:rPr>
          <w:lang w:val="pl-PL"/>
        </w:rPr>
        <w:t>ust.</w:t>
      </w:r>
      <w:r w:rsidRPr="00EF7CB3">
        <w:rPr>
          <w:lang w:val="pl-PL"/>
        </w:rPr>
        <w:t> 16 (zatrzymywanie osób ubiegających się o azyl w więzieniach).</w:t>
      </w:r>
    </w:p>
  </w:footnote>
  <w:footnote w:id="36">
    <w:p w14:paraId="2AE5FF6B" w14:textId="7DCC9F5A"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1189/2003, </w:t>
      </w:r>
      <w:r w:rsidRPr="00EF7CB3">
        <w:rPr>
          <w:i/>
          <w:lang w:val="pl-PL"/>
        </w:rPr>
        <w:t xml:space="preserve">Fernando </w:t>
      </w:r>
      <w:r w:rsidRPr="00EF7CB3">
        <w:rPr>
          <w:lang w:val="pl-PL"/>
        </w:rPr>
        <w:t>v.</w:t>
      </w:r>
      <w:r w:rsidRPr="00EF7CB3">
        <w:rPr>
          <w:i/>
          <w:lang w:val="pl-PL"/>
        </w:rPr>
        <w:t xml:space="preserve"> Sri Lanka</w:t>
      </w:r>
      <w:r w:rsidRPr="00EF7CB3">
        <w:rPr>
          <w:lang w:val="pl-PL"/>
        </w:rPr>
        <w:t xml:space="preserve">, </w:t>
      </w:r>
      <w:r>
        <w:rPr>
          <w:lang w:val="pl-PL"/>
        </w:rPr>
        <w:t>ust.</w:t>
      </w:r>
      <w:r w:rsidRPr="00EF7CB3">
        <w:rPr>
          <w:lang w:val="pl-PL"/>
        </w:rPr>
        <w:t xml:space="preserve"> 9.2; 1373/2005, </w:t>
      </w:r>
      <w:r w:rsidRPr="00EF7CB3">
        <w:rPr>
          <w:i/>
          <w:lang w:val="pl-PL"/>
        </w:rPr>
        <w:t xml:space="preserve">Dissanakye </w:t>
      </w:r>
      <w:r w:rsidRPr="00EF7CB3">
        <w:rPr>
          <w:iCs/>
          <w:lang w:val="pl-PL"/>
        </w:rPr>
        <w:t>v.</w:t>
      </w:r>
      <w:r w:rsidRPr="00EF7CB3">
        <w:rPr>
          <w:i/>
          <w:lang w:val="pl-PL"/>
        </w:rPr>
        <w:t xml:space="preserve"> Sri Lanka</w:t>
      </w:r>
      <w:r w:rsidRPr="00EF7CB3">
        <w:rPr>
          <w:lang w:val="pl-PL"/>
        </w:rPr>
        <w:t xml:space="preserve">, </w:t>
      </w:r>
      <w:r>
        <w:rPr>
          <w:lang w:val="pl-PL"/>
        </w:rPr>
        <w:t>ust.</w:t>
      </w:r>
      <w:r w:rsidRPr="00EF7CB3">
        <w:rPr>
          <w:lang w:val="pl-PL"/>
        </w:rPr>
        <w:t> 8.3.</w:t>
      </w:r>
    </w:p>
  </w:footnote>
  <w:footnote w:id="37">
    <w:p w14:paraId="54847556" w14:textId="77777777" w:rsidR="00683B29" w:rsidRPr="00EF7CB3" w:rsidRDefault="00683B29" w:rsidP="004E4928">
      <w:pPr>
        <w:pStyle w:val="Tekstprzypisudolnego"/>
        <w:rPr>
          <w:lang w:val="pl-PL"/>
        </w:rPr>
      </w:pPr>
      <w:r w:rsidRPr="00EF7CB3">
        <w:rPr>
          <w:lang w:val="pl-PL"/>
        </w:rPr>
        <w:tab/>
      </w:r>
      <w:r w:rsidRPr="00EF7CB3">
        <w:rPr>
          <w:rStyle w:val="Odwoanieprzypisudolnego"/>
          <w:lang w:val="pl-PL"/>
        </w:rPr>
        <w:footnoteRef/>
      </w:r>
      <w:r w:rsidRPr="00EF7CB3">
        <w:rPr>
          <w:lang w:val="pl-PL"/>
        </w:rPr>
        <w:tab/>
        <w:t>Punkt ten dotyczy zatrzymania zabezpieczającego, a nie form postpenalnego aresztu prewencyjnego opisanego w punkcie 21 poniżej lub zatrzymania w celu kontroli imigracyjnej lub ekstradycyjnej, patrz pkt 18 poniżej.</w:t>
      </w:r>
    </w:p>
  </w:footnote>
  <w:footnote w:id="38">
    <w:p w14:paraId="7896550B" w14:textId="0B2B1063" w:rsidR="00683B29" w:rsidRPr="00EF7CB3" w:rsidRDefault="00683B29" w:rsidP="00743528">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Patrz uwagi końcowe: Kolimbia (CCPR/C/COL/CO/6, 2010), </w:t>
      </w:r>
      <w:r>
        <w:rPr>
          <w:lang w:val="pl-PL"/>
        </w:rPr>
        <w:t>ust.</w:t>
      </w:r>
      <w:r w:rsidRPr="00EF7CB3">
        <w:rPr>
          <w:lang w:val="pl-PL"/>
        </w:rPr>
        <w:t xml:space="preserve"> 20, oraz Jordania (CCPR/C/JOR/CO/4, 2010), </w:t>
      </w:r>
      <w:r>
        <w:rPr>
          <w:lang w:val="pl-PL"/>
        </w:rPr>
        <w:t>ust.</w:t>
      </w:r>
      <w:r w:rsidRPr="00EF7CB3">
        <w:rPr>
          <w:lang w:val="pl-PL"/>
        </w:rPr>
        <w:t> 11.</w:t>
      </w:r>
    </w:p>
  </w:footnote>
  <w:footnote w:id="39">
    <w:p w14:paraId="3A4985A0" w14:textId="77777777" w:rsidR="00683B29" w:rsidRPr="00EF7CB3" w:rsidRDefault="00683B29" w:rsidP="00556310">
      <w:pPr>
        <w:pStyle w:val="Tekstprzypisudolnego"/>
        <w:rPr>
          <w:lang w:val="pl-PL"/>
        </w:rPr>
      </w:pPr>
      <w:r w:rsidRPr="00EF7CB3">
        <w:rPr>
          <w:lang w:val="pl-PL"/>
        </w:rPr>
        <w:tab/>
      </w:r>
      <w:r w:rsidRPr="00EF7CB3">
        <w:rPr>
          <w:rStyle w:val="Odwoanieprzypisudolnego"/>
          <w:lang w:val="pl-PL"/>
        </w:rPr>
        <w:footnoteRef/>
      </w:r>
      <w:r w:rsidRPr="00EF7CB3">
        <w:rPr>
          <w:lang w:val="pl-PL"/>
        </w:rPr>
        <w:tab/>
        <w:t>Odnośnie związku między artykułem 9 i artykułem 4 Paktu oraz międzynarodowym prawem humanitarnym, patrz pkt. 64 do 67 poniżej.</w:t>
      </w:r>
    </w:p>
  </w:footnote>
  <w:footnote w:id="40">
    <w:p w14:paraId="31982411" w14:textId="0A0E55FC"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328/1988, </w:t>
      </w:r>
      <w:r w:rsidRPr="00EF7CB3">
        <w:rPr>
          <w:i/>
          <w:lang w:val="pl-PL"/>
        </w:rPr>
        <w:t xml:space="preserve">Zelaya Blanco </w:t>
      </w:r>
      <w:r w:rsidRPr="00EF7CB3">
        <w:rPr>
          <w:lang w:val="pl-PL"/>
        </w:rPr>
        <w:t>v.</w:t>
      </w:r>
      <w:r w:rsidRPr="00EF7CB3">
        <w:rPr>
          <w:i/>
          <w:lang w:val="pl-PL"/>
        </w:rPr>
        <w:t xml:space="preserve"> Nicaragua</w:t>
      </w:r>
      <w:r w:rsidRPr="00EF7CB3">
        <w:rPr>
          <w:lang w:val="pl-PL"/>
        </w:rPr>
        <w:t xml:space="preserve">, </w:t>
      </w:r>
      <w:r>
        <w:rPr>
          <w:lang w:val="pl-PL"/>
        </w:rPr>
        <w:t>ust.</w:t>
      </w:r>
      <w:r w:rsidRPr="00EF7CB3">
        <w:rPr>
          <w:lang w:val="pl-PL"/>
        </w:rPr>
        <w:t> 10.3.</w:t>
      </w:r>
    </w:p>
  </w:footnote>
  <w:footnote w:id="41">
    <w:p w14:paraId="34AC6AF5" w14:textId="399208D4" w:rsidR="00683B29" w:rsidRPr="00EF7CB3" w:rsidRDefault="00683B29" w:rsidP="004E4928">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1314/2004, </w:t>
      </w:r>
      <w:r w:rsidRPr="00EF7CB3">
        <w:rPr>
          <w:i/>
          <w:lang w:val="pl-PL"/>
        </w:rPr>
        <w:t xml:space="preserve">O’Neill and Quinn </w:t>
      </w:r>
      <w:r w:rsidRPr="00EF7CB3">
        <w:rPr>
          <w:lang w:val="pl-PL"/>
        </w:rPr>
        <w:t>v.</w:t>
      </w:r>
      <w:r w:rsidRPr="00EF7CB3">
        <w:rPr>
          <w:i/>
          <w:lang w:val="pl-PL"/>
        </w:rPr>
        <w:t xml:space="preserve"> Ireland</w:t>
      </w:r>
      <w:r w:rsidRPr="00EF7CB3">
        <w:rPr>
          <w:lang w:val="pl-PL"/>
        </w:rPr>
        <w:t xml:space="preserve">, </w:t>
      </w:r>
      <w:r>
        <w:rPr>
          <w:lang w:val="pl-PL"/>
        </w:rPr>
        <w:t>ust.</w:t>
      </w:r>
      <w:r w:rsidRPr="00EF7CB3">
        <w:rPr>
          <w:lang w:val="pl-PL"/>
        </w:rPr>
        <w:t xml:space="preserve"> 8.5 (nie znaleziono naruszenia); patrz uwagi końcowe: Honduras (CCPR/C/HND/CO/1, 2006), </w:t>
      </w:r>
      <w:r>
        <w:rPr>
          <w:lang w:val="pl-PL"/>
        </w:rPr>
        <w:t>ust.</w:t>
      </w:r>
      <w:r w:rsidRPr="00EF7CB3">
        <w:rPr>
          <w:lang w:val="pl-PL"/>
        </w:rPr>
        <w:t xml:space="preserve"> 13 (zatrzymanie z powodu orientacji seksualnej), oraz Kamerun (CCPR/C/CMR/CO/4, 2010), </w:t>
      </w:r>
      <w:r>
        <w:rPr>
          <w:lang w:val="pl-PL"/>
        </w:rPr>
        <w:t>ust.</w:t>
      </w:r>
      <w:r w:rsidRPr="00EF7CB3">
        <w:rPr>
          <w:lang w:val="pl-PL"/>
        </w:rPr>
        <w:t xml:space="preserve"> 12 (pozbawienie wolności na podstawie dobrowolnych czynności seksualnych osób dorosłych tej samej płci). </w:t>
      </w:r>
    </w:p>
  </w:footnote>
  <w:footnote w:id="42">
    <w:p w14:paraId="558FF71E" w14:textId="133E4AFF"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1629/2007, </w:t>
      </w:r>
      <w:r w:rsidRPr="00EF7CB3">
        <w:rPr>
          <w:i/>
          <w:lang w:val="pl-PL"/>
        </w:rPr>
        <w:t xml:space="preserve">Fardon </w:t>
      </w:r>
      <w:r w:rsidRPr="00EF7CB3">
        <w:rPr>
          <w:lang w:val="pl-PL"/>
        </w:rPr>
        <w:t>v.</w:t>
      </w:r>
      <w:r w:rsidRPr="00EF7CB3">
        <w:rPr>
          <w:i/>
          <w:lang w:val="pl-PL"/>
        </w:rPr>
        <w:t xml:space="preserve"> A</w:t>
      </w:r>
      <w:r>
        <w:rPr>
          <w:i/>
          <w:lang w:val="pl-PL"/>
        </w:rPr>
        <w:t>ust</w:t>
      </w:r>
      <w:r w:rsidRPr="00EF7CB3">
        <w:rPr>
          <w:i/>
          <w:lang w:val="pl-PL"/>
        </w:rPr>
        <w:t>ralia</w:t>
      </w:r>
      <w:r w:rsidRPr="00EF7CB3">
        <w:rPr>
          <w:lang w:val="pl-PL"/>
        </w:rPr>
        <w:t xml:space="preserve">, </w:t>
      </w:r>
      <w:r>
        <w:rPr>
          <w:lang w:val="pl-PL"/>
        </w:rPr>
        <w:t>ust.</w:t>
      </w:r>
      <w:r w:rsidRPr="00EF7CB3">
        <w:rPr>
          <w:lang w:val="pl-PL"/>
        </w:rPr>
        <w:t> 7.4 (b).</w:t>
      </w:r>
    </w:p>
  </w:footnote>
  <w:footnote w:id="43">
    <w:p w14:paraId="0F0829FF" w14:textId="43CB5C99" w:rsidR="00683B29" w:rsidRPr="00EF7CB3" w:rsidRDefault="00683B29" w:rsidP="004E4928">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1007/2001, </w:t>
      </w:r>
      <w:r w:rsidRPr="00EF7CB3">
        <w:rPr>
          <w:i/>
          <w:lang w:val="pl-PL"/>
        </w:rPr>
        <w:t xml:space="preserve">Sineiro Fernández </w:t>
      </w:r>
      <w:r w:rsidRPr="00EF7CB3">
        <w:rPr>
          <w:lang w:val="pl-PL"/>
        </w:rPr>
        <w:t>v.</w:t>
      </w:r>
      <w:r w:rsidRPr="00EF7CB3">
        <w:rPr>
          <w:i/>
          <w:lang w:val="pl-PL"/>
        </w:rPr>
        <w:t xml:space="preserve"> Spain</w:t>
      </w:r>
      <w:r w:rsidRPr="00EF7CB3">
        <w:rPr>
          <w:lang w:val="pl-PL"/>
        </w:rPr>
        <w:t xml:space="preserve">, </w:t>
      </w:r>
      <w:r>
        <w:rPr>
          <w:lang w:val="pl-PL"/>
        </w:rPr>
        <w:t>ust.</w:t>
      </w:r>
      <w:r w:rsidRPr="00EF7CB3">
        <w:rPr>
          <w:lang w:val="pl-PL"/>
        </w:rPr>
        <w:t xml:space="preserve"> 6.3 (brak kontroli skazania przez sąd wyższej instancji naruszył </w:t>
      </w:r>
      <w:r>
        <w:rPr>
          <w:lang w:val="pl-PL"/>
        </w:rPr>
        <w:t>ustęp</w:t>
      </w:r>
      <w:r w:rsidRPr="00EF7CB3">
        <w:rPr>
          <w:lang w:val="pl-PL"/>
        </w:rPr>
        <w:t xml:space="preserve"> 5 artykułu 14, ale nie </w:t>
      </w:r>
      <w:r>
        <w:rPr>
          <w:lang w:val="pl-PL"/>
        </w:rPr>
        <w:t>ustęp</w:t>
      </w:r>
      <w:r w:rsidRPr="00EF7CB3">
        <w:rPr>
          <w:lang w:val="pl-PL"/>
        </w:rPr>
        <w:t xml:space="preserve"> 1 artykułu 9).</w:t>
      </w:r>
    </w:p>
  </w:footnote>
  <w:footnote w:id="44">
    <w:p w14:paraId="473FC4EC" w14:textId="2E8D716E"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560/1993, </w:t>
      </w:r>
      <w:r w:rsidRPr="00EF7CB3">
        <w:rPr>
          <w:i/>
          <w:lang w:val="pl-PL"/>
        </w:rPr>
        <w:t xml:space="preserve">A. </w:t>
      </w:r>
      <w:r w:rsidRPr="00EF7CB3">
        <w:rPr>
          <w:lang w:val="pl-PL"/>
        </w:rPr>
        <w:t>v.</w:t>
      </w:r>
      <w:r w:rsidRPr="00EF7CB3">
        <w:rPr>
          <w:i/>
          <w:lang w:val="pl-PL"/>
        </w:rPr>
        <w:t xml:space="preserve"> </w:t>
      </w:r>
      <w:r>
        <w:rPr>
          <w:i/>
          <w:lang w:val="pl-PL"/>
        </w:rPr>
        <w:t>Australia</w:t>
      </w:r>
      <w:r w:rsidRPr="00EF7CB3">
        <w:rPr>
          <w:lang w:val="pl-PL"/>
        </w:rPr>
        <w:t xml:space="preserve">, </w:t>
      </w:r>
      <w:r>
        <w:rPr>
          <w:lang w:val="pl-PL"/>
        </w:rPr>
        <w:t>ust.</w:t>
      </w:r>
      <w:r w:rsidRPr="00EF7CB3">
        <w:rPr>
          <w:lang w:val="pl-PL"/>
        </w:rPr>
        <w:t xml:space="preserve"> 9.3–9.4; 794/1998, </w:t>
      </w:r>
      <w:r w:rsidRPr="00EF7CB3">
        <w:rPr>
          <w:i/>
          <w:lang w:val="pl-PL"/>
        </w:rPr>
        <w:t xml:space="preserve">Jalloh </w:t>
      </w:r>
      <w:r w:rsidRPr="00EF7CB3">
        <w:rPr>
          <w:lang w:val="pl-PL"/>
        </w:rPr>
        <w:t>v.</w:t>
      </w:r>
      <w:r w:rsidRPr="00EF7CB3">
        <w:rPr>
          <w:i/>
          <w:lang w:val="pl-PL"/>
        </w:rPr>
        <w:t xml:space="preserve"> Netherlands</w:t>
      </w:r>
      <w:r w:rsidRPr="00EF7CB3">
        <w:rPr>
          <w:lang w:val="pl-PL"/>
        </w:rPr>
        <w:t xml:space="preserve">, </w:t>
      </w:r>
      <w:r>
        <w:rPr>
          <w:lang w:val="pl-PL"/>
        </w:rPr>
        <w:t>ust.</w:t>
      </w:r>
      <w:r w:rsidRPr="00EF7CB3">
        <w:rPr>
          <w:lang w:val="pl-PL"/>
        </w:rPr>
        <w:t xml:space="preserve"> 8.2; 1557/2007, </w:t>
      </w:r>
      <w:r w:rsidRPr="00EF7CB3">
        <w:rPr>
          <w:i/>
          <w:lang w:val="pl-PL"/>
        </w:rPr>
        <w:t xml:space="preserve">Nystrom </w:t>
      </w:r>
      <w:r w:rsidRPr="00EF7CB3">
        <w:rPr>
          <w:lang w:val="pl-PL"/>
        </w:rPr>
        <w:t>v.</w:t>
      </w:r>
      <w:r w:rsidRPr="00EF7CB3">
        <w:rPr>
          <w:i/>
          <w:lang w:val="pl-PL"/>
        </w:rPr>
        <w:t xml:space="preserve"> </w:t>
      </w:r>
      <w:r>
        <w:rPr>
          <w:i/>
          <w:lang w:val="pl-PL"/>
        </w:rPr>
        <w:t>Australia</w:t>
      </w:r>
      <w:r w:rsidRPr="00EF7CB3">
        <w:rPr>
          <w:lang w:val="pl-PL"/>
        </w:rPr>
        <w:t xml:space="preserve">, </w:t>
      </w:r>
      <w:r>
        <w:rPr>
          <w:lang w:val="pl-PL"/>
        </w:rPr>
        <w:t>ust.</w:t>
      </w:r>
      <w:r w:rsidRPr="00EF7CB3">
        <w:rPr>
          <w:lang w:val="pl-PL"/>
        </w:rPr>
        <w:t> 7.2–7.3.</w:t>
      </w:r>
    </w:p>
  </w:footnote>
  <w:footnote w:id="45">
    <w:p w14:paraId="74726ECB" w14:textId="53257602"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1069/2002, </w:t>
      </w:r>
      <w:r w:rsidRPr="00EF7CB3">
        <w:rPr>
          <w:i/>
          <w:lang w:val="pl-PL"/>
        </w:rPr>
        <w:t xml:space="preserve">Bakhtiyari </w:t>
      </w:r>
      <w:r w:rsidRPr="00EF7CB3">
        <w:rPr>
          <w:lang w:val="pl-PL"/>
        </w:rPr>
        <w:t>v.</w:t>
      </w:r>
      <w:r w:rsidRPr="00EF7CB3">
        <w:rPr>
          <w:i/>
          <w:lang w:val="pl-PL"/>
        </w:rPr>
        <w:t xml:space="preserve"> </w:t>
      </w:r>
      <w:r>
        <w:rPr>
          <w:i/>
          <w:lang w:val="pl-PL"/>
        </w:rPr>
        <w:t>Australia</w:t>
      </w:r>
      <w:r w:rsidRPr="00EF7CB3">
        <w:rPr>
          <w:lang w:val="pl-PL"/>
        </w:rPr>
        <w:t xml:space="preserve">, </w:t>
      </w:r>
      <w:r>
        <w:rPr>
          <w:lang w:val="pl-PL"/>
        </w:rPr>
        <w:t>ust.</w:t>
      </w:r>
      <w:r w:rsidRPr="00EF7CB3">
        <w:rPr>
          <w:lang w:val="pl-PL"/>
        </w:rPr>
        <w:t> 9.2–9.3.</w:t>
      </w:r>
    </w:p>
  </w:footnote>
  <w:footnote w:id="46">
    <w:p w14:paraId="65115283" w14:textId="3CD64CA9"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1551/2007, </w:t>
      </w:r>
      <w:r w:rsidRPr="00EF7CB3">
        <w:rPr>
          <w:i/>
          <w:lang w:val="pl-PL"/>
        </w:rPr>
        <w:t xml:space="preserve">Tarlue </w:t>
      </w:r>
      <w:r w:rsidRPr="00EF7CB3">
        <w:rPr>
          <w:lang w:val="pl-PL"/>
        </w:rPr>
        <w:t>v.</w:t>
      </w:r>
      <w:r w:rsidRPr="00EF7CB3">
        <w:rPr>
          <w:i/>
          <w:lang w:val="pl-PL"/>
        </w:rPr>
        <w:t xml:space="preserve"> Canada</w:t>
      </w:r>
      <w:r w:rsidRPr="00EF7CB3">
        <w:rPr>
          <w:lang w:val="pl-PL"/>
        </w:rPr>
        <w:t xml:space="preserve">, </w:t>
      </w:r>
      <w:r>
        <w:rPr>
          <w:lang w:val="pl-PL"/>
        </w:rPr>
        <w:t>ust.</w:t>
      </w:r>
      <w:r w:rsidRPr="00EF7CB3">
        <w:rPr>
          <w:lang w:val="pl-PL"/>
        </w:rPr>
        <w:t xml:space="preserve"> 3.3 i 7.6; 1051/2002, </w:t>
      </w:r>
      <w:r w:rsidRPr="00EF7CB3">
        <w:rPr>
          <w:i/>
          <w:lang w:val="pl-PL"/>
        </w:rPr>
        <w:t xml:space="preserve">Ahani </w:t>
      </w:r>
      <w:r w:rsidRPr="00EF7CB3">
        <w:rPr>
          <w:lang w:val="pl-PL"/>
        </w:rPr>
        <w:t>v.</w:t>
      </w:r>
      <w:r w:rsidRPr="00EF7CB3">
        <w:rPr>
          <w:i/>
          <w:lang w:val="pl-PL"/>
        </w:rPr>
        <w:t xml:space="preserve"> Canada</w:t>
      </w:r>
      <w:r w:rsidRPr="00EF7CB3">
        <w:rPr>
          <w:lang w:val="pl-PL"/>
        </w:rPr>
        <w:t xml:space="preserve">, </w:t>
      </w:r>
      <w:r>
        <w:rPr>
          <w:lang w:val="pl-PL"/>
        </w:rPr>
        <w:t>ust.</w:t>
      </w:r>
      <w:r w:rsidRPr="00EF7CB3">
        <w:rPr>
          <w:lang w:val="pl-PL"/>
        </w:rPr>
        <w:t> 10.2.</w:t>
      </w:r>
    </w:p>
  </w:footnote>
  <w:footnote w:id="47">
    <w:p w14:paraId="649753AA" w14:textId="11DF0BE9"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1014/2001, </w:t>
      </w:r>
      <w:r w:rsidRPr="00EF7CB3">
        <w:rPr>
          <w:i/>
          <w:lang w:val="pl-PL"/>
        </w:rPr>
        <w:t xml:space="preserve">Baban </w:t>
      </w:r>
      <w:r w:rsidRPr="00EF7CB3">
        <w:rPr>
          <w:lang w:val="pl-PL"/>
        </w:rPr>
        <w:t>v.</w:t>
      </w:r>
      <w:r w:rsidRPr="00EF7CB3">
        <w:rPr>
          <w:i/>
          <w:lang w:val="pl-PL"/>
        </w:rPr>
        <w:t xml:space="preserve"> </w:t>
      </w:r>
      <w:r>
        <w:rPr>
          <w:i/>
          <w:lang w:val="pl-PL"/>
        </w:rPr>
        <w:t>Australia</w:t>
      </w:r>
      <w:r w:rsidRPr="00EF7CB3">
        <w:rPr>
          <w:lang w:val="pl-PL"/>
        </w:rPr>
        <w:t xml:space="preserve">, </w:t>
      </w:r>
      <w:r>
        <w:rPr>
          <w:lang w:val="pl-PL"/>
        </w:rPr>
        <w:t>ust.</w:t>
      </w:r>
      <w:r w:rsidRPr="00EF7CB3">
        <w:rPr>
          <w:lang w:val="pl-PL"/>
        </w:rPr>
        <w:t xml:space="preserve"> 7.2; 1069/2002, </w:t>
      </w:r>
      <w:r w:rsidRPr="00EF7CB3">
        <w:rPr>
          <w:i/>
          <w:lang w:val="pl-PL"/>
        </w:rPr>
        <w:t xml:space="preserve">Bakhtiyari </w:t>
      </w:r>
      <w:r w:rsidRPr="00EF7CB3">
        <w:rPr>
          <w:lang w:val="pl-PL"/>
        </w:rPr>
        <w:t>v.</w:t>
      </w:r>
      <w:r w:rsidRPr="00EF7CB3">
        <w:rPr>
          <w:i/>
          <w:lang w:val="pl-PL"/>
        </w:rPr>
        <w:t xml:space="preserve"> </w:t>
      </w:r>
      <w:r>
        <w:rPr>
          <w:i/>
          <w:lang w:val="pl-PL"/>
        </w:rPr>
        <w:t>Australia</w:t>
      </w:r>
      <w:r w:rsidRPr="00EF7CB3">
        <w:rPr>
          <w:lang w:val="pl-PL"/>
        </w:rPr>
        <w:t xml:space="preserve">, </w:t>
      </w:r>
      <w:r>
        <w:rPr>
          <w:lang w:val="pl-PL"/>
        </w:rPr>
        <w:t>ust.</w:t>
      </w:r>
      <w:r w:rsidRPr="00EF7CB3">
        <w:rPr>
          <w:lang w:val="pl-PL"/>
        </w:rPr>
        <w:t> 9.2–9.3; patrz UNHCR, Wytyczne w sprawie właściwych kryteriów i standardów dotyczących zatrzymywania osób ubiegających się o azyl i alternatyw dla zatrzymania (2012), wytyczna 4.3 i załącznik A (opisujący alternatywy dla zatrzymania).</w:t>
      </w:r>
    </w:p>
  </w:footnote>
  <w:footnote w:id="48">
    <w:p w14:paraId="1C718610" w14:textId="197B1D9D"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1324/2004, </w:t>
      </w:r>
      <w:r w:rsidRPr="00EF7CB3">
        <w:rPr>
          <w:i/>
          <w:lang w:val="pl-PL"/>
        </w:rPr>
        <w:t xml:space="preserve">Shafiq </w:t>
      </w:r>
      <w:r w:rsidRPr="00EF7CB3">
        <w:rPr>
          <w:lang w:val="pl-PL"/>
        </w:rPr>
        <w:t>v.</w:t>
      </w:r>
      <w:r w:rsidRPr="00EF7CB3">
        <w:rPr>
          <w:i/>
          <w:lang w:val="pl-PL"/>
        </w:rPr>
        <w:t xml:space="preserve"> </w:t>
      </w:r>
      <w:r>
        <w:rPr>
          <w:i/>
          <w:lang w:val="pl-PL"/>
        </w:rPr>
        <w:t>Australia</w:t>
      </w:r>
      <w:r w:rsidRPr="00EF7CB3">
        <w:rPr>
          <w:lang w:val="pl-PL"/>
        </w:rPr>
        <w:t xml:space="preserve">, </w:t>
      </w:r>
      <w:r>
        <w:rPr>
          <w:lang w:val="pl-PL"/>
        </w:rPr>
        <w:t>ust.</w:t>
      </w:r>
      <w:r w:rsidRPr="00EF7CB3">
        <w:rPr>
          <w:lang w:val="pl-PL"/>
        </w:rPr>
        <w:t xml:space="preserve"> 7.3; 900/1999, </w:t>
      </w:r>
      <w:r w:rsidRPr="00EF7CB3">
        <w:rPr>
          <w:i/>
          <w:lang w:val="pl-PL"/>
        </w:rPr>
        <w:t xml:space="preserve">C. </w:t>
      </w:r>
      <w:r w:rsidRPr="00EF7CB3">
        <w:rPr>
          <w:lang w:val="pl-PL"/>
        </w:rPr>
        <w:t>v.</w:t>
      </w:r>
      <w:r w:rsidRPr="00EF7CB3">
        <w:rPr>
          <w:i/>
          <w:lang w:val="pl-PL"/>
        </w:rPr>
        <w:t xml:space="preserve"> </w:t>
      </w:r>
      <w:r>
        <w:rPr>
          <w:i/>
          <w:lang w:val="pl-PL"/>
        </w:rPr>
        <w:t>Australia</w:t>
      </w:r>
      <w:r w:rsidRPr="00EF7CB3">
        <w:rPr>
          <w:lang w:val="pl-PL"/>
        </w:rPr>
        <w:t xml:space="preserve">, </w:t>
      </w:r>
      <w:r>
        <w:rPr>
          <w:lang w:val="pl-PL"/>
        </w:rPr>
        <w:t>ust.</w:t>
      </w:r>
      <w:r w:rsidRPr="00EF7CB3">
        <w:rPr>
          <w:lang w:val="pl-PL"/>
        </w:rPr>
        <w:t> 8.2 i 8.4.</w:t>
      </w:r>
    </w:p>
  </w:footnote>
  <w:footnote w:id="49">
    <w:p w14:paraId="4A30DD77" w14:textId="658FF55E"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2094/2011, </w:t>
      </w:r>
      <w:r w:rsidRPr="00EF7CB3">
        <w:rPr>
          <w:i/>
          <w:iCs/>
          <w:lang w:val="pl-PL"/>
        </w:rPr>
        <w:t xml:space="preserve">F.K.A.G. </w:t>
      </w:r>
      <w:r w:rsidRPr="00EF7CB3">
        <w:rPr>
          <w:lang w:val="pl-PL"/>
        </w:rPr>
        <w:t>v.</w:t>
      </w:r>
      <w:r w:rsidRPr="00EF7CB3">
        <w:rPr>
          <w:i/>
          <w:iCs/>
          <w:lang w:val="pl-PL"/>
        </w:rPr>
        <w:t xml:space="preserve"> </w:t>
      </w:r>
      <w:r>
        <w:rPr>
          <w:i/>
          <w:iCs/>
          <w:lang w:val="pl-PL"/>
        </w:rPr>
        <w:t>Australia</w:t>
      </w:r>
      <w:r w:rsidRPr="00EF7CB3">
        <w:rPr>
          <w:lang w:val="pl-PL"/>
        </w:rPr>
        <w:t xml:space="preserve">, </w:t>
      </w:r>
      <w:r>
        <w:rPr>
          <w:lang w:val="pl-PL"/>
        </w:rPr>
        <w:t>ust.</w:t>
      </w:r>
      <w:r w:rsidRPr="00EF7CB3">
        <w:rPr>
          <w:lang w:val="pl-PL"/>
        </w:rPr>
        <w:t xml:space="preserve"> 9.3. </w:t>
      </w:r>
    </w:p>
  </w:footnote>
  <w:footnote w:id="50">
    <w:p w14:paraId="4FAD0D46" w14:textId="44AB8817" w:rsidR="00683B29" w:rsidRPr="00EF7CB3" w:rsidRDefault="00683B29" w:rsidP="004E4928">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1050/2002, </w:t>
      </w:r>
      <w:r w:rsidRPr="00EF7CB3">
        <w:rPr>
          <w:i/>
          <w:lang w:val="pl-PL"/>
        </w:rPr>
        <w:t xml:space="preserve">D. and E. </w:t>
      </w:r>
      <w:r w:rsidRPr="00EF7CB3">
        <w:rPr>
          <w:lang w:val="pl-PL"/>
        </w:rPr>
        <w:t>v.</w:t>
      </w:r>
      <w:r w:rsidRPr="00EF7CB3">
        <w:rPr>
          <w:i/>
          <w:lang w:val="pl-PL"/>
        </w:rPr>
        <w:t xml:space="preserve"> </w:t>
      </w:r>
      <w:r>
        <w:rPr>
          <w:i/>
          <w:lang w:val="pl-PL"/>
        </w:rPr>
        <w:t>Australia</w:t>
      </w:r>
      <w:r w:rsidRPr="00EF7CB3">
        <w:rPr>
          <w:lang w:val="pl-PL"/>
        </w:rPr>
        <w:t xml:space="preserve">, </w:t>
      </w:r>
      <w:r>
        <w:rPr>
          <w:lang w:val="pl-PL"/>
        </w:rPr>
        <w:t>ust.</w:t>
      </w:r>
      <w:r w:rsidRPr="00EF7CB3">
        <w:rPr>
          <w:lang w:val="pl-PL"/>
        </w:rPr>
        <w:t xml:space="preserve"> 7.2; 794/1998, </w:t>
      </w:r>
      <w:r w:rsidRPr="00EF7CB3">
        <w:rPr>
          <w:i/>
          <w:lang w:val="pl-PL"/>
        </w:rPr>
        <w:t xml:space="preserve">Jalloh </w:t>
      </w:r>
      <w:r w:rsidRPr="00EF7CB3">
        <w:rPr>
          <w:lang w:val="pl-PL"/>
        </w:rPr>
        <w:t>v.</w:t>
      </w:r>
      <w:r w:rsidRPr="00EF7CB3">
        <w:rPr>
          <w:i/>
          <w:lang w:val="pl-PL"/>
        </w:rPr>
        <w:t xml:space="preserve"> Netherlands</w:t>
      </w:r>
      <w:r w:rsidRPr="00EF7CB3">
        <w:rPr>
          <w:lang w:val="pl-PL"/>
        </w:rPr>
        <w:t xml:space="preserve">, </w:t>
      </w:r>
      <w:r>
        <w:rPr>
          <w:lang w:val="pl-PL"/>
        </w:rPr>
        <w:t>ust.</w:t>
      </w:r>
      <w:r w:rsidRPr="00EF7CB3">
        <w:rPr>
          <w:lang w:val="pl-PL"/>
        </w:rPr>
        <w:t xml:space="preserve"> 8.2–8.3; patrz też Konwencja o Prawach Dziecka, art. 3, </w:t>
      </w:r>
      <w:r>
        <w:rPr>
          <w:lang w:val="pl-PL"/>
        </w:rPr>
        <w:t>ust.</w:t>
      </w:r>
      <w:r w:rsidRPr="00EF7CB3">
        <w:rPr>
          <w:lang w:val="pl-PL"/>
        </w:rPr>
        <w:t xml:space="preserve">  1, i 37 (b).</w:t>
      </w:r>
    </w:p>
  </w:footnote>
  <w:footnote w:id="51">
    <w:p w14:paraId="3CE3179D" w14:textId="4E8FE7AA"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Patrz uwagi końcowe: Latvia (CCPR/C/LVA/CO/3, 2014), </w:t>
      </w:r>
      <w:r>
        <w:rPr>
          <w:lang w:val="pl-PL"/>
        </w:rPr>
        <w:t>ust.</w:t>
      </w:r>
      <w:r w:rsidRPr="00EF7CB3">
        <w:rPr>
          <w:lang w:val="pl-PL"/>
        </w:rPr>
        <w:t> 16.</w:t>
      </w:r>
    </w:p>
  </w:footnote>
  <w:footnote w:id="52">
    <w:p w14:paraId="6F0DAC10" w14:textId="61DF0E04" w:rsidR="00683B29" w:rsidRPr="00EF7CB3" w:rsidRDefault="00683B29" w:rsidP="004E4928">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1061/2002, </w:t>
      </w:r>
      <w:r w:rsidRPr="00EF7CB3">
        <w:rPr>
          <w:i/>
          <w:lang w:val="pl-PL"/>
        </w:rPr>
        <w:t xml:space="preserve">Fijalkowska </w:t>
      </w:r>
      <w:r w:rsidRPr="00EF7CB3">
        <w:rPr>
          <w:lang w:val="pl-PL"/>
        </w:rPr>
        <w:t>v.</w:t>
      </w:r>
      <w:r w:rsidRPr="00EF7CB3">
        <w:rPr>
          <w:i/>
          <w:lang w:val="pl-PL"/>
        </w:rPr>
        <w:t xml:space="preserve"> Poland</w:t>
      </w:r>
      <w:r w:rsidRPr="00EF7CB3">
        <w:rPr>
          <w:lang w:val="pl-PL"/>
        </w:rPr>
        <w:t xml:space="preserve">, </w:t>
      </w:r>
      <w:r>
        <w:rPr>
          <w:lang w:val="pl-PL"/>
        </w:rPr>
        <w:t>ust.</w:t>
      </w:r>
      <w:r w:rsidRPr="00EF7CB3">
        <w:rPr>
          <w:lang w:val="pl-PL"/>
        </w:rPr>
        <w:t xml:space="preserve"> 8.3; 1629/2007, </w:t>
      </w:r>
      <w:r w:rsidRPr="00EF7CB3">
        <w:rPr>
          <w:i/>
          <w:lang w:val="pl-PL"/>
        </w:rPr>
        <w:t xml:space="preserve">Fardon </w:t>
      </w:r>
      <w:r w:rsidRPr="00EF7CB3">
        <w:rPr>
          <w:lang w:val="pl-PL"/>
        </w:rPr>
        <w:t>v.</w:t>
      </w:r>
      <w:r w:rsidRPr="00EF7CB3">
        <w:rPr>
          <w:i/>
          <w:lang w:val="pl-PL"/>
        </w:rPr>
        <w:t xml:space="preserve"> </w:t>
      </w:r>
      <w:r>
        <w:rPr>
          <w:i/>
          <w:lang w:val="pl-PL"/>
        </w:rPr>
        <w:t>Australia</w:t>
      </w:r>
      <w:r w:rsidRPr="00EF7CB3">
        <w:rPr>
          <w:lang w:val="pl-PL"/>
        </w:rPr>
        <w:t xml:space="preserve">, </w:t>
      </w:r>
      <w:r>
        <w:rPr>
          <w:lang w:val="pl-PL"/>
        </w:rPr>
        <w:t>ust.</w:t>
      </w:r>
      <w:r w:rsidRPr="00EF7CB3">
        <w:rPr>
          <w:lang w:val="pl-PL"/>
        </w:rPr>
        <w:t xml:space="preserve"> 7.3; patrz uwagi końcowe: Federacja Rosyjska (CCPR/C/RUS/CO/6, 2009), </w:t>
      </w:r>
      <w:r>
        <w:rPr>
          <w:lang w:val="pl-PL"/>
        </w:rPr>
        <w:t>ust.</w:t>
      </w:r>
      <w:r w:rsidRPr="00EF7CB3">
        <w:rPr>
          <w:lang w:val="pl-PL"/>
        </w:rPr>
        <w:t xml:space="preserve"> 19; Konwencja o Prawach Osób Niepełnosprawnych, art. 14, </w:t>
      </w:r>
      <w:r>
        <w:rPr>
          <w:lang w:val="pl-PL"/>
        </w:rPr>
        <w:t>ust.</w:t>
      </w:r>
      <w:r w:rsidRPr="00EF7CB3">
        <w:rPr>
          <w:lang w:val="pl-PL"/>
        </w:rPr>
        <w:t xml:space="preserve"> 1 (b).</w:t>
      </w:r>
    </w:p>
  </w:footnote>
  <w:footnote w:id="53">
    <w:p w14:paraId="7A8ECD55" w14:textId="29272C50"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1061/2002, </w:t>
      </w:r>
      <w:r w:rsidRPr="00EF7CB3">
        <w:rPr>
          <w:i/>
          <w:lang w:val="pl-PL"/>
        </w:rPr>
        <w:t xml:space="preserve">Fijalkowska </w:t>
      </w:r>
      <w:r w:rsidRPr="00EF7CB3">
        <w:rPr>
          <w:lang w:val="pl-PL"/>
        </w:rPr>
        <w:t>v.</w:t>
      </w:r>
      <w:r w:rsidRPr="00EF7CB3">
        <w:rPr>
          <w:i/>
          <w:lang w:val="pl-PL"/>
        </w:rPr>
        <w:t xml:space="preserve"> Poland</w:t>
      </w:r>
      <w:r w:rsidRPr="00EF7CB3">
        <w:rPr>
          <w:lang w:val="pl-PL"/>
        </w:rPr>
        <w:t xml:space="preserve">, </w:t>
      </w:r>
      <w:r>
        <w:rPr>
          <w:lang w:val="pl-PL"/>
        </w:rPr>
        <w:t>ust.</w:t>
      </w:r>
      <w:r w:rsidRPr="00EF7CB3">
        <w:rPr>
          <w:lang w:val="pl-PL"/>
        </w:rPr>
        <w:t> 8.3.</w:t>
      </w:r>
    </w:p>
  </w:footnote>
  <w:footnote w:id="54">
    <w:p w14:paraId="536828E5" w14:textId="612AD3F0" w:rsidR="00683B29" w:rsidRPr="00EF7CB3" w:rsidRDefault="00683B29" w:rsidP="004E4928">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Patrz uwagi końcowe: Czechy (CCPR/C/CZE/CO/2, 2007), </w:t>
      </w:r>
      <w:r>
        <w:rPr>
          <w:lang w:val="pl-PL"/>
        </w:rPr>
        <w:t>ust.</w:t>
      </w:r>
      <w:r w:rsidRPr="00EF7CB3">
        <w:rPr>
          <w:lang w:val="pl-PL"/>
        </w:rPr>
        <w:t xml:space="preserve"> 14; patrz też Komitet Praw Dziecka, </w:t>
      </w:r>
      <w:r>
        <w:rPr>
          <w:lang w:val="pl-PL"/>
        </w:rPr>
        <w:t xml:space="preserve">Uwaga ogólna nr </w:t>
      </w:r>
      <w:r w:rsidRPr="00EF7CB3">
        <w:rPr>
          <w:lang w:val="pl-PL"/>
        </w:rPr>
        <w:t xml:space="preserve"> 9, </w:t>
      </w:r>
      <w:r>
        <w:rPr>
          <w:lang w:val="pl-PL"/>
        </w:rPr>
        <w:t>ust.</w:t>
      </w:r>
      <w:r w:rsidRPr="00EF7CB3">
        <w:rPr>
          <w:lang w:val="pl-PL"/>
        </w:rPr>
        <w:t xml:space="preserve"> 48.</w:t>
      </w:r>
    </w:p>
  </w:footnote>
  <w:footnote w:id="55">
    <w:p w14:paraId="5DF5AC23" w14:textId="7F711374" w:rsidR="00683B29" w:rsidRPr="00EF7CB3" w:rsidRDefault="00683B29" w:rsidP="00743528">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Patrz uwagi końcowe: Bułgaria (CCPR/C/BGR/CO/3, 2011), </w:t>
      </w:r>
      <w:r>
        <w:rPr>
          <w:lang w:val="pl-PL"/>
        </w:rPr>
        <w:t>ust.</w:t>
      </w:r>
      <w:r w:rsidRPr="00EF7CB3">
        <w:rPr>
          <w:lang w:val="pl-PL"/>
        </w:rPr>
        <w:t> 10.</w:t>
      </w:r>
    </w:p>
  </w:footnote>
  <w:footnote w:id="56">
    <w:p w14:paraId="34D9977A" w14:textId="13DCAC30"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754/1997, </w:t>
      </w:r>
      <w:r w:rsidRPr="00EF7CB3">
        <w:rPr>
          <w:i/>
          <w:lang w:val="pl-PL"/>
        </w:rPr>
        <w:t xml:space="preserve">A. </w:t>
      </w:r>
      <w:r w:rsidRPr="00EF7CB3">
        <w:rPr>
          <w:lang w:val="pl-PL"/>
        </w:rPr>
        <w:t>v.</w:t>
      </w:r>
      <w:r w:rsidRPr="00EF7CB3">
        <w:rPr>
          <w:i/>
          <w:lang w:val="pl-PL"/>
        </w:rPr>
        <w:t xml:space="preserve"> New Zealand</w:t>
      </w:r>
      <w:r w:rsidRPr="00EF7CB3">
        <w:rPr>
          <w:lang w:val="pl-PL"/>
        </w:rPr>
        <w:t xml:space="preserve">, </w:t>
      </w:r>
      <w:r>
        <w:rPr>
          <w:lang w:val="pl-PL"/>
        </w:rPr>
        <w:t>ust.</w:t>
      </w:r>
      <w:r w:rsidRPr="00EF7CB3">
        <w:rPr>
          <w:lang w:val="pl-PL"/>
        </w:rPr>
        <w:t xml:space="preserve"> 7.2; patrz Komitet Praw Dziecka, </w:t>
      </w:r>
      <w:r>
        <w:rPr>
          <w:lang w:val="pl-PL"/>
        </w:rPr>
        <w:t xml:space="preserve">Uwaga ogólna nr </w:t>
      </w:r>
      <w:r w:rsidRPr="00EF7CB3">
        <w:rPr>
          <w:lang w:val="pl-PL"/>
        </w:rPr>
        <w:t xml:space="preserve">. 9, </w:t>
      </w:r>
      <w:r>
        <w:rPr>
          <w:lang w:val="pl-PL"/>
        </w:rPr>
        <w:t>ust.</w:t>
      </w:r>
      <w:r w:rsidRPr="00EF7CB3">
        <w:rPr>
          <w:lang w:val="pl-PL"/>
        </w:rPr>
        <w:t> 50.</w:t>
      </w:r>
    </w:p>
  </w:footnote>
  <w:footnote w:id="57">
    <w:p w14:paraId="1A94F837" w14:textId="3CF0DDA3"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1061/2002, </w:t>
      </w:r>
      <w:r w:rsidRPr="00EF7CB3">
        <w:rPr>
          <w:i/>
          <w:lang w:val="pl-PL"/>
        </w:rPr>
        <w:t>Fijalkowska v. Poland</w:t>
      </w:r>
      <w:r w:rsidRPr="00EF7CB3">
        <w:rPr>
          <w:lang w:val="pl-PL"/>
        </w:rPr>
        <w:t xml:space="preserve">, </w:t>
      </w:r>
      <w:r>
        <w:rPr>
          <w:lang w:val="pl-PL"/>
        </w:rPr>
        <w:t>ust.</w:t>
      </w:r>
      <w:r w:rsidRPr="00EF7CB3">
        <w:rPr>
          <w:lang w:val="pl-PL"/>
        </w:rPr>
        <w:t xml:space="preserve"> 8.3–8.4; 754/1997, </w:t>
      </w:r>
      <w:r w:rsidRPr="00EF7CB3">
        <w:rPr>
          <w:i/>
          <w:lang w:val="pl-PL"/>
        </w:rPr>
        <w:t xml:space="preserve">A. </w:t>
      </w:r>
      <w:r w:rsidRPr="00EF7CB3">
        <w:rPr>
          <w:lang w:val="pl-PL"/>
        </w:rPr>
        <w:t>v.</w:t>
      </w:r>
      <w:r w:rsidRPr="00EF7CB3">
        <w:rPr>
          <w:i/>
          <w:lang w:val="pl-PL"/>
        </w:rPr>
        <w:t xml:space="preserve"> New Zealand</w:t>
      </w:r>
      <w:r w:rsidRPr="00EF7CB3">
        <w:rPr>
          <w:lang w:val="pl-PL"/>
        </w:rPr>
        <w:t xml:space="preserve">, </w:t>
      </w:r>
      <w:r>
        <w:rPr>
          <w:lang w:val="pl-PL"/>
        </w:rPr>
        <w:t>ust.</w:t>
      </w:r>
      <w:r w:rsidRPr="00EF7CB3">
        <w:rPr>
          <w:lang w:val="pl-PL"/>
        </w:rPr>
        <w:t xml:space="preserve"> 7.3; </w:t>
      </w:r>
      <w:r>
        <w:rPr>
          <w:lang w:val="pl-PL"/>
        </w:rPr>
        <w:t xml:space="preserve">Uwaga ogólna nr </w:t>
      </w:r>
      <w:r w:rsidRPr="00EF7CB3">
        <w:rPr>
          <w:lang w:val="pl-PL"/>
        </w:rPr>
        <w:t xml:space="preserve"> 31, </w:t>
      </w:r>
      <w:r>
        <w:rPr>
          <w:lang w:val="pl-PL"/>
        </w:rPr>
        <w:t>ust.</w:t>
      </w:r>
      <w:r w:rsidRPr="00EF7CB3">
        <w:rPr>
          <w:lang w:val="pl-PL"/>
        </w:rPr>
        <w:t> 15.</w:t>
      </w:r>
    </w:p>
  </w:footnote>
  <w:footnote w:id="58">
    <w:p w14:paraId="6003281A" w14:textId="33F7068E"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1388/2005, </w:t>
      </w:r>
      <w:r w:rsidRPr="00EF7CB3">
        <w:rPr>
          <w:i/>
          <w:lang w:val="pl-PL"/>
        </w:rPr>
        <w:t xml:space="preserve">De Léon Castro </w:t>
      </w:r>
      <w:r w:rsidRPr="00EF7CB3">
        <w:rPr>
          <w:lang w:val="pl-PL"/>
        </w:rPr>
        <w:t>v.</w:t>
      </w:r>
      <w:r w:rsidRPr="00EF7CB3">
        <w:rPr>
          <w:i/>
          <w:lang w:val="pl-PL"/>
        </w:rPr>
        <w:t xml:space="preserve"> Spain</w:t>
      </w:r>
      <w:r w:rsidRPr="00EF7CB3">
        <w:rPr>
          <w:lang w:val="pl-PL"/>
        </w:rPr>
        <w:t xml:space="preserve">, </w:t>
      </w:r>
      <w:r>
        <w:rPr>
          <w:lang w:val="pl-PL"/>
        </w:rPr>
        <w:t>ust.</w:t>
      </w:r>
      <w:r w:rsidRPr="00EF7CB3">
        <w:rPr>
          <w:lang w:val="pl-PL"/>
        </w:rPr>
        <w:t> 9.3.</w:t>
      </w:r>
    </w:p>
  </w:footnote>
  <w:footnote w:id="59">
    <w:p w14:paraId="74264A47" w14:textId="29C8A871"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1492/2006, </w:t>
      </w:r>
      <w:r w:rsidRPr="00EF7CB3">
        <w:rPr>
          <w:i/>
          <w:lang w:val="pl-PL"/>
        </w:rPr>
        <w:t>Van der Plaat v. New Zealand</w:t>
      </w:r>
      <w:r w:rsidRPr="00EF7CB3">
        <w:rPr>
          <w:lang w:val="pl-PL"/>
        </w:rPr>
        <w:t xml:space="preserve">, </w:t>
      </w:r>
      <w:r>
        <w:rPr>
          <w:lang w:val="pl-PL"/>
        </w:rPr>
        <w:t>ust.</w:t>
      </w:r>
      <w:r w:rsidRPr="00EF7CB3">
        <w:rPr>
          <w:lang w:val="pl-PL"/>
        </w:rPr>
        <w:t> 6.3.</w:t>
      </w:r>
    </w:p>
  </w:footnote>
  <w:footnote w:id="60">
    <w:p w14:paraId="7BFC8804" w14:textId="77777777" w:rsidR="00683B29" w:rsidRPr="00EF7CB3" w:rsidRDefault="00683B29" w:rsidP="00FB461A">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W innych systemach prawnych zatrzymanie takie może być znane pod nazwą "rétention de sûreté”, “Sicherungsverwahrung” lub, po angielsku, “preventive detention”; patrz 1090/2020 </w:t>
      </w:r>
      <w:r w:rsidRPr="00EF7CB3">
        <w:rPr>
          <w:i/>
          <w:lang w:val="pl-PL"/>
        </w:rPr>
        <w:t xml:space="preserve">Rameka </w:t>
      </w:r>
      <w:r w:rsidRPr="00EF7CB3">
        <w:rPr>
          <w:lang w:val="pl-PL"/>
        </w:rPr>
        <w:t>v.</w:t>
      </w:r>
      <w:r w:rsidRPr="00EF7CB3">
        <w:rPr>
          <w:i/>
          <w:lang w:val="pl-PL"/>
        </w:rPr>
        <w:t> New Zealand</w:t>
      </w:r>
      <w:r w:rsidRPr="00EF7CB3">
        <w:rPr>
          <w:lang w:val="pl-PL"/>
        </w:rPr>
        <w:t>.</w:t>
      </w:r>
    </w:p>
  </w:footnote>
  <w:footnote w:id="61">
    <w:p w14:paraId="21FAF5F8" w14:textId="27761858"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Ibid., </w:t>
      </w:r>
      <w:r>
        <w:rPr>
          <w:lang w:val="pl-PL"/>
        </w:rPr>
        <w:t>ust.</w:t>
      </w:r>
      <w:r w:rsidRPr="00EF7CB3">
        <w:rPr>
          <w:lang w:val="pl-PL"/>
        </w:rPr>
        <w:t> 7.3.</w:t>
      </w:r>
    </w:p>
  </w:footnote>
  <w:footnote w:id="62">
    <w:p w14:paraId="33BAEFF4" w14:textId="60FB3B50" w:rsidR="00683B29" w:rsidRPr="00EF7CB3" w:rsidRDefault="00683B29" w:rsidP="004E4928">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Patrz uwagi końcowe: Niemcy (CCPR/C/DEU/CO/6, 2012), </w:t>
      </w:r>
      <w:r>
        <w:rPr>
          <w:lang w:val="pl-PL"/>
        </w:rPr>
        <w:t>ust.</w:t>
      </w:r>
      <w:r w:rsidRPr="00EF7CB3">
        <w:rPr>
          <w:lang w:val="pl-PL"/>
        </w:rPr>
        <w:t> 14.</w:t>
      </w:r>
    </w:p>
  </w:footnote>
  <w:footnote w:id="63">
    <w:p w14:paraId="25943AB6" w14:textId="4C1F0EAB"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1512/2006, </w:t>
      </w:r>
      <w:r w:rsidRPr="00EF7CB3">
        <w:rPr>
          <w:i/>
          <w:lang w:val="pl-PL"/>
        </w:rPr>
        <w:t xml:space="preserve">Dean </w:t>
      </w:r>
      <w:r w:rsidRPr="00EF7CB3">
        <w:rPr>
          <w:lang w:val="pl-PL"/>
        </w:rPr>
        <w:t>v.</w:t>
      </w:r>
      <w:r w:rsidRPr="00EF7CB3">
        <w:rPr>
          <w:i/>
          <w:lang w:val="pl-PL"/>
        </w:rPr>
        <w:t xml:space="preserve"> New Zealand</w:t>
      </w:r>
      <w:r w:rsidRPr="00EF7CB3">
        <w:rPr>
          <w:lang w:val="pl-PL"/>
        </w:rPr>
        <w:t xml:space="preserve">, </w:t>
      </w:r>
      <w:r>
        <w:rPr>
          <w:lang w:val="pl-PL"/>
        </w:rPr>
        <w:t>ust.</w:t>
      </w:r>
      <w:r w:rsidRPr="00EF7CB3">
        <w:rPr>
          <w:lang w:val="pl-PL"/>
        </w:rPr>
        <w:t> 7.5.</w:t>
      </w:r>
    </w:p>
  </w:footnote>
  <w:footnote w:id="64">
    <w:p w14:paraId="429D0E24" w14:textId="6667E9B3"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1629/2007, </w:t>
      </w:r>
      <w:r w:rsidRPr="00EF7CB3">
        <w:rPr>
          <w:i/>
          <w:lang w:val="pl-PL"/>
        </w:rPr>
        <w:t xml:space="preserve">Fardon </w:t>
      </w:r>
      <w:r w:rsidRPr="00EF7CB3">
        <w:rPr>
          <w:lang w:val="pl-PL"/>
        </w:rPr>
        <w:t>v.</w:t>
      </w:r>
      <w:r w:rsidRPr="00EF7CB3">
        <w:rPr>
          <w:i/>
          <w:lang w:val="pl-PL"/>
        </w:rPr>
        <w:t xml:space="preserve"> </w:t>
      </w:r>
      <w:r>
        <w:rPr>
          <w:i/>
          <w:lang w:val="pl-PL"/>
        </w:rPr>
        <w:t>Australia</w:t>
      </w:r>
      <w:r w:rsidRPr="00EF7CB3">
        <w:rPr>
          <w:lang w:val="pl-PL"/>
        </w:rPr>
        <w:t xml:space="preserve">, </w:t>
      </w:r>
      <w:r>
        <w:rPr>
          <w:lang w:val="pl-PL"/>
        </w:rPr>
        <w:t>ust.</w:t>
      </w:r>
      <w:r w:rsidRPr="00EF7CB3">
        <w:rPr>
          <w:lang w:val="pl-PL"/>
        </w:rPr>
        <w:t> 7.4.</w:t>
      </w:r>
    </w:p>
  </w:footnote>
  <w:footnote w:id="65">
    <w:p w14:paraId="1E34537F" w14:textId="03F2CCA4" w:rsidR="00683B29" w:rsidRPr="00EF7CB3" w:rsidRDefault="00683B29" w:rsidP="004E4928">
      <w:pPr>
        <w:pStyle w:val="Tekstprzypisudolnego"/>
        <w:rPr>
          <w:lang w:val="pl-PL"/>
        </w:rPr>
      </w:pPr>
      <w:r w:rsidRPr="00EF7CB3">
        <w:rPr>
          <w:lang w:val="pl-PL"/>
        </w:rPr>
        <w:tab/>
      </w:r>
      <w:r w:rsidRPr="00EF7CB3">
        <w:rPr>
          <w:rStyle w:val="Odwoanieprzypisudolnego"/>
          <w:lang w:val="pl-PL"/>
        </w:rPr>
        <w:footnoteRef/>
      </w:r>
      <w:r w:rsidRPr="00EF7CB3">
        <w:rPr>
          <w:lang w:val="pl-PL"/>
        </w:rPr>
        <w:tab/>
        <w:t>Patrz uwagi końcowe:</w:t>
      </w:r>
      <w:r w:rsidRPr="00EF7CB3">
        <w:rPr>
          <w:szCs w:val="24"/>
          <w:lang w:val="pl-PL"/>
        </w:rPr>
        <w:t xml:space="preserve"> </w:t>
      </w:r>
      <w:r w:rsidRPr="00EF7CB3">
        <w:rPr>
          <w:lang w:val="pl-PL"/>
        </w:rPr>
        <w:t xml:space="preserve">Filipiny (CCPR/CO/79/PHL, 2003), </w:t>
      </w:r>
      <w:r>
        <w:rPr>
          <w:lang w:val="pl-PL"/>
        </w:rPr>
        <w:t>ust.</w:t>
      </w:r>
      <w:r w:rsidRPr="00EF7CB3">
        <w:rPr>
          <w:lang w:val="pl-PL"/>
        </w:rPr>
        <w:t xml:space="preserve"> 14 (niejasne przepisy o włóczęgostwie), Mauritius (CCPR/CO/83/MUS, 2005), </w:t>
      </w:r>
      <w:r>
        <w:rPr>
          <w:lang w:val="pl-PL"/>
        </w:rPr>
        <w:t>ust.</w:t>
      </w:r>
      <w:r w:rsidRPr="00EF7CB3">
        <w:rPr>
          <w:lang w:val="pl-PL"/>
        </w:rPr>
        <w:t> </w:t>
      </w:r>
      <w:r w:rsidRPr="00EF7CB3">
        <w:rPr>
          <w:szCs w:val="24"/>
          <w:lang w:val="pl-PL"/>
        </w:rPr>
        <w:t xml:space="preserve">12 (prawo antyterrorystyczne), Federacja Rosyjska (CCPR/C/RUS/CO/6, 2009), </w:t>
      </w:r>
      <w:r>
        <w:rPr>
          <w:szCs w:val="24"/>
          <w:lang w:val="pl-PL"/>
        </w:rPr>
        <w:t>ust.</w:t>
      </w:r>
      <w:r w:rsidRPr="00EF7CB3">
        <w:rPr>
          <w:szCs w:val="24"/>
          <w:lang w:val="pl-PL"/>
        </w:rPr>
        <w:t xml:space="preserve"> 24 (“działalność ekstremistyczna”), oraz Honduras (CCPR/C/HND/CO/1, 2006), </w:t>
      </w:r>
      <w:r>
        <w:rPr>
          <w:szCs w:val="24"/>
          <w:lang w:val="pl-PL"/>
        </w:rPr>
        <w:t>ust.</w:t>
      </w:r>
      <w:r w:rsidRPr="00EF7CB3">
        <w:rPr>
          <w:szCs w:val="24"/>
          <w:lang w:val="pl-PL"/>
        </w:rPr>
        <w:t> 13 (“bezprawne zrzeszanie się”).</w:t>
      </w:r>
    </w:p>
  </w:footnote>
  <w:footnote w:id="66">
    <w:p w14:paraId="5873EF80" w14:textId="0509A4F0"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702/1996, </w:t>
      </w:r>
      <w:r w:rsidRPr="00EF7CB3">
        <w:rPr>
          <w:i/>
          <w:lang w:val="pl-PL"/>
        </w:rPr>
        <w:t xml:space="preserve">McLawrence </w:t>
      </w:r>
      <w:r w:rsidRPr="00EF7CB3">
        <w:rPr>
          <w:lang w:val="pl-PL"/>
        </w:rPr>
        <w:t xml:space="preserve">v. </w:t>
      </w:r>
      <w:r w:rsidRPr="00EF7CB3">
        <w:rPr>
          <w:i/>
          <w:lang w:val="pl-PL"/>
        </w:rPr>
        <w:t>Jamaica</w:t>
      </w:r>
      <w:r w:rsidRPr="00EF7CB3">
        <w:rPr>
          <w:lang w:val="pl-PL"/>
        </w:rPr>
        <w:t xml:space="preserve">, </w:t>
      </w:r>
      <w:r>
        <w:rPr>
          <w:lang w:val="pl-PL"/>
        </w:rPr>
        <w:t>ust.</w:t>
      </w:r>
      <w:r w:rsidRPr="00EF7CB3">
        <w:rPr>
          <w:lang w:val="pl-PL"/>
        </w:rPr>
        <w:t xml:space="preserve"> 5.5: “zasada legalności jest naruszona jeśli dana osoba zostaje aresztowana lub zatrzymana z przyczyn, które nie są wyraźnie </w:t>
      </w:r>
      <w:r>
        <w:rPr>
          <w:lang w:val="pl-PL"/>
        </w:rPr>
        <w:t>ust.</w:t>
      </w:r>
      <w:r w:rsidRPr="00EF7CB3">
        <w:rPr>
          <w:lang w:val="pl-PL"/>
        </w:rPr>
        <w:t>alone w przepisach prawa krajowego".</w:t>
      </w:r>
    </w:p>
  </w:footnote>
  <w:footnote w:id="67">
    <w:p w14:paraId="72B7DC76" w14:textId="7F81BCCE"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856/1999, </w:t>
      </w:r>
      <w:r w:rsidRPr="00EF7CB3">
        <w:rPr>
          <w:i/>
          <w:lang w:val="pl-PL"/>
        </w:rPr>
        <w:t xml:space="preserve">Chambala </w:t>
      </w:r>
      <w:r w:rsidRPr="00EF7CB3">
        <w:rPr>
          <w:lang w:val="pl-PL"/>
        </w:rPr>
        <w:t>v.</w:t>
      </w:r>
      <w:r w:rsidRPr="00EF7CB3">
        <w:rPr>
          <w:i/>
          <w:lang w:val="pl-PL"/>
        </w:rPr>
        <w:t xml:space="preserve"> Zambia</w:t>
      </w:r>
      <w:r w:rsidRPr="00EF7CB3">
        <w:rPr>
          <w:lang w:val="pl-PL"/>
        </w:rPr>
        <w:t xml:space="preserve">, </w:t>
      </w:r>
      <w:r>
        <w:rPr>
          <w:lang w:val="pl-PL"/>
        </w:rPr>
        <w:t>ust.</w:t>
      </w:r>
      <w:r w:rsidRPr="00EF7CB3">
        <w:rPr>
          <w:lang w:val="pl-PL"/>
        </w:rPr>
        <w:t xml:space="preserve"> 7.3; 138/1981, </w:t>
      </w:r>
      <w:r w:rsidRPr="00EF7CB3">
        <w:rPr>
          <w:i/>
          <w:lang w:val="pl-PL"/>
        </w:rPr>
        <w:t xml:space="preserve">Mpandanjila et al. </w:t>
      </w:r>
      <w:r w:rsidRPr="00EF7CB3">
        <w:rPr>
          <w:lang w:val="pl-PL"/>
        </w:rPr>
        <w:t>v.</w:t>
      </w:r>
      <w:r w:rsidRPr="00EF7CB3">
        <w:rPr>
          <w:i/>
          <w:lang w:val="pl-PL"/>
        </w:rPr>
        <w:t xml:space="preserve"> Zaire</w:t>
      </w:r>
      <w:r w:rsidRPr="00EF7CB3">
        <w:rPr>
          <w:lang w:val="pl-PL"/>
        </w:rPr>
        <w:t xml:space="preserve">, </w:t>
      </w:r>
      <w:r>
        <w:rPr>
          <w:lang w:val="pl-PL"/>
        </w:rPr>
        <w:t>ust.</w:t>
      </w:r>
      <w:r w:rsidRPr="00EF7CB3">
        <w:rPr>
          <w:lang w:val="pl-PL"/>
        </w:rPr>
        <w:t> 10.</w:t>
      </w:r>
    </w:p>
  </w:footnote>
  <w:footnote w:id="68">
    <w:p w14:paraId="12918857" w14:textId="27815C35"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1461/2006, 1462/2006, 1476/2006, 1477/2006, </w:t>
      </w:r>
      <w:r w:rsidRPr="00EF7CB3">
        <w:rPr>
          <w:i/>
          <w:lang w:val="pl-PL"/>
        </w:rPr>
        <w:t xml:space="preserve">Maksudov et al. </w:t>
      </w:r>
      <w:r w:rsidRPr="00EF7CB3">
        <w:rPr>
          <w:lang w:val="pl-PL"/>
        </w:rPr>
        <w:t>v.</w:t>
      </w:r>
      <w:r w:rsidRPr="00EF7CB3">
        <w:rPr>
          <w:i/>
          <w:lang w:val="pl-PL"/>
        </w:rPr>
        <w:t xml:space="preserve"> Kyrgyzstan</w:t>
      </w:r>
      <w:r w:rsidRPr="00EF7CB3">
        <w:rPr>
          <w:lang w:val="pl-PL"/>
        </w:rPr>
        <w:t xml:space="preserve">, </w:t>
      </w:r>
      <w:r>
        <w:rPr>
          <w:lang w:val="pl-PL"/>
        </w:rPr>
        <w:t>ust.</w:t>
      </w:r>
      <w:r w:rsidRPr="00EF7CB3">
        <w:rPr>
          <w:lang w:val="pl-PL"/>
        </w:rPr>
        <w:t> 12.2.</w:t>
      </w:r>
    </w:p>
  </w:footnote>
  <w:footnote w:id="69">
    <w:p w14:paraId="7428339D" w14:textId="2DDC2C52"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1110/2002, </w:t>
      </w:r>
      <w:r w:rsidRPr="00EF7CB3">
        <w:rPr>
          <w:i/>
          <w:lang w:val="pl-PL"/>
        </w:rPr>
        <w:t xml:space="preserve">Rolando </w:t>
      </w:r>
      <w:r w:rsidRPr="00EF7CB3">
        <w:rPr>
          <w:lang w:val="pl-PL"/>
        </w:rPr>
        <w:t>v.</w:t>
      </w:r>
      <w:r w:rsidRPr="00EF7CB3">
        <w:rPr>
          <w:i/>
          <w:lang w:val="pl-PL"/>
        </w:rPr>
        <w:t xml:space="preserve"> </w:t>
      </w:r>
      <w:r w:rsidRPr="00EF7CB3">
        <w:rPr>
          <w:i/>
          <w:iCs/>
          <w:lang w:val="pl-PL"/>
        </w:rPr>
        <w:t>the Philippines</w:t>
      </w:r>
      <w:r w:rsidRPr="00EF7CB3">
        <w:rPr>
          <w:lang w:val="pl-PL"/>
        </w:rPr>
        <w:t xml:space="preserve">, </w:t>
      </w:r>
      <w:r>
        <w:rPr>
          <w:lang w:val="pl-PL"/>
        </w:rPr>
        <w:t>ust.</w:t>
      </w:r>
      <w:r w:rsidRPr="00EF7CB3">
        <w:rPr>
          <w:lang w:val="pl-PL"/>
        </w:rPr>
        <w:t> 5.5.</w:t>
      </w:r>
    </w:p>
  </w:footnote>
  <w:footnote w:id="70">
    <w:p w14:paraId="45510F36" w14:textId="0CEDC20A"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770/1997, </w:t>
      </w:r>
      <w:r w:rsidRPr="00EF7CB3">
        <w:rPr>
          <w:i/>
          <w:lang w:val="pl-PL"/>
        </w:rPr>
        <w:t xml:space="preserve">Gridin </w:t>
      </w:r>
      <w:r w:rsidRPr="00EF7CB3">
        <w:rPr>
          <w:lang w:val="pl-PL"/>
        </w:rPr>
        <w:t>v.</w:t>
      </w:r>
      <w:r w:rsidRPr="00EF7CB3">
        <w:rPr>
          <w:i/>
          <w:lang w:val="pl-PL"/>
        </w:rPr>
        <w:t xml:space="preserve"> Russian Federation</w:t>
      </w:r>
      <w:r w:rsidRPr="00EF7CB3">
        <w:rPr>
          <w:lang w:val="pl-PL"/>
        </w:rPr>
        <w:t xml:space="preserve">, </w:t>
      </w:r>
      <w:r>
        <w:rPr>
          <w:lang w:val="pl-PL"/>
        </w:rPr>
        <w:t>ust.</w:t>
      </w:r>
      <w:r w:rsidRPr="00EF7CB3">
        <w:rPr>
          <w:lang w:val="pl-PL"/>
        </w:rPr>
        <w:t> 8.1.</w:t>
      </w:r>
    </w:p>
  </w:footnote>
  <w:footnote w:id="71">
    <w:p w14:paraId="51C16A26" w14:textId="7939CB41"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1449/2006, </w:t>
      </w:r>
      <w:r w:rsidRPr="00EF7CB3">
        <w:rPr>
          <w:i/>
          <w:lang w:val="pl-PL"/>
        </w:rPr>
        <w:t xml:space="preserve">Umarov </w:t>
      </w:r>
      <w:r w:rsidRPr="00EF7CB3">
        <w:rPr>
          <w:lang w:val="pl-PL"/>
        </w:rPr>
        <w:t>v.</w:t>
      </w:r>
      <w:r w:rsidRPr="00EF7CB3">
        <w:rPr>
          <w:i/>
          <w:lang w:val="pl-PL"/>
        </w:rPr>
        <w:t xml:space="preserve"> Uzbekistan</w:t>
      </w:r>
      <w:r w:rsidRPr="00EF7CB3">
        <w:rPr>
          <w:lang w:val="pl-PL"/>
        </w:rPr>
        <w:t xml:space="preserve">, </w:t>
      </w:r>
      <w:r>
        <w:rPr>
          <w:lang w:val="pl-PL"/>
        </w:rPr>
        <w:t>ust.</w:t>
      </w:r>
      <w:r w:rsidRPr="00EF7CB3">
        <w:rPr>
          <w:lang w:val="pl-PL"/>
        </w:rPr>
        <w:t> 8.4.</w:t>
      </w:r>
    </w:p>
  </w:footnote>
  <w:footnote w:id="72">
    <w:p w14:paraId="0412245A" w14:textId="1D2A18CD"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981/2001, </w:t>
      </w:r>
      <w:r w:rsidRPr="00EF7CB3">
        <w:rPr>
          <w:i/>
          <w:lang w:val="pl-PL"/>
        </w:rPr>
        <w:t xml:space="preserve">Gómez Casafranca </w:t>
      </w:r>
      <w:r w:rsidRPr="00EF7CB3">
        <w:rPr>
          <w:lang w:val="pl-PL"/>
        </w:rPr>
        <w:t>v.</w:t>
      </w:r>
      <w:r w:rsidRPr="00EF7CB3">
        <w:rPr>
          <w:i/>
          <w:lang w:val="pl-PL"/>
        </w:rPr>
        <w:t xml:space="preserve"> Peru</w:t>
      </w:r>
      <w:r w:rsidRPr="00EF7CB3">
        <w:rPr>
          <w:lang w:val="pl-PL"/>
        </w:rPr>
        <w:t xml:space="preserve">, </w:t>
      </w:r>
      <w:r>
        <w:rPr>
          <w:lang w:val="pl-PL"/>
        </w:rPr>
        <w:t>ust.</w:t>
      </w:r>
      <w:r w:rsidRPr="00EF7CB3">
        <w:rPr>
          <w:lang w:val="pl-PL"/>
        </w:rPr>
        <w:t> 7.2.</w:t>
      </w:r>
    </w:p>
  </w:footnote>
  <w:footnote w:id="73">
    <w:p w14:paraId="47093D6D" w14:textId="4F83BD18"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2024/2011, </w:t>
      </w:r>
      <w:r w:rsidRPr="00EF7CB3">
        <w:rPr>
          <w:i/>
          <w:lang w:val="pl-PL"/>
        </w:rPr>
        <w:t xml:space="preserve">Israil </w:t>
      </w:r>
      <w:r w:rsidRPr="00EF7CB3">
        <w:rPr>
          <w:lang w:val="pl-PL"/>
        </w:rPr>
        <w:t>v.</w:t>
      </w:r>
      <w:r w:rsidRPr="00EF7CB3">
        <w:rPr>
          <w:i/>
          <w:lang w:val="pl-PL"/>
        </w:rPr>
        <w:t xml:space="preserve"> Kazakhstan</w:t>
      </w:r>
      <w:r w:rsidRPr="00EF7CB3">
        <w:rPr>
          <w:lang w:val="pl-PL"/>
        </w:rPr>
        <w:t xml:space="preserve">, </w:t>
      </w:r>
      <w:r>
        <w:rPr>
          <w:lang w:val="pl-PL"/>
        </w:rPr>
        <w:t>ust.</w:t>
      </w:r>
      <w:r w:rsidRPr="00EF7CB3">
        <w:rPr>
          <w:lang w:val="pl-PL"/>
        </w:rPr>
        <w:t> 9.2.</w:t>
      </w:r>
    </w:p>
  </w:footnote>
  <w:footnote w:id="74">
    <w:p w14:paraId="4886694C" w14:textId="140E997D"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1208/2003, </w:t>
      </w:r>
      <w:r w:rsidRPr="00EF7CB3">
        <w:rPr>
          <w:i/>
          <w:lang w:val="pl-PL"/>
        </w:rPr>
        <w:t xml:space="preserve">Kurbonov </w:t>
      </w:r>
      <w:r w:rsidRPr="00EF7CB3">
        <w:rPr>
          <w:lang w:val="pl-PL"/>
        </w:rPr>
        <w:t>v.</w:t>
      </w:r>
      <w:r w:rsidRPr="00EF7CB3">
        <w:rPr>
          <w:i/>
          <w:lang w:val="pl-PL"/>
        </w:rPr>
        <w:t xml:space="preserve"> Tajikistan</w:t>
      </w:r>
      <w:r w:rsidRPr="00EF7CB3">
        <w:rPr>
          <w:lang w:val="pl-PL"/>
        </w:rPr>
        <w:t xml:space="preserve">, </w:t>
      </w:r>
      <w:r>
        <w:rPr>
          <w:lang w:val="pl-PL"/>
        </w:rPr>
        <w:t>ust.</w:t>
      </w:r>
      <w:r w:rsidRPr="00EF7CB3">
        <w:rPr>
          <w:lang w:val="pl-PL"/>
        </w:rPr>
        <w:t> 6.5.</w:t>
      </w:r>
    </w:p>
  </w:footnote>
  <w:footnote w:id="75">
    <w:p w14:paraId="67825542" w14:textId="4D6A2C5C"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1412/2005, </w:t>
      </w:r>
      <w:r w:rsidRPr="00EF7CB3">
        <w:rPr>
          <w:i/>
          <w:lang w:val="pl-PL"/>
        </w:rPr>
        <w:t xml:space="preserve">Butovenko </w:t>
      </w:r>
      <w:r w:rsidRPr="00EF7CB3">
        <w:rPr>
          <w:lang w:val="pl-PL"/>
        </w:rPr>
        <w:t>v.</w:t>
      </w:r>
      <w:r w:rsidRPr="00EF7CB3">
        <w:rPr>
          <w:i/>
          <w:lang w:val="pl-PL"/>
        </w:rPr>
        <w:t xml:space="preserve"> Ukraine</w:t>
      </w:r>
      <w:r w:rsidRPr="00EF7CB3">
        <w:rPr>
          <w:lang w:val="pl-PL"/>
        </w:rPr>
        <w:t xml:space="preserve">, </w:t>
      </w:r>
      <w:r>
        <w:rPr>
          <w:lang w:val="pl-PL"/>
        </w:rPr>
        <w:t>ust.</w:t>
      </w:r>
      <w:r w:rsidRPr="00EF7CB3">
        <w:rPr>
          <w:lang w:val="pl-PL"/>
        </w:rPr>
        <w:t> 7.6.</w:t>
      </w:r>
    </w:p>
  </w:footnote>
  <w:footnote w:id="76">
    <w:p w14:paraId="0E0DBE37" w14:textId="68C88840"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1425/2005, </w:t>
      </w:r>
      <w:r w:rsidRPr="00EF7CB3">
        <w:rPr>
          <w:i/>
          <w:lang w:val="pl-PL"/>
        </w:rPr>
        <w:t xml:space="preserve">Marz </w:t>
      </w:r>
      <w:r w:rsidRPr="00EF7CB3">
        <w:rPr>
          <w:lang w:val="pl-PL"/>
        </w:rPr>
        <w:t>v.</w:t>
      </w:r>
      <w:r w:rsidRPr="00EF7CB3">
        <w:rPr>
          <w:i/>
          <w:lang w:val="pl-PL"/>
        </w:rPr>
        <w:t xml:space="preserve"> Russian Federation</w:t>
      </w:r>
      <w:r w:rsidRPr="00EF7CB3">
        <w:rPr>
          <w:lang w:val="pl-PL"/>
        </w:rPr>
        <w:t xml:space="preserve">, </w:t>
      </w:r>
      <w:r>
        <w:rPr>
          <w:lang w:val="pl-PL"/>
        </w:rPr>
        <w:t>ust.</w:t>
      </w:r>
      <w:r w:rsidRPr="00EF7CB3">
        <w:rPr>
          <w:lang w:val="pl-PL"/>
        </w:rPr>
        <w:t> 5.3.</w:t>
      </w:r>
    </w:p>
  </w:footnote>
  <w:footnote w:id="77">
    <w:p w14:paraId="4046F369" w14:textId="7B7EF9B6"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1460/2006, </w:t>
      </w:r>
      <w:r w:rsidRPr="00EF7CB3">
        <w:rPr>
          <w:i/>
          <w:lang w:val="pl-PL"/>
        </w:rPr>
        <w:t xml:space="preserve">Yklymova </w:t>
      </w:r>
      <w:r w:rsidRPr="00EF7CB3">
        <w:rPr>
          <w:lang w:val="pl-PL"/>
        </w:rPr>
        <w:t>v.</w:t>
      </w:r>
      <w:r w:rsidRPr="00EF7CB3">
        <w:rPr>
          <w:i/>
          <w:lang w:val="pl-PL"/>
        </w:rPr>
        <w:t xml:space="preserve"> Turkmenistan</w:t>
      </w:r>
      <w:r w:rsidRPr="00EF7CB3">
        <w:rPr>
          <w:lang w:val="pl-PL"/>
        </w:rPr>
        <w:t xml:space="preserve">, </w:t>
      </w:r>
      <w:r>
        <w:rPr>
          <w:lang w:val="pl-PL"/>
        </w:rPr>
        <w:t>ust.</w:t>
      </w:r>
      <w:r w:rsidRPr="00EF7CB3">
        <w:rPr>
          <w:lang w:val="pl-PL"/>
        </w:rPr>
        <w:t xml:space="preserve"> 7.2 (de facto areszt domowy); 414/1990, </w:t>
      </w:r>
      <w:r w:rsidRPr="00EF7CB3">
        <w:rPr>
          <w:i/>
          <w:lang w:val="pl-PL"/>
        </w:rPr>
        <w:t xml:space="preserve">Mika Miha </w:t>
      </w:r>
      <w:r w:rsidRPr="00EF7CB3">
        <w:rPr>
          <w:lang w:val="pl-PL"/>
        </w:rPr>
        <w:t>v.</w:t>
      </w:r>
      <w:r w:rsidRPr="00EF7CB3">
        <w:rPr>
          <w:i/>
          <w:lang w:val="pl-PL"/>
        </w:rPr>
        <w:t> Equatorial Guinea</w:t>
      </w:r>
      <w:r w:rsidRPr="00EF7CB3">
        <w:rPr>
          <w:lang w:val="pl-PL"/>
        </w:rPr>
        <w:t xml:space="preserve">, </w:t>
      </w:r>
      <w:r>
        <w:rPr>
          <w:lang w:val="pl-PL"/>
        </w:rPr>
        <w:t>ust.</w:t>
      </w:r>
      <w:r w:rsidRPr="00EF7CB3">
        <w:rPr>
          <w:lang w:val="pl-PL"/>
        </w:rPr>
        <w:t> 6.5 (zarządzenie prezydenta).</w:t>
      </w:r>
    </w:p>
  </w:footnote>
  <w:footnote w:id="78">
    <w:p w14:paraId="7CF4DC28" w14:textId="6B12F3A9"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Patrz, np., </w:t>
      </w:r>
      <w:r w:rsidRPr="00EF7CB3">
        <w:rPr>
          <w:i/>
          <w:lang w:val="pl-PL"/>
        </w:rPr>
        <w:t>Sprawa dotycząca Ahmadou Sadio Diallo</w:t>
      </w:r>
      <w:r w:rsidRPr="00EF7CB3">
        <w:rPr>
          <w:lang w:val="pl-PL"/>
        </w:rPr>
        <w:t xml:space="preserve"> </w:t>
      </w:r>
      <w:r w:rsidRPr="00EF7CB3">
        <w:rPr>
          <w:i/>
          <w:lang w:val="pl-PL"/>
        </w:rPr>
        <w:t xml:space="preserve">(Republic of Guinea </w:t>
      </w:r>
      <w:r w:rsidRPr="00EF7CB3">
        <w:rPr>
          <w:iCs/>
          <w:lang w:val="pl-PL"/>
        </w:rPr>
        <w:t>v.</w:t>
      </w:r>
      <w:r w:rsidRPr="00EF7CB3">
        <w:rPr>
          <w:i/>
          <w:lang w:val="pl-PL"/>
        </w:rPr>
        <w:t xml:space="preserve"> Democratic Republic of the Congo)</w:t>
      </w:r>
      <w:r w:rsidRPr="00EF7CB3">
        <w:rPr>
          <w:lang w:val="pl-PL"/>
        </w:rPr>
        <w:t xml:space="preserve">, I.C.J. Reports 2010, str. 639, </w:t>
      </w:r>
      <w:r>
        <w:rPr>
          <w:lang w:val="pl-PL"/>
        </w:rPr>
        <w:t>ust.</w:t>
      </w:r>
      <w:r w:rsidRPr="00EF7CB3">
        <w:rPr>
          <w:lang w:val="pl-PL"/>
        </w:rPr>
        <w:t> 77 (powołując się na uwagę ogólną Komitetu nr 8).</w:t>
      </w:r>
    </w:p>
  </w:footnote>
  <w:footnote w:id="79">
    <w:p w14:paraId="58AEE2A4" w14:textId="6155530A"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635/1995, </w:t>
      </w:r>
      <w:r w:rsidRPr="00EF7CB3">
        <w:rPr>
          <w:i/>
          <w:lang w:val="pl-PL"/>
        </w:rPr>
        <w:t xml:space="preserve">Morrison </w:t>
      </w:r>
      <w:r w:rsidRPr="00EF7CB3">
        <w:rPr>
          <w:lang w:val="pl-PL"/>
        </w:rPr>
        <w:t>v.</w:t>
      </w:r>
      <w:r w:rsidRPr="00EF7CB3">
        <w:rPr>
          <w:i/>
          <w:lang w:val="pl-PL"/>
        </w:rPr>
        <w:t xml:space="preserve"> Jamaica</w:t>
      </w:r>
      <w:r w:rsidRPr="00EF7CB3">
        <w:rPr>
          <w:lang w:val="pl-PL"/>
        </w:rPr>
        <w:t xml:space="preserve">, </w:t>
      </w:r>
      <w:r>
        <w:rPr>
          <w:lang w:val="pl-PL"/>
        </w:rPr>
        <w:t>ust.</w:t>
      </w:r>
      <w:r w:rsidRPr="00EF7CB3">
        <w:rPr>
          <w:lang w:val="pl-PL"/>
        </w:rPr>
        <w:t xml:space="preserve"> 22.2–22.3; 1397/2005, </w:t>
      </w:r>
      <w:r w:rsidRPr="00EF7CB3">
        <w:rPr>
          <w:i/>
          <w:lang w:val="pl-PL"/>
        </w:rPr>
        <w:t xml:space="preserve">Engo </w:t>
      </w:r>
      <w:r w:rsidRPr="00EF7CB3">
        <w:rPr>
          <w:lang w:val="pl-PL"/>
        </w:rPr>
        <w:t>v.</w:t>
      </w:r>
      <w:r w:rsidRPr="00EF7CB3">
        <w:rPr>
          <w:i/>
          <w:lang w:val="pl-PL"/>
        </w:rPr>
        <w:t xml:space="preserve"> Cameroon</w:t>
      </w:r>
      <w:r w:rsidRPr="00EF7CB3">
        <w:rPr>
          <w:lang w:val="pl-PL"/>
        </w:rPr>
        <w:t xml:space="preserve">, </w:t>
      </w:r>
      <w:r>
        <w:rPr>
          <w:lang w:val="pl-PL"/>
        </w:rPr>
        <w:t>ust.</w:t>
      </w:r>
      <w:r w:rsidRPr="00EF7CB3">
        <w:rPr>
          <w:lang w:val="pl-PL"/>
        </w:rPr>
        <w:t xml:space="preserve"> 7.3. </w:t>
      </w:r>
    </w:p>
  </w:footnote>
  <w:footnote w:id="80">
    <w:p w14:paraId="48398E03" w14:textId="6A3797F3"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248/1987, </w:t>
      </w:r>
      <w:r w:rsidRPr="00EF7CB3">
        <w:rPr>
          <w:i/>
          <w:lang w:val="pl-PL"/>
        </w:rPr>
        <w:t xml:space="preserve">Campbell </w:t>
      </w:r>
      <w:r w:rsidRPr="00EF7CB3">
        <w:rPr>
          <w:lang w:val="pl-PL"/>
        </w:rPr>
        <w:t>v.</w:t>
      </w:r>
      <w:r w:rsidRPr="00EF7CB3">
        <w:rPr>
          <w:i/>
          <w:lang w:val="pl-PL"/>
        </w:rPr>
        <w:t xml:space="preserve"> Jamaica</w:t>
      </w:r>
      <w:r w:rsidRPr="00EF7CB3">
        <w:rPr>
          <w:lang w:val="pl-PL"/>
        </w:rPr>
        <w:t xml:space="preserve">, </w:t>
      </w:r>
      <w:r>
        <w:rPr>
          <w:lang w:val="pl-PL"/>
        </w:rPr>
        <w:t>ust.</w:t>
      </w:r>
      <w:r w:rsidRPr="00EF7CB3">
        <w:rPr>
          <w:lang w:val="pl-PL"/>
        </w:rPr>
        <w:t> 6.3.</w:t>
      </w:r>
    </w:p>
  </w:footnote>
  <w:footnote w:id="81">
    <w:p w14:paraId="6309DA29" w14:textId="6AEF515A"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1177/2003, </w:t>
      </w:r>
      <w:r w:rsidRPr="00EF7CB3">
        <w:rPr>
          <w:i/>
          <w:iCs/>
          <w:lang w:val="pl-PL"/>
        </w:rPr>
        <w:t xml:space="preserve">Ilombe and Shandwe </w:t>
      </w:r>
      <w:r w:rsidRPr="00EF7CB3">
        <w:rPr>
          <w:lang w:val="pl-PL"/>
        </w:rPr>
        <w:t>v.</w:t>
      </w:r>
      <w:r w:rsidRPr="00EF7CB3">
        <w:rPr>
          <w:i/>
          <w:lang w:val="pl-PL"/>
        </w:rPr>
        <w:t xml:space="preserve"> Democratic Republic of the Congo</w:t>
      </w:r>
      <w:r w:rsidRPr="00EF7CB3">
        <w:rPr>
          <w:lang w:val="pl-PL"/>
        </w:rPr>
        <w:t xml:space="preserve">, </w:t>
      </w:r>
      <w:r>
        <w:rPr>
          <w:lang w:val="pl-PL"/>
        </w:rPr>
        <w:t>ust.</w:t>
      </w:r>
      <w:r w:rsidRPr="00EF7CB3">
        <w:rPr>
          <w:lang w:val="pl-PL"/>
        </w:rPr>
        <w:t> 6.2.</w:t>
      </w:r>
    </w:p>
  </w:footnote>
  <w:footnote w:id="82">
    <w:p w14:paraId="0C034544" w14:textId="75DE6ED1"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1812/2008, </w:t>
      </w:r>
      <w:r w:rsidRPr="00EF7CB3">
        <w:rPr>
          <w:i/>
          <w:lang w:val="pl-PL"/>
        </w:rPr>
        <w:t xml:space="preserve">Levinov </w:t>
      </w:r>
      <w:r w:rsidRPr="00EF7CB3">
        <w:rPr>
          <w:lang w:val="pl-PL"/>
        </w:rPr>
        <w:t>v.</w:t>
      </w:r>
      <w:r w:rsidRPr="00EF7CB3">
        <w:rPr>
          <w:i/>
          <w:lang w:val="pl-PL"/>
        </w:rPr>
        <w:t xml:space="preserve"> Belarus</w:t>
      </w:r>
      <w:r w:rsidRPr="00EF7CB3">
        <w:rPr>
          <w:lang w:val="pl-PL"/>
        </w:rPr>
        <w:t xml:space="preserve">, </w:t>
      </w:r>
      <w:r>
        <w:rPr>
          <w:lang w:val="pl-PL"/>
        </w:rPr>
        <w:t>ust.</w:t>
      </w:r>
      <w:r w:rsidRPr="00EF7CB3">
        <w:rPr>
          <w:lang w:val="pl-PL"/>
        </w:rPr>
        <w:t> 7.5.</w:t>
      </w:r>
    </w:p>
  </w:footnote>
  <w:footnote w:id="83">
    <w:p w14:paraId="74850A88" w14:textId="60E7861E"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868/1999, </w:t>
      </w:r>
      <w:r w:rsidRPr="00EF7CB3">
        <w:rPr>
          <w:i/>
          <w:lang w:val="pl-PL"/>
        </w:rPr>
        <w:t xml:space="preserve">Wilson </w:t>
      </w:r>
      <w:r w:rsidRPr="00EF7CB3">
        <w:rPr>
          <w:lang w:val="pl-PL"/>
        </w:rPr>
        <w:t>v.</w:t>
      </w:r>
      <w:r w:rsidRPr="00EF7CB3">
        <w:rPr>
          <w:i/>
          <w:lang w:val="pl-PL"/>
        </w:rPr>
        <w:t xml:space="preserve"> Philippines</w:t>
      </w:r>
      <w:r w:rsidRPr="00EF7CB3">
        <w:rPr>
          <w:lang w:val="pl-PL"/>
        </w:rPr>
        <w:t xml:space="preserve">, </w:t>
      </w:r>
      <w:r>
        <w:rPr>
          <w:lang w:val="pl-PL"/>
        </w:rPr>
        <w:t>ust.</w:t>
      </w:r>
      <w:r w:rsidRPr="00EF7CB3">
        <w:rPr>
          <w:lang w:val="pl-PL"/>
        </w:rPr>
        <w:t> 3.3 oraz 7.5.</w:t>
      </w:r>
    </w:p>
  </w:footnote>
  <w:footnote w:id="84">
    <w:p w14:paraId="2EF1F287" w14:textId="01BACCA5"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526/1993, </w:t>
      </w:r>
      <w:r w:rsidRPr="00EF7CB3">
        <w:rPr>
          <w:i/>
          <w:lang w:val="pl-PL"/>
        </w:rPr>
        <w:t xml:space="preserve">Hill and Hill </w:t>
      </w:r>
      <w:r w:rsidRPr="00EF7CB3">
        <w:rPr>
          <w:lang w:val="pl-PL"/>
        </w:rPr>
        <w:t>v.</w:t>
      </w:r>
      <w:r w:rsidRPr="00EF7CB3">
        <w:rPr>
          <w:i/>
          <w:lang w:val="pl-PL"/>
        </w:rPr>
        <w:t xml:space="preserve"> Spain</w:t>
      </w:r>
      <w:r w:rsidRPr="00EF7CB3">
        <w:rPr>
          <w:lang w:val="pl-PL"/>
        </w:rPr>
        <w:t xml:space="preserve">, </w:t>
      </w:r>
      <w:r>
        <w:rPr>
          <w:lang w:val="pl-PL"/>
        </w:rPr>
        <w:t>ust.</w:t>
      </w:r>
      <w:r w:rsidRPr="00EF7CB3">
        <w:rPr>
          <w:lang w:val="pl-PL"/>
        </w:rPr>
        <w:t> 12.2.</w:t>
      </w:r>
    </w:p>
  </w:footnote>
  <w:footnote w:id="85">
    <w:p w14:paraId="12F1E6E8" w14:textId="2BD296DC"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1402/2005, </w:t>
      </w:r>
      <w:r w:rsidRPr="00EF7CB3">
        <w:rPr>
          <w:i/>
          <w:iCs/>
          <w:lang w:val="pl-PL"/>
        </w:rPr>
        <w:t xml:space="preserve">Krasnov </w:t>
      </w:r>
      <w:r w:rsidRPr="00EF7CB3">
        <w:rPr>
          <w:lang w:val="pl-PL"/>
        </w:rPr>
        <w:t>v.</w:t>
      </w:r>
      <w:r w:rsidRPr="00EF7CB3">
        <w:rPr>
          <w:i/>
          <w:lang w:val="pl-PL"/>
        </w:rPr>
        <w:t xml:space="preserve"> Kyrgyzstan</w:t>
      </w:r>
      <w:r w:rsidRPr="00EF7CB3">
        <w:rPr>
          <w:lang w:val="pl-PL"/>
        </w:rPr>
        <w:t xml:space="preserve">, </w:t>
      </w:r>
      <w:r>
        <w:rPr>
          <w:lang w:val="pl-PL"/>
        </w:rPr>
        <w:t>ust.</w:t>
      </w:r>
      <w:r w:rsidRPr="00EF7CB3">
        <w:rPr>
          <w:lang w:val="pl-PL"/>
        </w:rPr>
        <w:t xml:space="preserve"> 8.5; </w:t>
      </w:r>
      <w:r>
        <w:rPr>
          <w:lang w:val="pl-PL"/>
        </w:rPr>
        <w:t xml:space="preserve">Uwaga ogólna nr </w:t>
      </w:r>
      <w:r w:rsidRPr="00EF7CB3">
        <w:rPr>
          <w:lang w:val="pl-PL"/>
        </w:rPr>
        <w:t xml:space="preserve"> 32, </w:t>
      </w:r>
      <w:r>
        <w:rPr>
          <w:lang w:val="pl-PL"/>
        </w:rPr>
        <w:t>ust.</w:t>
      </w:r>
      <w:r w:rsidRPr="00EF7CB3">
        <w:rPr>
          <w:lang w:val="pl-PL"/>
        </w:rPr>
        <w:t xml:space="preserve"> 42; patrz Komitet Praw Dziecka, </w:t>
      </w:r>
      <w:r>
        <w:rPr>
          <w:lang w:val="pl-PL"/>
        </w:rPr>
        <w:t xml:space="preserve">Uwaga ogólna nr </w:t>
      </w:r>
      <w:r w:rsidRPr="00EF7CB3">
        <w:rPr>
          <w:lang w:val="pl-PL"/>
        </w:rPr>
        <w:t xml:space="preserve"> 10, </w:t>
      </w:r>
      <w:r>
        <w:rPr>
          <w:lang w:val="pl-PL"/>
        </w:rPr>
        <w:t>ust.</w:t>
      </w:r>
      <w:r w:rsidRPr="00EF7CB3">
        <w:rPr>
          <w:lang w:val="pl-PL"/>
        </w:rPr>
        <w:t xml:space="preserve"> 48.</w:t>
      </w:r>
    </w:p>
  </w:footnote>
  <w:footnote w:id="86">
    <w:p w14:paraId="65341F28" w14:textId="7374CA18"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1782/2008, </w:t>
      </w:r>
      <w:r w:rsidRPr="00EF7CB3">
        <w:rPr>
          <w:i/>
          <w:lang w:val="pl-PL"/>
        </w:rPr>
        <w:t xml:space="preserve">Aboufaied </w:t>
      </w:r>
      <w:r w:rsidRPr="00EF7CB3">
        <w:rPr>
          <w:lang w:val="pl-PL"/>
        </w:rPr>
        <w:t>v.</w:t>
      </w:r>
      <w:r w:rsidRPr="00EF7CB3">
        <w:rPr>
          <w:i/>
          <w:lang w:val="pl-PL"/>
        </w:rPr>
        <w:t xml:space="preserve"> Libya</w:t>
      </w:r>
      <w:r w:rsidRPr="00EF7CB3">
        <w:rPr>
          <w:lang w:val="pl-PL"/>
        </w:rPr>
        <w:t xml:space="preserve">, </w:t>
      </w:r>
      <w:r>
        <w:rPr>
          <w:lang w:val="pl-PL"/>
        </w:rPr>
        <w:t>ust.</w:t>
      </w:r>
      <w:r w:rsidRPr="00EF7CB3">
        <w:rPr>
          <w:lang w:val="pl-PL"/>
        </w:rPr>
        <w:t xml:space="preserve"> 7.6. Wymóg informowania o wszelkich zarzutach dotyczy zatrzymania dla celów potencjalnego postępowania wojskowego niezależnie od tego, czy proces zatrzymanego przed sądem wojskowym byłby zabroniony przez art. 14 Paktu. 1640/2007, </w:t>
      </w:r>
      <w:r w:rsidRPr="00EF7CB3">
        <w:rPr>
          <w:i/>
          <w:iCs/>
          <w:lang w:val="pl-PL"/>
        </w:rPr>
        <w:t xml:space="preserve">El Abani </w:t>
      </w:r>
      <w:r w:rsidRPr="00EF7CB3">
        <w:rPr>
          <w:lang w:val="pl-PL"/>
        </w:rPr>
        <w:t>v.</w:t>
      </w:r>
      <w:r w:rsidRPr="00EF7CB3">
        <w:rPr>
          <w:i/>
          <w:iCs/>
          <w:lang w:val="pl-PL"/>
        </w:rPr>
        <w:t xml:space="preserve"> Algeria</w:t>
      </w:r>
      <w:r w:rsidRPr="00EF7CB3">
        <w:rPr>
          <w:lang w:val="pl-PL"/>
        </w:rPr>
        <w:t xml:space="preserve">, </w:t>
      </w:r>
      <w:r>
        <w:rPr>
          <w:lang w:val="pl-PL"/>
        </w:rPr>
        <w:t>ust.</w:t>
      </w:r>
      <w:r w:rsidRPr="00EF7CB3">
        <w:rPr>
          <w:lang w:val="pl-PL"/>
        </w:rPr>
        <w:t> 7.6 i 7.8.</w:t>
      </w:r>
    </w:p>
  </w:footnote>
  <w:footnote w:id="87">
    <w:p w14:paraId="1B9C294F" w14:textId="7BE6E98D"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493/1992, </w:t>
      </w:r>
      <w:r w:rsidRPr="00EF7CB3">
        <w:rPr>
          <w:i/>
          <w:lang w:val="pl-PL"/>
        </w:rPr>
        <w:t xml:space="preserve">Griffin </w:t>
      </w:r>
      <w:r w:rsidRPr="00EF7CB3">
        <w:rPr>
          <w:lang w:val="pl-PL"/>
        </w:rPr>
        <w:t>v.</w:t>
      </w:r>
      <w:r w:rsidRPr="00EF7CB3">
        <w:rPr>
          <w:i/>
          <w:lang w:val="pl-PL"/>
        </w:rPr>
        <w:t xml:space="preserve"> Spain</w:t>
      </w:r>
      <w:r w:rsidRPr="00EF7CB3">
        <w:rPr>
          <w:lang w:val="pl-PL"/>
        </w:rPr>
        <w:t xml:space="preserve">, </w:t>
      </w:r>
      <w:r>
        <w:rPr>
          <w:lang w:val="pl-PL"/>
        </w:rPr>
        <w:t>ust.</w:t>
      </w:r>
      <w:r w:rsidRPr="00EF7CB3">
        <w:rPr>
          <w:lang w:val="pl-PL"/>
        </w:rPr>
        <w:t> 9.2.</w:t>
      </w:r>
    </w:p>
  </w:footnote>
  <w:footnote w:id="88">
    <w:p w14:paraId="50E98521" w14:textId="12CDFECF"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r>
      <w:r>
        <w:rPr>
          <w:lang w:val="pl-PL"/>
        </w:rPr>
        <w:t xml:space="preserve">Uwaga ogólna nr </w:t>
      </w:r>
      <w:r w:rsidRPr="00EF7CB3">
        <w:rPr>
          <w:lang w:val="pl-PL"/>
        </w:rPr>
        <w:t xml:space="preserve">. 32, </w:t>
      </w:r>
      <w:r>
        <w:rPr>
          <w:lang w:val="pl-PL"/>
        </w:rPr>
        <w:t>ust.</w:t>
      </w:r>
      <w:r w:rsidRPr="00EF7CB3">
        <w:rPr>
          <w:lang w:val="pl-PL"/>
        </w:rPr>
        <w:t xml:space="preserve"> 31; 702/1996, </w:t>
      </w:r>
      <w:r w:rsidRPr="00EF7CB3">
        <w:rPr>
          <w:i/>
          <w:lang w:val="pl-PL"/>
        </w:rPr>
        <w:t xml:space="preserve">McLawrence </w:t>
      </w:r>
      <w:r w:rsidRPr="00EF7CB3">
        <w:rPr>
          <w:lang w:val="pl-PL"/>
        </w:rPr>
        <w:t>v.</w:t>
      </w:r>
      <w:r w:rsidRPr="00EF7CB3">
        <w:rPr>
          <w:i/>
          <w:lang w:val="pl-PL"/>
        </w:rPr>
        <w:t xml:space="preserve"> Jamaica</w:t>
      </w:r>
      <w:r w:rsidRPr="00EF7CB3">
        <w:rPr>
          <w:lang w:val="pl-PL"/>
        </w:rPr>
        <w:t xml:space="preserve">, </w:t>
      </w:r>
      <w:r>
        <w:rPr>
          <w:lang w:val="pl-PL"/>
        </w:rPr>
        <w:t>ust.</w:t>
      </w:r>
      <w:r w:rsidRPr="00EF7CB3">
        <w:rPr>
          <w:lang w:val="pl-PL"/>
        </w:rPr>
        <w:t xml:space="preserve"> 5.9. </w:t>
      </w:r>
    </w:p>
  </w:footnote>
  <w:footnote w:id="89">
    <w:p w14:paraId="29A51D21" w14:textId="68C99737"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712/1996, </w:t>
      </w:r>
      <w:r w:rsidRPr="00EF7CB3">
        <w:rPr>
          <w:i/>
          <w:lang w:val="pl-PL"/>
        </w:rPr>
        <w:t xml:space="preserve">Smirnova </w:t>
      </w:r>
      <w:r w:rsidRPr="00EF7CB3">
        <w:rPr>
          <w:lang w:val="pl-PL"/>
        </w:rPr>
        <w:t>v.</w:t>
      </w:r>
      <w:r w:rsidRPr="00EF7CB3">
        <w:rPr>
          <w:i/>
          <w:lang w:val="pl-PL"/>
        </w:rPr>
        <w:t xml:space="preserve"> Russian Federation</w:t>
      </w:r>
      <w:r w:rsidRPr="00EF7CB3">
        <w:rPr>
          <w:lang w:val="pl-PL"/>
        </w:rPr>
        <w:t xml:space="preserve">, </w:t>
      </w:r>
      <w:r>
        <w:rPr>
          <w:lang w:val="pl-PL"/>
        </w:rPr>
        <w:t>ust.</w:t>
      </w:r>
      <w:r w:rsidRPr="00EF7CB3">
        <w:rPr>
          <w:lang w:val="pl-PL"/>
        </w:rPr>
        <w:t> 10.3.</w:t>
      </w:r>
    </w:p>
  </w:footnote>
  <w:footnote w:id="90">
    <w:p w14:paraId="3E5B422C" w14:textId="561C3C5D" w:rsidR="00683B29" w:rsidRPr="00EF7CB3" w:rsidRDefault="00683B29" w:rsidP="0064060F">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1782/2008, </w:t>
      </w:r>
      <w:r w:rsidRPr="00EF7CB3">
        <w:rPr>
          <w:i/>
          <w:lang w:val="pl-PL"/>
        </w:rPr>
        <w:t xml:space="preserve">Aboufaied </w:t>
      </w:r>
      <w:r w:rsidRPr="00EF7CB3">
        <w:rPr>
          <w:lang w:val="pl-PL"/>
        </w:rPr>
        <w:t>v.</w:t>
      </w:r>
      <w:r w:rsidRPr="00EF7CB3">
        <w:rPr>
          <w:i/>
          <w:lang w:val="pl-PL"/>
        </w:rPr>
        <w:t xml:space="preserve"> Libya</w:t>
      </w:r>
      <w:r w:rsidRPr="00EF7CB3">
        <w:rPr>
          <w:lang w:val="pl-PL"/>
        </w:rPr>
        <w:t xml:space="preserve">, </w:t>
      </w:r>
      <w:r>
        <w:rPr>
          <w:lang w:val="pl-PL"/>
        </w:rPr>
        <w:t>ust.</w:t>
      </w:r>
      <w:r w:rsidRPr="00EF7CB3">
        <w:rPr>
          <w:lang w:val="pl-PL"/>
        </w:rPr>
        <w:t xml:space="preserve"> 7.6. </w:t>
      </w:r>
      <w:r>
        <w:rPr>
          <w:lang w:val="pl-PL"/>
        </w:rPr>
        <w:t>Ustęp</w:t>
      </w:r>
      <w:r w:rsidRPr="00EF7CB3">
        <w:rPr>
          <w:lang w:val="pl-PL"/>
        </w:rPr>
        <w:t xml:space="preserve"> 3 dotyczy zatrzymania dla celów potencjalnego postępowania wojskowego niezależnie od tego, czy proces zatrzymanego przed sądem wojskowym byłby zabroniony przez art. 14 Paktu. 1813/2008, </w:t>
      </w:r>
      <w:r w:rsidRPr="00EF7CB3">
        <w:rPr>
          <w:i/>
          <w:lang w:val="pl-PL"/>
        </w:rPr>
        <w:t xml:space="preserve">Akwanga </w:t>
      </w:r>
      <w:r w:rsidRPr="00EF7CB3">
        <w:rPr>
          <w:lang w:val="pl-PL"/>
        </w:rPr>
        <w:t>v.</w:t>
      </w:r>
      <w:r w:rsidRPr="00EF7CB3">
        <w:rPr>
          <w:i/>
          <w:lang w:val="pl-PL"/>
        </w:rPr>
        <w:t xml:space="preserve"> Cameroon</w:t>
      </w:r>
      <w:r w:rsidRPr="00EF7CB3">
        <w:rPr>
          <w:lang w:val="pl-PL"/>
        </w:rPr>
        <w:t xml:space="preserve">, </w:t>
      </w:r>
      <w:r>
        <w:rPr>
          <w:lang w:val="pl-PL"/>
        </w:rPr>
        <w:t>ust.</w:t>
      </w:r>
      <w:r w:rsidRPr="00EF7CB3">
        <w:rPr>
          <w:lang w:val="pl-PL"/>
        </w:rPr>
        <w:t xml:space="preserve"> 7.4–7.5. W sytuacji międzynarodowego konfliktu zbrojnego, szczegółowe zasady międzynarodowego prawa humanitarnego w zakresie prowadzenia postępowań wojskowych są również istotne dla interpretacji artykułu 9, </w:t>
      </w:r>
      <w:r>
        <w:rPr>
          <w:lang w:val="pl-PL"/>
        </w:rPr>
        <w:t>ustęp</w:t>
      </w:r>
      <w:r w:rsidRPr="00EF7CB3">
        <w:rPr>
          <w:lang w:val="pl-PL"/>
        </w:rPr>
        <w:t xml:space="preserve"> 3, który nadal ma zastosowanie. Patrz punkt 64 poniżej.</w:t>
      </w:r>
    </w:p>
  </w:footnote>
  <w:footnote w:id="91">
    <w:p w14:paraId="4E065AE4" w14:textId="013D3263"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1787/2008, </w:t>
      </w:r>
      <w:r w:rsidRPr="00EF7CB3">
        <w:rPr>
          <w:i/>
          <w:lang w:val="pl-PL"/>
        </w:rPr>
        <w:t xml:space="preserve">Kovsh </w:t>
      </w:r>
      <w:r w:rsidRPr="00EF7CB3">
        <w:rPr>
          <w:iCs/>
          <w:lang w:val="pl-PL"/>
        </w:rPr>
        <w:t>v.</w:t>
      </w:r>
      <w:r w:rsidRPr="00EF7CB3">
        <w:rPr>
          <w:i/>
          <w:lang w:val="pl-PL"/>
        </w:rPr>
        <w:t xml:space="preserve"> Belarus</w:t>
      </w:r>
      <w:r w:rsidRPr="00EF7CB3">
        <w:rPr>
          <w:lang w:val="pl-PL"/>
        </w:rPr>
        <w:t xml:space="preserve">, </w:t>
      </w:r>
      <w:r>
        <w:rPr>
          <w:lang w:val="pl-PL"/>
        </w:rPr>
        <w:t>ust.</w:t>
      </w:r>
      <w:r w:rsidRPr="00EF7CB3">
        <w:rPr>
          <w:lang w:val="pl-PL"/>
        </w:rPr>
        <w:t> 7.3–7.5.</w:t>
      </w:r>
    </w:p>
  </w:footnote>
  <w:footnote w:id="92">
    <w:p w14:paraId="64D9AC8D" w14:textId="00C63C2B"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1128/2002, </w:t>
      </w:r>
      <w:r w:rsidRPr="00EF7CB3">
        <w:rPr>
          <w:i/>
          <w:lang w:val="pl-PL"/>
        </w:rPr>
        <w:t xml:space="preserve">Marques de Morais </w:t>
      </w:r>
      <w:r w:rsidRPr="00EF7CB3">
        <w:rPr>
          <w:lang w:val="pl-PL"/>
        </w:rPr>
        <w:t>v.</w:t>
      </w:r>
      <w:r w:rsidRPr="00EF7CB3">
        <w:rPr>
          <w:i/>
          <w:lang w:val="pl-PL"/>
        </w:rPr>
        <w:t xml:space="preserve"> Angola</w:t>
      </w:r>
      <w:r w:rsidRPr="00EF7CB3">
        <w:rPr>
          <w:lang w:val="pl-PL"/>
        </w:rPr>
        <w:t xml:space="preserve">, </w:t>
      </w:r>
      <w:r>
        <w:rPr>
          <w:lang w:val="pl-PL"/>
        </w:rPr>
        <w:t>ust.</w:t>
      </w:r>
      <w:r w:rsidRPr="00EF7CB3">
        <w:rPr>
          <w:lang w:val="pl-PL"/>
        </w:rPr>
        <w:t xml:space="preserve"> 6.3–6.4; 1096/2002, </w:t>
      </w:r>
      <w:r w:rsidRPr="00EF7CB3">
        <w:rPr>
          <w:i/>
          <w:lang w:val="pl-PL"/>
        </w:rPr>
        <w:t xml:space="preserve">Kurbanova </w:t>
      </w:r>
      <w:r w:rsidRPr="00EF7CB3">
        <w:rPr>
          <w:lang w:val="pl-PL"/>
        </w:rPr>
        <w:t>v.</w:t>
      </w:r>
      <w:r w:rsidRPr="00EF7CB3">
        <w:rPr>
          <w:i/>
          <w:lang w:val="pl-PL"/>
        </w:rPr>
        <w:t xml:space="preserve"> Tajikistan</w:t>
      </w:r>
      <w:r w:rsidRPr="00EF7CB3">
        <w:rPr>
          <w:lang w:val="pl-PL"/>
        </w:rPr>
        <w:t xml:space="preserve">, </w:t>
      </w:r>
      <w:r>
        <w:rPr>
          <w:lang w:val="pl-PL"/>
        </w:rPr>
        <w:t>ust.</w:t>
      </w:r>
      <w:r w:rsidRPr="00EF7CB3">
        <w:rPr>
          <w:lang w:val="pl-PL"/>
        </w:rPr>
        <w:t> 7.2.</w:t>
      </w:r>
    </w:p>
  </w:footnote>
  <w:footnote w:id="93">
    <w:p w14:paraId="0DBD8141" w14:textId="0329359D"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1914–1916/2009, </w:t>
      </w:r>
      <w:r w:rsidRPr="00EF7CB3">
        <w:rPr>
          <w:i/>
          <w:lang w:val="pl-PL"/>
        </w:rPr>
        <w:t xml:space="preserve">Musaev </w:t>
      </w:r>
      <w:r w:rsidRPr="00EF7CB3">
        <w:rPr>
          <w:lang w:val="pl-PL"/>
        </w:rPr>
        <w:t>v.</w:t>
      </w:r>
      <w:r w:rsidRPr="00EF7CB3">
        <w:rPr>
          <w:i/>
          <w:lang w:val="pl-PL"/>
        </w:rPr>
        <w:t xml:space="preserve"> Uzbekistan</w:t>
      </w:r>
      <w:r w:rsidRPr="00EF7CB3">
        <w:rPr>
          <w:lang w:val="pl-PL"/>
        </w:rPr>
        <w:t xml:space="preserve">, </w:t>
      </w:r>
      <w:r>
        <w:rPr>
          <w:lang w:val="pl-PL"/>
        </w:rPr>
        <w:t>ust.</w:t>
      </w:r>
      <w:r w:rsidRPr="00EF7CB3">
        <w:rPr>
          <w:lang w:val="pl-PL"/>
        </w:rPr>
        <w:t> 9.3.</w:t>
      </w:r>
    </w:p>
  </w:footnote>
  <w:footnote w:id="94">
    <w:p w14:paraId="3A1460E6" w14:textId="549D4215"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635/1995, </w:t>
      </w:r>
      <w:r w:rsidRPr="00EF7CB3">
        <w:rPr>
          <w:i/>
          <w:lang w:val="pl-PL"/>
        </w:rPr>
        <w:t xml:space="preserve">Morrison </w:t>
      </w:r>
      <w:r w:rsidRPr="00EF7CB3">
        <w:rPr>
          <w:lang w:val="pl-PL"/>
        </w:rPr>
        <w:t>v.</w:t>
      </w:r>
      <w:r w:rsidRPr="00EF7CB3">
        <w:rPr>
          <w:i/>
          <w:lang w:val="pl-PL"/>
        </w:rPr>
        <w:t xml:space="preserve"> Jamaica</w:t>
      </w:r>
      <w:r w:rsidRPr="00EF7CB3">
        <w:rPr>
          <w:lang w:val="pl-PL"/>
        </w:rPr>
        <w:t xml:space="preserve">, </w:t>
      </w:r>
      <w:r>
        <w:rPr>
          <w:lang w:val="pl-PL"/>
        </w:rPr>
        <w:t>ust.</w:t>
      </w:r>
      <w:r w:rsidRPr="00EF7CB3">
        <w:rPr>
          <w:lang w:val="pl-PL"/>
        </w:rPr>
        <w:t xml:space="preserve"> 22.2–22.3; 762/1997, </w:t>
      </w:r>
      <w:r w:rsidRPr="00EF7CB3">
        <w:rPr>
          <w:i/>
          <w:lang w:val="pl-PL"/>
        </w:rPr>
        <w:t xml:space="preserve">Jensen </w:t>
      </w:r>
      <w:r w:rsidRPr="00EF7CB3">
        <w:rPr>
          <w:lang w:val="pl-PL"/>
        </w:rPr>
        <w:t>v.</w:t>
      </w:r>
      <w:r w:rsidRPr="00EF7CB3">
        <w:rPr>
          <w:i/>
          <w:lang w:val="pl-PL"/>
        </w:rPr>
        <w:t xml:space="preserve"> </w:t>
      </w:r>
      <w:r>
        <w:rPr>
          <w:i/>
          <w:lang w:val="pl-PL"/>
        </w:rPr>
        <w:t>Australia</w:t>
      </w:r>
      <w:r w:rsidRPr="00EF7CB3">
        <w:rPr>
          <w:lang w:val="pl-PL"/>
        </w:rPr>
        <w:t xml:space="preserve">, </w:t>
      </w:r>
      <w:r>
        <w:rPr>
          <w:lang w:val="pl-PL"/>
        </w:rPr>
        <w:t>ust.</w:t>
      </w:r>
      <w:r w:rsidRPr="00EF7CB3">
        <w:rPr>
          <w:lang w:val="pl-PL"/>
        </w:rPr>
        <w:t> 6.3.</w:t>
      </w:r>
    </w:p>
  </w:footnote>
  <w:footnote w:id="95">
    <w:p w14:paraId="3AD61991" w14:textId="563E648C"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521/1992, </w:t>
      </w:r>
      <w:r w:rsidRPr="00EF7CB3">
        <w:rPr>
          <w:i/>
          <w:lang w:val="pl-PL"/>
        </w:rPr>
        <w:t xml:space="preserve">Kulomin </w:t>
      </w:r>
      <w:r w:rsidRPr="00EF7CB3">
        <w:rPr>
          <w:lang w:val="pl-PL"/>
        </w:rPr>
        <w:t>v.</w:t>
      </w:r>
      <w:r w:rsidRPr="00EF7CB3">
        <w:rPr>
          <w:i/>
          <w:lang w:val="pl-PL"/>
        </w:rPr>
        <w:t xml:space="preserve"> Hungary</w:t>
      </w:r>
      <w:r w:rsidRPr="00EF7CB3">
        <w:rPr>
          <w:lang w:val="pl-PL"/>
        </w:rPr>
        <w:t xml:space="preserve">, </w:t>
      </w:r>
      <w:r>
        <w:rPr>
          <w:lang w:val="pl-PL"/>
        </w:rPr>
        <w:t>ust.</w:t>
      </w:r>
      <w:r w:rsidRPr="00EF7CB3">
        <w:rPr>
          <w:lang w:val="pl-PL"/>
        </w:rPr>
        <w:t> 11.3.</w:t>
      </w:r>
    </w:p>
  </w:footnote>
  <w:footnote w:id="96">
    <w:p w14:paraId="429FAA7D" w14:textId="7FE6A821" w:rsidR="00683B29" w:rsidRPr="00EF7CB3" w:rsidRDefault="00683B29" w:rsidP="00FB461A">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Patrz ibid.; 1547/2007, </w:t>
      </w:r>
      <w:r w:rsidRPr="00EF7CB3">
        <w:rPr>
          <w:i/>
          <w:lang w:val="pl-PL"/>
        </w:rPr>
        <w:t xml:space="preserve">Torobekov </w:t>
      </w:r>
      <w:r w:rsidRPr="00EF7CB3">
        <w:rPr>
          <w:lang w:val="pl-PL"/>
        </w:rPr>
        <w:t>v.</w:t>
      </w:r>
      <w:r w:rsidRPr="00EF7CB3">
        <w:rPr>
          <w:i/>
          <w:lang w:val="pl-PL"/>
        </w:rPr>
        <w:t xml:space="preserve"> Kyrgyzstan</w:t>
      </w:r>
      <w:r w:rsidRPr="00EF7CB3">
        <w:rPr>
          <w:lang w:val="pl-PL"/>
        </w:rPr>
        <w:t xml:space="preserve">, </w:t>
      </w:r>
      <w:r>
        <w:rPr>
          <w:lang w:val="pl-PL"/>
        </w:rPr>
        <w:t>ust.</w:t>
      </w:r>
      <w:r w:rsidRPr="00EF7CB3">
        <w:rPr>
          <w:lang w:val="pl-PL"/>
        </w:rPr>
        <w:t xml:space="preserve"> 6.2; 1278/2004, </w:t>
      </w:r>
      <w:r w:rsidRPr="00EF7CB3">
        <w:rPr>
          <w:i/>
          <w:lang w:val="pl-PL"/>
        </w:rPr>
        <w:t xml:space="preserve">Reshetnikov </w:t>
      </w:r>
      <w:r w:rsidRPr="00EF7CB3">
        <w:rPr>
          <w:lang w:val="pl-PL"/>
        </w:rPr>
        <w:t>v.</w:t>
      </w:r>
      <w:r w:rsidRPr="00EF7CB3">
        <w:rPr>
          <w:i/>
          <w:lang w:val="pl-PL"/>
        </w:rPr>
        <w:t xml:space="preserve"> Russian Federation</w:t>
      </w:r>
      <w:r w:rsidRPr="00EF7CB3">
        <w:rPr>
          <w:lang w:val="pl-PL"/>
        </w:rPr>
        <w:t xml:space="preserve">, </w:t>
      </w:r>
      <w:r>
        <w:rPr>
          <w:lang w:val="pl-PL"/>
        </w:rPr>
        <w:t>ust.</w:t>
      </w:r>
      <w:r w:rsidRPr="00EF7CB3">
        <w:rPr>
          <w:lang w:val="pl-PL"/>
        </w:rPr>
        <w:t xml:space="preserve"> 8.2;  uwagi końcowe: Tadżykistan (CCPR/CO/84/TJK, 2005), </w:t>
      </w:r>
      <w:r>
        <w:rPr>
          <w:lang w:val="pl-PL"/>
        </w:rPr>
        <w:t>ust.</w:t>
      </w:r>
      <w:r w:rsidRPr="00EF7CB3">
        <w:rPr>
          <w:lang w:val="pl-PL"/>
        </w:rPr>
        <w:t> 12.</w:t>
      </w:r>
    </w:p>
  </w:footnote>
  <w:footnote w:id="97">
    <w:p w14:paraId="025C5CF3" w14:textId="79AA6BC1"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702/1996, </w:t>
      </w:r>
      <w:r w:rsidRPr="00EF7CB3">
        <w:rPr>
          <w:i/>
          <w:lang w:val="pl-PL"/>
        </w:rPr>
        <w:t xml:space="preserve">McLawrence </w:t>
      </w:r>
      <w:r w:rsidRPr="00EF7CB3">
        <w:rPr>
          <w:lang w:val="pl-PL"/>
        </w:rPr>
        <w:t>v.</w:t>
      </w:r>
      <w:r w:rsidRPr="00EF7CB3">
        <w:rPr>
          <w:i/>
          <w:lang w:val="pl-PL"/>
        </w:rPr>
        <w:t xml:space="preserve"> Jamaica</w:t>
      </w:r>
      <w:r w:rsidRPr="00EF7CB3">
        <w:rPr>
          <w:lang w:val="pl-PL"/>
        </w:rPr>
        <w:t xml:space="preserve">, </w:t>
      </w:r>
      <w:r>
        <w:rPr>
          <w:lang w:val="pl-PL"/>
        </w:rPr>
        <w:t>ust.</w:t>
      </w:r>
      <w:r w:rsidRPr="00EF7CB3">
        <w:rPr>
          <w:lang w:val="pl-PL"/>
        </w:rPr>
        <w:t xml:space="preserve"> 5.6; 2120/2011, </w:t>
      </w:r>
      <w:r w:rsidRPr="00EF7CB3">
        <w:rPr>
          <w:i/>
          <w:iCs/>
          <w:lang w:val="pl-PL"/>
        </w:rPr>
        <w:t xml:space="preserve">Kovalev </w:t>
      </w:r>
      <w:r w:rsidRPr="00EF7CB3">
        <w:rPr>
          <w:lang w:val="pl-PL"/>
        </w:rPr>
        <w:t xml:space="preserve">v. </w:t>
      </w:r>
      <w:r w:rsidRPr="00EF7CB3">
        <w:rPr>
          <w:i/>
          <w:iCs/>
          <w:lang w:val="pl-PL"/>
        </w:rPr>
        <w:t>Belarus</w:t>
      </w:r>
      <w:r w:rsidRPr="00EF7CB3">
        <w:rPr>
          <w:lang w:val="pl-PL"/>
        </w:rPr>
        <w:t xml:space="preserve">, </w:t>
      </w:r>
      <w:r>
        <w:rPr>
          <w:lang w:val="pl-PL"/>
        </w:rPr>
        <w:t>ust.</w:t>
      </w:r>
      <w:r w:rsidRPr="00EF7CB3">
        <w:rPr>
          <w:lang w:val="pl-PL"/>
        </w:rPr>
        <w:t> 11.3.</w:t>
      </w:r>
    </w:p>
  </w:footnote>
  <w:footnote w:id="98">
    <w:p w14:paraId="2C667A18" w14:textId="5658F986"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1128/2002, </w:t>
      </w:r>
      <w:r w:rsidRPr="00EF7CB3">
        <w:rPr>
          <w:i/>
          <w:lang w:val="pl-PL"/>
        </w:rPr>
        <w:t xml:space="preserve">Marques de Morais </w:t>
      </w:r>
      <w:r w:rsidRPr="00EF7CB3">
        <w:rPr>
          <w:lang w:val="pl-PL"/>
        </w:rPr>
        <w:t>v.</w:t>
      </w:r>
      <w:r w:rsidRPr="00EF7CB3">
        <w:rPr>
          <w:i/>
          <w:lang w:val="pl-PL"/>
        </w:rPr>
        <w:t xml:space="preserve"> Angola</w:t>
      </w:r>
      <w:r w:rsidRPr="00EF7CB3">
        <w:rPr>
          <w:lang w:val="pl-PL"/>
        </w:rPr>
        <w:t xml:space="preserve">, </w:t>
      </w:r>
      <w:r>
        <w:rPr>
          <w:lang w:val="pl-PL"/>
        </w:rPr>
        <w:t>ust.</w:t>
      </w:r>
      <w:r w:rsidRPr="00EF7CB3">
        <w:rPr>
          <w:lang w:val="pl-PL"/>
        </w:rPr>
        <w:t xml:space="preserve"> 6.3; 277/1988, </w:t>
      </w:r>
      <w:r w:rsidRPr="00EF7CB3">
        <w:rPr>
          <w:i/>
          <w:lang w:val="pl-PL"/>
        </w:rPr>
        <w:t xml:space="preserve">Terán Jijón </w:t>
      </w:r>
      <w:r w:rsidRPr="00EF7CB3">
        <w:rPr>
          <w:lang w:val="pl-PL"/>
        </w:rPr>
        <w:t>v.</w:t>
      </w:r>
      <w:r w:rsidRPr="00EF7CB3">
        <w:rPr>
          <w:i/>
          <w:lang w:val="pl-PL"/>
        </w:rPr>
        <w:t xml:space="preserve"> Ecuador</w:t>
      </w:r>
      <w:r w:rsidRPr="00EF7CB3">
        <w:rPr>
          <w:lang w:val="pl-PL"/>
        </w:rPr>
        <w:t xml:space="preserve">, </w:t>
      </w:r>
      <w:r>
        <w:rPr>
          <w:lang w:val="pl-PL"/>
        </w:rPr>
        <w:t>ust.</w:t>
      </w:r>
      <w:r w:rsidRPr="00EF7CB3">
        <w:rPr>
          <w:lang w:val="pl-PL"/>
        </w:rPr>
        <w:t xml:space="preserve"> 5.3 (pięć dni zwłoki); 625/1995, </w:t>
      </w:r>
      <w:r w:rsidRPr="00EF7CB3">
        <w:rPr>
          <w:i/>
          <w:lang w:val="pl-PL"/>
        </w:rPr>
        <w:t>Freemantle v. Jamaica</w:t>
      </w:r>
      <w:r w:rsidRPr="00EF7CB3">
        <w:rPr>
          <w:lang w:val="pl-PL"/>
        </w:rPr>
        <w:t xml:space="preserve">, </w:t>
      </w:r>
      <w:r>
        <w:rPr>
          <w:lang w:val="pl-PL"/>
        </w:rPr>
        <w:t>ust.</w:t>
      </w:r>
      <w:r w:rsidRPr="00EF7CB3">
        <w:rPr>
          <w:lang w:val="pl-PL"/>
        </w:rPr>
        <w:t> 7.4 (cztery dni zwłoki).</w:t>
      </w:r>
    </w:p>
  </w:footnote>
  <w:footnote w:id="99">
    <w:p w14:paraId="7266BDD0" w14:textId="1E913AAB"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1787/2008, </w:t>
      </w:r>
      <w:r w:rsidRPr="00EF7CB3">
        <w:rPr>
          <w:i/>
          <w:iCs/>
          <w:lang w:val="pl-PL"/>
        </w:rPr>
        <w:t xml:space="preserve">Kovsh </w:t>
      </w:r>
      <w:r w:rsidRPr="00EF7CB3">
        <w:rPr>
          <w:lang w:val="pl-PL"/>
        </w:rPr>
        <w:t>v.</w:t>
      </w:r>
      <w:r w:rsidRPr="00EF7CB3">
        <w:rPr>
          <w:i/>
          <w:iCs/>
          <w:lang w:val="pl-PL"/>
        </w:rPr>
        <w:t xml:space="preserve"> Belarus</w:t>
      </w:r>
      <w:r w:rsidRPr="00EF7CB3">
        <w:rPr>
          <w:lang w:val="pl-PL"/>
        </w:rPr>
        <w:t xml:space="preserve">, </w:t>
      </w:r>
      <w:r>
        <w:rPr>
          <w:lang w:val="pl-PL"/>
        </w:rPr>
        <w:t>ust.</w:t>
      </w:r>
      <w:r w:rsidRPr="00EF7CB3">
        <w:rPr>
          <w:lang w:val="pl-PL"/>
        </w:rPr>
        <w:t> 7.3–7.5.</w:t>
      </w:r>
    </w:p>
  </w:footnote>
  <w:footnote w:id="100">
    <w:p w14:paraId="6A8CD643" w14:textId="28E3B19B"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Ibid.; patrz również 336/1988, </w:t>
      </w:r>
      <w:r w:rsidRPr="00EF7CB3">
        <w:rPr>
          <w:i/>
          <w:lang w:val="pl-PL"/>
        </w:rPr>
        <w:t xml:space="preserve">Fillastre and Bizouarn </w:t>
      </w:r>
      <w:r w:rsidRPr="00EF7CB3">
        <w:rPr>
          <w:lang w:val="pl-PL"/>
        </w:rPr>
        <w:t xml:space="preserve">v. </w:t>
      </w:r>
      <w:r w:rsidRPr="00EF7CB3">
        <w:rPr>
          <w:i/>
          <w:lang w:val="pl-PL"/>
        </w:rPr>
        <w:t>Bolivia</w:t>
      </w:r>
      <w:r w:rsidRPr="00EF7CB3">
        <w:rPr>
          <w:lang w:val="pl-PL"/>
        </w:rPr>
        <w:t xml:space="preserve">, </w:t>
      </w:r>
      <w:r>
        <w:rPr>
          <w:lang w:val="pl-PL"/>
        </w:rPr>
        <w:t>ust.</w:t>
      </w:r>
      <w:r w:rsidRPr="00EF7CB3">
        <w:rPr>
          <w:lang w:val="pl-PL"/>
        </w:rPr>
        <w:t> 6.4 (ograniczenia budżetowe nie uzasadniają dziesięciodniowego opóźnienia).</w:t>
      </w:r>
    </w:p>
  </w:footnote>
  <w:footnote w:id="101">
    <w:p w14:paraId="3804B25D" w14:textId="12E3FFA6" w:rsidR="00683B29" w:rsidRPr="00EF7CB3" w:rsidRDefault="00683B29" w:rsidP="004E4928">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Patrz uwagi końcowe: Węgry (CCPR/CO/74/HUN, 2002), </w:t>
      </w:r>
      <w:r>
        <w:rPr>
          <w:lang w:val="pl-PL"/>
        </w:rPr>
        <w:t>ust.</w:t>
      </w:r>
      <w:r w:rsidRPr="00EF7CB3">
        <w:rPr>
          <w:lang w:val="pl-PL"/>
        </w:rPr>
        <w:t> 8.</w:t>
      </w:r>
    </w:p>
  </w:footnote>
  <w:footnote w:id="102">
    <w:p w14:paraId="273B7473" w14:textId="51F70061" w:rsidR="00683B29" w:rsidRPr="00EF7CB3" w:rsidRDefault="00683B29" w:rsidP="00FB461A">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Komitet Praw Dziecka, </w:t>
      </w:r>
      <w:r>
        <w:rPr>
          <w:lang w:val="pl-PL"/>
        </w:rPr>
        <w:t xml:space="preserve">Uwaga ogólna nr </w:t>
      </w:r>
      <w:r w:rsidRPr="00EF7CB3">
        <w:rPr>
          <w:lang w:val="pl-PL"/>
        </w:rPr>
        <w:t xml:space="preserve"> 10, </w:t>
      </w:r>
      <w:r>
        <w:rPr>
          <w:lang w:val="pl-PL"/>
        </w:rPr>
        <w:t>ust.</w:t>
      </w:r>
      <w:r w:rsidRPr="00EF7CB3">
        <w:rPr>
          <w:lang w:val="pl-PL"/>
        </w:rPr>
        <w:t xml:space="preserve"> 83</w:t>
      </w:r>
    </w:p>
  </w:footnote>
  <w:footnote w:id="103">
    <w:p w14:paraId="2EEF3160" w14:textId="2E96FE9C"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289/1988, </w:t>
      </w:r>
      <w:r w:rsidRPr="00EF7CB3">
        <w:rPr>
          <w:i/>
          <w:lang w:val="pl-PL"/>
        </w:rPr>
        <w:t xml:space="preserve">Wolf </w:t>
      </w:r>
      <w:r w:rsidRPr="00EF7CB3">
        <w:rPr>
          <w:lang w:val="pl-PL"/>
        </w:rPr>
        <w:t>v.</w:t>
      </w:r>
      <w:r w:rsidRPr="00EF7CB3">
        <w:rPr>
          <w:i/>
          <w:lang w:val="pl-PL"/>
        </w:rPr>
        <w:t xml:space="preserve"> Panama</w:t>
      </w:r>
      <w:r w:rsidRPr="00EF7CB3">
        <w:rPr>
          <w:lang w:val="pl-PL"/>
        </w:rPr>
        <w:t xml:space="preserve">, </w:t>
      </w:r>
      <w:r>
        <w:rPr>
          <w:lang w:val="pl-PL"/>
        </w:rPr>
        <w:t>ust.</w:t>
      </w:r>
      <w:r w:rsidRPr="00EF7CB3">
        <w:rPr>
          <w:lang w:val="pl-PL"/>
        </w:rPr>
        <w:t xml:space="preserve"> 6.2; 613/1995, </w:t>
      </w:r>
      <w:r w:rsidRPr="00EF7CB3">
        <w:rPr>
          <w:i/>
          <w:lang w:val="pl-PL"/>
        </w:rPr>
        <w:t>Leehong v. Jamaica</w:t>
      </w:r>
      <w:r w:rsidRPr="00EF7CB3">
        <w:rPr>
          <w:lang w:val="pl-PL"/>
        </w:rPr>
        <w:t xml:space="preserve">, </w:t>
      </w:r>
      <w:r>
        <w:rPr>
          <w:lang w:val="pl-PL"/>
        </w:rPr>
        <w:t>ust.</w:t>
      </w:r>
      <w:r w:rsidRPr="00EF7CB3">
        <w:rPr>
          <w:lang w:val="pl-PL"/>
        </w:rPr>
        <w:t xml:space="preserve"> 9.5. Odnośnie wyrażenia "inna osoba </w:t>
      </w:r>
      <w:r>
        <w:rPr>
          <w:lang w:val="pl-PL"/>
        </w:rPr>
        <w:t>ust</w:t>
      </w:r>
      <w:r w:rsidRPr="00EF7CB3">
        <w:rPr>
          <w:lang w:val="pl-PL"/>
        </w:rPr>
        <w:t xml:space="preserve">awowo uprawniona do stosowania władzy sądowej," patrz punkt 32 poniżej. </w:t>
      </w:r>
    </w:p>
  </w:footnote>
  <w:footnote w:id="104">
    <w:p w14:paraId="2946024C" w14:textId="77777777" w:rsidR="00683B29" w:rsidRPr="00EF7CB3" w:rsidRDefault="00683B29" w:rsidP="004E4928">
      <w:pPr>
        <w:pStyle w:val="Tekstprzypisudolnego"/>
        <w:rPr>
          <w:lang w:val="pl-PL"/>
        </w:rPr>
      </w:pPr>
      <w:r w:rsidRPr="00EF7CB3">
        <w:rPr>
          <w:lang w:val="pl-PL"/>
        </w:rPr>
        <w:tab/>
      </w:r>
      <w:r w:rsidRPr="00EF7CB3">
        <w:rPr>
          <w:rStyle w:val="Odwoanieprzypisudolnego"/>
          <w:lang w:val="pl-PL"/>
        </w:rPr>
        <w:footnoteRef/>
      </w:r>
      <w:r w:rsidRPr="00EF7CB3">
        <w:rPr>
          <w:lang w:val="pl-PL"/>
        </w:rPr>
        <w:tab/>
        <w:t>Patrz Zasady ONZ dot. ochrony osób więzionych lub zatrzymanych, przyjęte przez Zgromadzenie Ogólne w rezolucji 43/173, zasada 37.</w:t>
      </w:r>
    </w:p>
  </w:footnote>
  <w:footnote w:id="105">
    <w:p w14:paraId="7DD2EFF4" w14:textId="14918466"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Patrz uwagi końcowe: Kenia (CCPR/C/KEN/CO/3, 2012), </w:t>
      </w:r>
      <w:r>
        <w:rPr>
          <w:lang w:val="pl-PL"/>
        </w:rPr>
        <w:t>ust.</w:t>
      </w:r>
      <w:r w:rsidRPr="00EF7CB3">
        <w:rPr>
          <w:lang w:val="pl-PL"/>
        </w:rPr>
        <w:t xml:space="preserve"> 19; patrz też art. 14, </w:t>
      </w:r>
      <w:r>
        <w:rPr>
          <w:lang w:val="pl-PL"/>
        </w:rPr>
        <w:t>ust.</w:t>
      </w:r>
      <w:r w:rsidRPr="00EF7CB3">
        <w:rPr>
          <w:lang w:val="pl-PL"/>
        </w:rPr>
        <w:t> 3 (d); Zasady (przypis 102 powyżej), zasada 11.</w:t>
      </w:r>
    </w:p>
  </w:footnote>
  <w:footnote w:id="106">
    <w:p w14:paraId="204C5562" w14:textId="2C7102B1"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1297/2004, </w:t>
      </w:r>
      <w:r w:rsidRPr="00EF7CB3">
        <w:rPr>
          <w:i/>
          <w:lang w:val="pl-PL"/>
        </w:rPr>
        <w:t xml:space="preserve">Medjnoune </w:t>
      </w:r>
      <w:r w:rsidRPr="00EF7CB3">
        <w:rPr>
          <w:lang w:val="pl-PL"/>
        </w:rPr>
        <w:t xml:space="preserve">v. </w:t>
      </w:r>
      <w:r w:rsidRPr="00EF7CB3">
        <w:rPr>
          <w:i/>
          <w:lang w:val="pl-PL"/>
        </w:rPr>
        <w:t>Algeria</w:t>
      </w:r>
      <w:r w:rsidRPr="00EF7CB3">
        <w:rPr>
          <w:lang w:val="pl-PL"/>
        </w:rPr>
        <w:t xml:space="preserve">, </w:t>
      </w:r>
      <w:r>
        <w:rPr>
          <w:lang w:val="pl-PL"/>
        </w:rPr>
        <w:t>ust.</w:t>
      </w:r>
      <w:r w:rsidRPr="00EF7CB3">
        <w:rPr>
          <w:lang w:val="pl-PL"/>
        </w:rPr>
        <w:t> 8.7.</w:t>
      </w:r>
    </w:p>
  </w:footnote>
  <w:footnote w:id="107">
    <w:p w14:paraId="2B746040" w14:textId="5AD14BA1"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1781/2008, </w:t>
      </w:r>
      <w:r w:rsidRPr="00EF7CB3">
        <w:rPr>
          <w:i/>
          <w:lang w:val="pl-PL"/>
        </w:rPr>
        <w:t xml:space="preserve">Berzig </w:t>
      </w:r>
      <w:r w:rsidRPr="00EF7CB3">
        <w:rPr>
          <w:lang w:val="pl-PL"/>
        </w:rPr>
        <w:t>v.</w:t>
      </w:r>
      <w:r w:rsidRPr="00EF7CB3">
        <w:rPr>
          <w:i/>
          <w:lang w:val="pl-PL"/>
        </w:rPr>
        <w:t xml:space="preserve"> Algeria</w:t>
      </w:r>
      <w:r w:rsidRPr="00EF7CB3">
        <w:rPr>
          <w:lang w:val="pl-PL"/>
        </w:rPr>
        <w:t xml:space="preserve">, </w:t>
      </w:r>
      <w:r>
        <w:rPr>
          <w:lang w:val="pl-PL"/>
        </w:rPr>
        <w:t>ust.</w:t>
      </w:r>
      <w:r w:rsidRPr="00EF7CB3">
        <w:rPr>
          <w:lang w:val="pl-PL"/>
        </w:rPr>
        <w:t xml:space="preserve"> 8.4, 8.5 oraz 8.8; 176/1984, </w:t>
      </w:r>
      <w:r w:rsidRPr="00EF7CB3">
        <w:rPr>
          <w:i/>
          <w:lang w:val="pl-PL"/>
        </w:rPr>
        <w:t xml:space="preserve">Lafuente Peñarrieta </w:t>
      </w:r>
      <w:r w:rsidRPr="00EF7CB3">
        <w:rPr>
          <w:lang w:val="pl-PL"/>
        </w:rPr>
        <w:t>v.</w:t>
      </w:r>
      <w:r w:rsidRPr="00EF7CB3">
        <w:rPr>
          <w:i/>
          <w:lang w:val="pl-PL"/>
        </w:rPr>
        <w:t xml:space="preserve"> Bolivia</w:t>
      </w:r>
      <w:r w:rsidRPr="00EF7CB3">
        <w:rPr>
          <w:lang w:val="pl-PL"/>
        </w:rPr>
        <w:t xml:space="preserve">, </w:t>
      </w:r>
      <w:r>
        <w:rPr>
          <w:lang w:val="pl-PL"/>
        </w:rPr>
        <w:t>ust.</w:t>
      </w:r>
      <w:r w:rsidRPr="00EF7CB3">
        <w:rPr>
          <w:lang w:val="pl-PL"/>
        </w:rPr>
        <w:t> 16.</w:t>
      </w:r>
    </w:p>
  </w:footnote>
  <w:footnote w:id="108">
    <w:p w14:paraId="2A9D5450" w14:textId="3DCE6378"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r>
      <w:r>
        <w:rPr>
          <w:lang w:val="pl-PL"/>
        </w:rPr>
        <w:t xml:space="preserve">Uwaga ogólna nr </w:t>
      </w:r>
      <w:r w:rsidRPr="00EF7CB3">
        <w:rPr>
          <w:lang w:val="pl-PL"/>
        </w:rPr>
        <w:t xml:space="preserve">. 32, </w:t>
      </w:r>
      <w:r>
        <w:rPr>
          <w:lang w:val="pl-PL"/>
        </w:rPr>
        <w:t>ust.</w:t>
      </w:r>
      <w:r w:rsidRPr="00EF7CB3">
        <w:rPr>
          <w:lang w:val="pl-PL"/>
        </w:rPr>
        <w:t xml:space="preserve"> 32, 34 and 38; uwagi końcowe: Togo (CCPR/C/TGO/CO/4, 2011), </w:t>
      </w:r>
      <w:r>
        <w:rPr>
          <w:lang w:val="pl-PL"/>
        </w:rPr>
        <w:t>ust.</w:t>
      </w:r>
      <w:r w:rsidRPr="00EF7CB3">
        <w:rPr>
          <w:lang w:val="pl-PL"/>
        </w:rPr>
        <w:t> 19; punkt 58 poniżej.</w:t>
      </w:r>
    </w:p>
  </w:footnote>
  <w:footnote w:id="109">
    <w:p w14:paraId="70B84B77" w14:textId="7079F54C"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Patrz uwagi końcowe: Tadżykistan (CCPR/CO/84/TJK, 2005), </w:t>
      </w:r>
      <w:r>
        <w:rPr>
          <w:lang w:val="pl-PL"/>
        </w:rPr>
        <w:t>ust.</w:t>
      </w:r>
      <w:r w:rsidRPr="00EF7CB3">
        <w:rPr>
          <w:lang w:val="pl-PL"/>
        </w:rPr>
        <w:t xml:space="preserve"> 12; 647/1995, </w:t>
      </w:r>
      <w:r w:rsidRPr="00EF7CB3">
        <w:rPr>
          <w:i/>
          <w:lang w:val="pl-PL"/>
        </w:rPr>
        <w:t xml:space="preserve">Pennant </w:t>
      </w:r>
      <w:r w:rsidRPr="00EF7CB3">
        <w:rPr>
          <w:lang w:val="pl-PL"/>
        </w:rPr>
        <w:t>v.</w:t>
      </w:r>
      <w:r w:rsidRPr="00EF7CB3">
        <w:rPr>
          <w:i/>
          <w:lang w:val="pl-PL"/>
        </w:rPr>
        <w:t xml:space="preserve"> Jamaica</w:t>
      </w:r>
      <w:r w:rsidRPr="00EF7CB3">
        <w:rPr>
          <w:lang w:val="pl-PL"/>
        </w:rPr>
        <w:t xml:space="preserve">, </w:t>
      </w:r>
      <w:r>
        <w:rPr>
          <w:lang w:val="pl-PL"/>
        </w:rPr>
        <w:t>ust.</w:t>
      </w:r>
      <w:r w:rsidRPr="00EF7CB3">
        <w:rPr>
          <w:lang w:val="pl-PL"/>
        </w:rPr>
        <w:t> 8.2.</w:t>
      </w:r>
    </w:p>
  </w:footnote>
  <w:footnote w:id="110">
    <w:p w14:paraId="6933FC3B" w14:textId="4A51242C"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1397/2005, </w:t>
      </w:r>
      <w:r w:rsidRPr="00EF7CB3">
        <w:rPr>
          <w:i/>
          <w:lang w:val="pl-PL"/>
        </w:rPr>
        <w:t xml:space="preserve">Engo </w:t>
      </w:r>
      <w:r w:rsidRPr="00EF7CB3">
        <w:rPr>
          <w:lang w:val="pl-PL"/>
        </w:rPr>
        <w:t>v.</w:t>
      </w:r>
      <w:r w:rsidRPr="00EF7CB3">
        <w:rPr>
          <w:i/>
          <w:lang w:val="pl-PL"/>
        </w:rPr>
        <w:t xml:space="preserve"> Cameroon</w:t>
      </w:r>
      <w:r w:rsidRPr="00EF7CB3">
        <w:rPr>
          <w:lang w:val="pl-PL"/>
        </w:rPr>
        <w:t xml:space="preserve">, </w:t>
      </w:r>
      <w:r>
        <w:rPr>
          <w:lang w:val="pl-PL"/>
        </w:rPr>
        <w:t>ust.</w:t>
      </w:r>
      <w:r w:rsidRPr="00EF7CB3">
        <w:rPr>
          <w:lang w:val="pl-PL"/>
        </w:rPr>
        <w:t xml:space="preserve"> 7.2. Odnośnie związku między art. 9, </w:t>
      </w:r>
      <w:r>
        <w:rPr>
          <w:lang w:val="pl-PL"/>
        </w:rPr>
        <w:t>ustęp</w:t>
      </w:r>
      <w:r w:rsidRPr="00EF7CB3">
        <w:rPr>
          <w:lang w:val="pl-PL"/>
        </w:rPr>
        <w:t xml:space="preserve"> 3 i artykułem 14, </w:t>
      </w:r>
      <w:r>
        <w:rPr>
          <w:lang w:val="pl-PL"/>
        </w:rPr>
        <w:t>ustęp</w:t>
      </w:r>
      <w:r w:rsidRPr="00EF7CB3">
        <w:rPr>
          <w:lang w:val="pl-PL"/>
        </w:rPr>
        <w:t xml:space="preserve"> 3 (c) w tym zakresie, patrz </w:t>
      </w:r>
      <w:r>
        <w:rPr>
          <w:lang w:val="pl-PL"/>
        </w:rPr>
        <w:t xml:space="preserve">Uwaga ogólna nr </w:t>
      </w:r>
      <w:r w:rsidRPr="00EF7CB3">
        <w:rPr>
          <w:lang w:val="pl-PL"/>
        </w:rPr>
        <w:t xml:space="preserve"> 32, pkt 61.</w:t>
      </w:r>
    </w:p>
  </w:footnote>
  <w:footnote w:id="111">
    <w:p w14:paraId="0A6041C6" w14:textId="2D47071C"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788/1997, </w:t>
      </w:r>
      <w:r w:rsidRPr="00EF7CB3">
        <w:rPr>
          <w:i/>
          <w:lang w:val="pl-PL"/>
        </w:rPr>
        <w:t xml:space="preserve">Cagas </w:t>
      </w:r>
      <w:r w:rsidRPr="00EF7CB3">
        <w:rPr>
          <w:lang w:val="pl-PL"/>
        </w:rPr>
        <w:t>v.</w:t>
      </w:r>
      <w:r w:rsidRPr="00EF7CB3">
        <w:rPr>
          <w:i/>
          <w:lang w:val="pl-PL"/>
        </w:rPr>
        <w:t xml:space="preserve"> Philippines</w:t>
      </w:r>
      <w:r w:rsidRPr="00EF7CB3">
        <w:rPr>
          <w:lang w:val="pl-PL"/>
        </w:rPr>
        <w:t xml:space="preserve">, </w:t>
      </w:r>
      <w:r>
        <w:rPr>
          <w:lang w:val="pl-PL"/>
        </w:rPr>
        <w:t>ust.</w:t>
      </w:r>
      <w:r w:rsidRPr="00EF7CB3">
        <w:rPr>
          <w:lang w:val="pl-PL"/>
        </w:rPr>
        <w:t> 7.3.</w:t>
      </w:r>
    </w:p>
  </w:footnote>
  <w:footnote w:id="112">
    <w:p w14:paraId="29C7F058" w14:textId="6FD61222"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r>
      <w:r>
        <w:rPr>
          <w:lang w:val="pl-PL"/>
        </w:rPr>
        <w:t xml:space="preserve">Uwaga ogólna nr </w:t>
      </w:r>
      <w:r w:rsidRPr="00EF7CB3">
        <w:rPr>
          <w:lang w:val="pl-PL"/>
        </w:rPr>
        <w:t xml:space="preserve"> 32, </w:t>
      </w:r>
      <w:r>
        <w:rPr>
          <w:lang w:val="pl-PL"/>
        </w:rPr>
        <w:t>ust.</w:t>
      </w:r>
      <w:r w:rsidRPr="00EF7CB3">
        <w:rPr>
          <w:lang w:val="pl-PL"/>
        </w:rPr>
        <w:t xml:space="preserve"> 35; 818/1998, </w:t>
      </w:r>
      <w:r w:rsidRPr="00EF7CB3">
        <w:rPr>
          <w:i/>
          <w:lang w:val="pl-PL"/>
        </w:rPr>
        <w:t xml:space="preserve">Sextus </w:t>
      </w:r>
      <w:r w:rsidRPr="00EF7CB3">
        <w:rPr>
          <w:lang w:val="pl-PL"/>
        </w:rPr>
        <w:t>v.</w:t>
      </w:r>
      <w:r w:rsidRPr="00EF7CB3">
        <w:rPr>
          <w:i/>
          <w:lang w:val="pl-PL"/>
        </w:rPr>
        <w:t xml:space="preserve"> Trinidad and Tobago</w:t>
      </w:r>
      <w:r w:rsidRPr="00EF7CB3">
        <w:rPr>
          <w:lang w:val="pl-PL"/>
        </w:rPr>
        <w:t xml:space="preserve">, </w:t>
      </w:r>
      <w:r>
        <w:rPr>
          <w:lang w:val="pl-PL"/>
        </w:rPr>
        <w:t>ust.</w:t>
      </w:r>
      <w:r w:rsidRPr="00EF7CB3">
        <w:rPr>
          <w:lang w:val="pl-PL"/>
        </w:rPr>
        <w:t> 7.2.</w:t>
      </w:r>
    </w:p>
  </w:footnote>
  <w:footnote w:id="113">
    <w:p w14:paraId="765C2846" w14:textId="685DF66F" w:rsidR="00683B29" w:rsidRPr="00EF7CB3" w:rsidRDefault="00683B29" w:rsidP="00556310">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1085/2002, </w:t>
      </w:r>
      <w:r w:rsidRPr="00EF7CB3">
        <w:rPr>
          <w:i/>
          <w:lang w:val="pl-PL"/>
        </w:rPr>
        <w:t xml:space="preserve">Taright </w:t>
      </w:r>
      <w:r w:rsidRPr="00EF7CB3">
        <w:rPr>
          <w:lang w:val="pl-PL"/>
        </w:rPr>
        <w:t>v.</w:t>
      </w:r>
      <w:r w:rsidRPr="00EF7CB3">
        <w:rPr>
          <w:i/>
          <w:lang w:val="pl-PL"/>
        </w:rPr>
        <w:t xml:space="preserve"> Algeria</w:t>
      </w:r>
      <w:r w:rsidRPr="00EF7CB3">
        <w:rPr>
          <w:lang w:val="pl-PL"/>
        </w:rPr>
        <w:t xml:space="preserve">, </w:t>
      </w:r>
      <w:r>
        <w:rPr>
          <w:lang w:val="pl-PL"/>
        </w:rPr>
        <w:t>ust.</w:t>
      </w:r>
      <w:r w:rsidRPr="00EF7CB3">
        <w:rPr>
          <w:lang w:val="pl-PL"/>
        </w:rPr>
        <w:t xml:space="preserve"> 8.2–8.4; 386/1989, </w:t>
      </w:r>
      <w:r w:rsidRPr="00EF7CB3">
        <w:rPr>
          <w:i/>
          <w:lang w:val="pl-PL"/>
        </w:rPr>
        <w:t xml:space="preserve">Koné </w:t>
      </w:r>
      <w:r w:rsidRPr="00EF7CB3">
        <w:rPr>
          <w:iCs/>
          <w:lang w:val="pl-PL"/>
        </w:rPr>
        <w:t>v.</w:t>
      </w:r>
      <w:r w:rsidRPr="00EF7CB3">
        <w:rPr>
          <w:i/>
          <w:lang w:val="pl-PL"/>
        </w:rPr>
        <w:t xml:space="preserve"> Senegal</w:t>
      </w:r>
      <w:r w:rsidRPr="00EF7CB3">
        <w:rPr>
          <w:lang w:val="pl-PL"/>
        </w:rPr>
        <w:t xml:space="preserve">, </w:t>
      </w:r>
      <w:r>
        <w:rPr>
          <w:lang w:val="pl-PL"/>
        </w:rPr>
        <w:t>ust.</w:t>
      </w:r>
      <w:r w:rsidRPr="00EF7CB3">
        <w:rPr>
          <w:lang w:val="pl-PL"/>
        </w:rPr>
        <w:t xml:space="preserve"> 8.6; patrz też 677/1996, </w:t>
      </w:r>
      <w:r w:rsidRPr="00EF7CB3">
        <w:rPr>
          <w:i/>
          <w:lang w:val="pl-PL"/>
        </w:rPr>
        <w:t xml:space="preserve">Teesdale </w:t>
      </w:r>
      <w:r w:rsidRPr="00EF7CB3">
        <w:rPr>
          <w:lang w:val="pl-PL"/>
        </w:rPr>
        <w:t>v.</w:t>
      </w:r>
      <w:r w:rsidRPr="00EF7CB3">
        <w:rPr>
          <w:i/>
          <w:lang w:val="pl-PL"/>
        </w:rPr>
        <w:t xml:space="preserve"> Trinidad and Tobago</w:t>
      </w:r>
      <w:r w:rsidRPr="00EF7CB3">
        <w:rPr>
          <w:lang w:val="pl-PL"/>
        </w:rPr>
        <w:t xml:space="preserve">, </w:t>
      </w:r>
      <w:r>
        <w:rPr>
          <w:lang w:val="pl-PL"/>
        </w:rPr>
        <w:t>ust.</w:t>
      </w:r>
      <w:r w:rsidRPr="00EF7CB3">
        <w:rPr>
          <w:lang w:val="pl-PL"/>
        </w:rPr>
        <w:t xml:space="preserve"> 9.3 (opóźnienie długości 17 miesięcy naruszyło </w:t>
      </w:r>
      <w:r>
        <w:rPr>
          <w:lang w:val="pl-PL"/>
        </w:rPr>
        <w:t>ust.</w:t>
      </w:r>
      <w:r w:rsidRPr="00EF7CB3">
        <w:rPr>
          <w:lang w:val="pl-PL"/>
        </w:rPr>
        <w:t xml:space="preserve"> 3); 614/1995, </w:t>
      </w:r>
      <w:r w:rsidRPr="00EF7CB3">
        <w:rPr>
          <w:i/>
          <w:lang w:val="pl-PL"/>
        </w:rPr>
        <w:t xml:space="preserve">Thomas </w:t>
      </w:r>
      <w:r w:rsidRPr="00EF7CB3">
        <w:rPr>
          <w:lang w:val="pl-PL"/>
        </w:rPr>
        <w:t>v.</w:t>
      </w:r>
      <w:r w:rsidRPr="00EF7CB3">
        <w:rPr>
          <w:i/>
          <w:lang w:val="pl-PL"/>
        </w:rPr>
        <w:t xml:space="preserve"> Jamaica</w:t>
      </w:r>
      <w:r w:rsidRPr="00EF7CB3">
        <w:rPr>
          <w:lang w:val="pl-PL"/>
        </w:rPr>
        <w:t xml:space="preserve">, </w:t>
      </w:r>
      <w:r>
        <w:rPr>
          <w:lang w:val="pl-PL"/>
        </w:rPr>
        <w:t>ust.</w:t>
      </w:r>
      <w:r w:rsidRPr="00EF7CB3">
        <w:rPr>
          <w:lang w:val="pl-PL"/>
        </w:rPr>
        <w:t xml:space="preserve"> 9.6 (opóźnienie długości niemal 14 miesięcy nie naruszyło </w:t>
      </w:r>
      <w:r>
        <w:rPr>
          <w:lang w:val="pl-PL"/>
        </w:rPr>
        <w:t>ust.</w:t>
      </w:r>
      <w:r w:rsidRPr="00EF7CB3">
        <w:rPr>
          <w:lang w:val="pl-PL"/>
        </w:rPr>
        <w:t xml:space="preserve"> 3); </w:t>
      </w:r>
      <w:r>
        <w:rPr>
          <w:lang w:val="pl-PL"/>
        </w:rPr>
        <w:t xml:space="preserve">Uwaga ogólna nr </w:t>
      </w:r>
      <w:r w:rsidRPr="00EF7CB3">
        <w:rPr>
          <w:lang w:val="pl-PL"/>
        </w:rPr>
        <w:t xml:space="preserve"> 32, </w:t>
      </w:r>
      <w:r>
        <w:rPr>
          <w:lang w:val="pl-PL"/>
        </w:rPr>
        <w:t>ust.</w:t>
      </w:r>
      <w:r w:rsidRPr="00EF7CB3">
        <w:rPr>
          <w:lang w:val="pl-PL"/>
        </w:rPr>
        <w:t> 35 (omówienie czynników dotyczących zasadności zwłoki w postępowaniu karnym).</w:t>
      </w:r>
    </w:p>
  </w:footnote>
  <w:footnote w:id="114">
    <w:p w14:paraId="4881EA22" w14:textId="0C248D8A"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721/1997, </w:t>
      </w:r>
      <w:r w:rsidRPr="00EF7CB3">
        <w:rPr>
          <w:i/>
          <w:lang w:val="pl-PL"/>
        </w:rPr>
        <w:t xml:space="preserve">Boodoo </w:t>
      </w:r>
      <w:r w:rsidRPr="00EF7CB3">
        <w:rPr>
          <w:lang w:val="pl-PL"/>
        </w:rPr>
        <w:t>v.</w:t>
      </w:r>
      <w:r w:rsidRPr="00EF7CB3">
        <w:rPr>
          <w:i/>
          <w:lang w:val="pl-PL"/>
        </w:rPr>
        <w:t xml:space="preserve"> Trinidad and Tobago</w:t>
      </w:r>
      <w:r w:rsidRPr="00EF7CB3">
        <w:rPr>
          <w:lang w:val="pl-PL"/>
        </w:rPr>
        <w:t xml:space="preserve">, </w:t>
      </w:r>
      <w:r>
        <w:rPr>
          <w:lang w:val="pl-PL"/>
        </w:rPr>
        <w:t>ust.</w:t>
      </w:r>
      <w:r w:rsidRPr="00EF7CB3">
        <w:rPr>
          <w:lang w:val="pl-PL"/>
        </w:rPr>
        <w:t> 6.2.</w:t>
      </w:r>
    </w:p>
  </w:footnote>
  <w:footnote w:id="115">
    <w:p w14:paraId="3AFFF8FD" w14:textId="20FCDB02"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336/1988, </w:t>
      </w:r>
      <w:r w:rsidRPr="00EF7CB3">
        <w:rPr>
          <w:i/>
          <w:lang w:val="pl-PL"/>
        </w:rPr>
        <w:t xml:space="preserve">Fillastre and Bizouarn </w:t>
      </w:r>
      <w:r w:rsidRPr="00EF7CB3">
        <w:rPr>
          <w:lang w:val="pl-PL"/>
        </w:rPr>
        <w:t>v.</w:t>
      </w:r>
      <w:r w:rsidRPr="00EF7CB3">
        <w:rPr>
          <w:i/>
          <w:lang w:val="pl-PL"/>
        </w:rPr>
        <w:t xml:space="preserve"> Bolivia</w:t>
      </w:r>
      <w:r w:rsidRPr="00EF7CB3">
        <w:rPr>
          <w:lang w:val="pl-PL"/>
        </w:rPr>
        <w:t xml:space="preserve">, </w:t>
      </w:r>
      <w:r>
        <w:rPr>
          <w:lang w:val="pl-PL"/>
        </w:rPr>
        <w:t>ust.</w:t>
      </w:r>
      <w:r w:rsidRPr="00EF7CB3">
        <w:rPr>
          <w:lang w:val="pl-PL"/>
        </w:rPr>
        <w:t xml:space="preserve"> 6.5; 818/1998, </w:t>
      </w:r>
      <w:r w:rsidRPr="00EF7CB3">
        <w:rPr>
          <w:i/>
          <w:lang w:val="pl-PL"/>
        </w:rPr>
        <w:t xml:space="preserve">Sextus </w:t>
      </w:r>
      <w:r w:rsidRPr="00EF7CB3">
        <w:rPr>
          <w:lang w:val="pl-PL"/>
        </w:rPr>
        <w:t xml:space="preserve">v. </w:t>
      </w:r>
      <w:r w:rsidRPr="00EF7CB3">
        <w:rPr>
          <w:i/>
          <w:lang w:val="pl-PL"/>
        </w:rPr>
        <w:t>Trinidad and Tobago</w:t>
      </w:r>
      <w:r w:rsidRPr="00EF7CB3">
        <w:rPr>
          <w:lang w:val="pl-PL"/>
        </w:rPr>
        <w:t xml:space="preserve">, </w:t>
      </w:r>
      <w:r>
        <w:rPr>
          <w:lang w:val="pl-PL"/>
        </w:rPr>
        <w:t>ust.</w:t>
      </w:r>
      <w:r w:rsidRPr="00EF7CB3">
        <w:rPr>
          <w:lang w:val="pl-PL"/>
        </w:rPr>
        <w:t> 4.2 oraz 7.2.</w:t>
      </w:r>
    </w:p>
  </w:footnote>
  <w:footnote w:id="116">
    <w:p w14:paraId="08FFC533" w14:textId="5A09A143"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1085/2002, </w:t>
      </w:r>
      <w:r w:rsidRPr="00EF7CB3">
        <w:rPr>
          <w:i/>
          <w:lang w:val="pl-PL"/>
        </w:rPr>
        <w:t xml:space="preserve">Taright </w:t>
      </w:r>
      <w:r w:rsidRPr="00EF7CB3">
        <w:rPr>
          <w:lang w:val="pl-PL"/>
        </w:rPr>
        <w:t>v.</w:t>
      </w:r>
      <w:r w:rsidRPr="00EF7CB3">
        <w:rPr>
          <w:i/>
          <w:lang w:val="pl-PL"/>
        </w:rPr>
        <w:t xml:space="preserve"> Algeria</w:t>
      </w:r>
      <w:r w:rsidRPr="00EF7CB3">
        <w:rPr>
          <w:lang w:val="pl-PL"/>
        </w:rPr>
        <w:t xml:space="preserve">, </w:t>
      </w:r>
      <w:r>
        <w:rPr>
          <w:lang w:val="pl-PL"/>
        </w:rPr>
        <w:t>ust.</w:t>
      </w:r>
      <w:r w:rsidRPr="00EF7CB3">
        <w:rPr>
          <w:lang w:val="pl-PL"/>
        </w:rPr>
        <w:t> 8.3.</w:t>
      </w:r>
    </w:p>
  </w:footnote>
  <w:footnote w:id="117">
    <w:p w14:paraId="573CED59" w14:textId="48502556"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r>
      <w:r>
        <w:rPr>
          <w:lang w:val="pl-PL"/>
        </w:rPr>
        <w:t xml:space="preserve">Uwaga ogólna nr </w:t>
      </w:r>
      <w:r w:rsidRPr="00EF7CB3">
        <w:rPr>
          <w:lang w:val="pl-PL"/>
        </w:rPr>
        <w:t xml:space="preserve"> 21, </w:t>
      </w:r>
      <w:r>
        <w:rPr>
          <w:lang w:val="pl-PL"/>
        </w:rPr>
        <w:t>ust.</w:t>
      </w:r>
      <w:r w:rsidRPr="00EF7CB3">
        <w:rPr>
          <w:lang w:val="pl-PL"/>
        </w:rPr>
        <w:t xml:space="preserve"> 13; patrz też </w:t>
      </w:r>
      <w:r>
        <w:rPr>
          <w:lang w:val="pl-PL"/>
        </w:rPr>
        <w:t xml:space="preserve">Uwaga ogólna nr </w:t>
      </w:r>
      <w:r w:rsidRPr="00EF7CB3">
        <w:rPr>
          <w:lang w:val="pl-PL"/>
        </w:rPr>
        <w:t xml:space="preserve"> 32, </w:t>
      </w:r>
      <w:r>
        <w:rPr>
          <w:lang w:val="pl-PL"/>
        </w:rPr>
        <w:t>ust.</w:t>
      </w:r>
      <w:r w:rsidRPr="00EF7CB3">
        <w:rPr>
          <w:lang w:val="pl-PL"/>
        </w:rPr>
        <w:t xml:space="preserve"> 42; Komitet Praw Dziecka, </w:t>
      </w:r>
      <w:r>
        <w:rPr>
          <w:lang w:val="pl-PL"/>
        </w:rPr>
        <w:t xml:space="preserve">Uwaga ogólna nr </w:t>
      </w:r>
      <w:r w:rsidRPr="00EF7CB3">
        <w:rPr>
          <w:lang w:val="pl-PL"/>
        </w:rPr>
        <w:t xml:space="preserve"> 10, </w:t>
      </w:r>
      <w:r>
        <w:rPr>
          <w:lang w:val="pl-PL"/>
        </w:rPr>
        <w:t>ust.</w:t>
      </w:r>
      <w:r w:rsidRPr="00EF7CB3">
        <w:rPr>
          <w:lang w:val="pl-PL"/>
        </w:rPr>
        <w:t> 83.</w:t>
      </w:r>
    </w:p>
  </w:footnote>
  <w:footnote w:id="118">
    <w:p w14:paraId="576A5588" w14:textId="000F7D29"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1128/2002, </w:t>
      </w:r>
      <w:r w:rsidRPr="00EF7CB3">
        <w:rPr>
          <w:i/>
          <w:lang w:val="pl-PL"/>
        </w:rPr>
        <w:t xml:space="preserve">Marques de Morais </w:t>
      </w:r>
      <w:r w:rsidRPr="00EF7CB3">
        <w:rPr>
          <w:lang w:val="pl-PL"/>
        </w:rPr>
        <w:t>v.</w:t>
      </w:r>
      <w:r w:rsidRPr="00EF7CB3">
        <w:rPr>
          <w:i/>
          <w:lang w:val="pl-PL"/>
        </w:rPr>
        <w:t xml:space="preserve"> Angola</w:t>
      </w:r>
      <w:r w:rsidRPr="00EF7CB3">
        <w:rPr>
          <w:lang w:val="pl-PL"/>
        </w:rPr>
        <w:t xml:space="preserve">, </w:t>
      </w:r>
      <w:r>
        <w:rPr>
          <w:lang w:val="pl-PL"/>
        </w:rPr>
        <w:t>ust.</w:t>
      </w:r>
      <w:r w:rsidRPr="00EF7CB3">
        <w:rPr>
          <w:lang w:val="pl-PL"/>
        </w:rPr>
        <w:t> 6.1 oraz 6.4.</w:t>
      </w:r>
    </w:p>
  </w:footnote>
  <w:footnote w:id="119">
    <w:p w14:paraId="25603952" w14:textId="79EEEF2C"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1502/2006, </w:t>
      </w:r>
      <w:r w:rsidRPr="00EF7CB3">
        <w:rPr>
          <w:i/>
          <w:lang w:val="pl-PL"/>
        </w:rPr>
        <w:t xml:space="preserve">Marinich </w:t>
      </w:r>
      <w:r w:rsidRPr="00EF7CB3">
        <w:rPr>
          <w:lang w:val="pl-PL"/>
        </w:rPr>
        <w:t>v.</w:t>
      </w:r>
      <w:r w:rsidRPr="00EF7CB3">
        <w:rPr>
          <w:i/>
          <w:lang w:val="pl-PL"/>
        </w:rPr>
        <w:t xml:space="preserve"> Belarus</w:t>
      </w:r>
      <w:r w:rsidRPr="00EF7CB3">
        <w:rPr>
          <w:lang w:val="pl-PL"/>
        </w:rPr>
        <w:t xml:space="preserve">, </w:t>
      </w:r>
      <w:r>
        <w:rPr>
          <w:lang w:val="pl-PL"/>
        </w:rPr>
        <w:t>ust.</w:t>
      </w:r>
      <w:r w:rsidRPr="00EF7CB3">
        <w:rPr>
          <w:lang w:val="pl-PL"/>
        </w:rPr>
        <w:t xml:space="preserve"> 10.4; 1940/2010, </w:t>
      </w:r>
      <w:r w:rsidRPr="00EF7CB3">
        <w:rPr>
          <w:i/>
          <w:iCs/>
          <w:lang w:val="pl-PL"/>
        </w:rPr>
        <w:t xml:space="preserve">Cedeño </w:t>
      </w:r>
      <w:r w:rsidRPr="00EF7CB3">
        <w:rPr>
          <w:lang w:val="pl-PL"/>
        </w:rPr>
        <w:t>v.</w:t>
      </w:r>
      <w:r w:rsidRPr="00EF7CB3">
        <w:rPr>
          <w:i/>
          <w:iCs/>
          <w:lang w:val="pl-PL"/>
        </w:rPr>
        <w:t xml:space="preserve"> Bolivarian Republic of Venezuela</w:t>
      </w:r>
      <w:r w:rsidRPr="00EF7CB3">
        <w:rPr>
          <w:lang w:val="pl-PL"/>
        </w:rPr>
        <w:t xml:space="preserve">, </w:t>
      </w:r>
      <w:r>
        <w:rPr>
          <w:lang w:val="pl-PL"/>
        </w:rPr>
        <w:t>ust.</w:t>
      </w:r>
      <w:r w:rsidRPr="00EF7CB3">
        <w:rPr>
          <w:lang w:val="pl-PL"/>
        </w:rPr>
        <w:t xml:space="preserve"> 7.10; 1547/2007, </w:t>
      </w:r>
      <w:r w:rsidRPr="00EF7CB3">
        <w:rPr>
          <w:i/>
          <w:lang w:val="pl-PL"/>
        </w:rPr>
        <w:t xml:space="preserve">Torobekov </w:t>
      </w:r>
      <w:r w:rsidRPr="00EF7CB3">
        <w:rPr>
          <w:lang w:val="pl-PL"/>
        </w:rPr>
        <w:t>v.</w:t>
      </w:r>
      <w:r w:rsidRPr="00EF7CB3">
        <w:rPr>
          <w:i/>
          <w:lang w:val="pl-PL"/>
        </w:rPr>
        <w:t xml:space="preserve"> Kyrgyzstan</w:t>
      </w:r>
      <w:r w:rsidRPr="00EF7CB3">
        <w:rPr>
          <w:lang w:val="pl-PL"/>
        </w:rPr>
        <w:t xml:space="preserve">, </w:t>
      </w:r>
      <w:r>
        <w:rPr>
          <w:lang w:val="pl-PL"/>
        </w:rPr>
        <w:t>ust.</w:t>
      </w:r>
      <w:r w:rsidRPr="00EF7CB3">
        <w:rPr>
          <w:lang w:val="pl-PL"/>
        </w:rPr>
        <w:t> 6.3.</w:t>
      </w:r>
    </w:p>
  </w:footnote>
  <w:footnote w:id="120">
    <w:p w14:paraId="7783BC61" w14:textId="4EDFF5F9"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Patrz uwagi końcowe: Bośnia i Hercegowina (CCPR/C/BIH/CO/1, 2006), </w:t>
      </w:r>
      <w:r>
        <w:rPr>
          <w:lang w:val="pl-PL"/>
        </w:rPr>
        <w:t>ust.</w:t>
      </w:r>
      <w:r w:rsidRPr="00EF7CB3">
        <w:rPr>
          <w:lang w:val="pl-PL"/>
        </w:rPr>
        <w:t> 18.</w:t>
      </w:r>
    </w:p>
  </w:footnote>
  <w:footnote w:id="121">
    <w:p w14:paraId="13DEBAEB" w14:textId="139CFECB" w:rsidR="00683B29" w:rsidRPr="00EF7CB3" w:rsidRDefault="00683B29" w:rsidP="004E4928">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Patrz uwagi końcowe: Argentyna (CCPR/CO/70/ARG, 2000), </w:t>
      </w:r>
      <w:r>
        <w:rPr>
          <w:lang w:val="pl-PL"/>
        </w:rPr>
        <w:t>ust.</w:t>
      </w:r>
      <w:r w:rsidRPr="00EF7CB3">
        <w:rPr>
          <w:lang w:val="pl-PL"/>
        </w:rPr>
        <w:t xml:space="preserve"> 10; Sri Lanka (CCPR/CO/79/LKA, 2003), </w:t>
      </w:r>
      <w:r>
        <w:rPr>
          <w:lang w:val="pl-PL"/>
        </w:rPr>
        <w:t>ust.</w:t>
      </w:r>
      <w:r w:rsidRPr="00EF7CB3">
        <w:rPr>
          <w:lang w:val="pl-PL"/>
        </w:rPr>
        <w:t> 13.</w:t>
      </w:r>
    </w:p>
  </w:footnote>
  <w:footnote w:id="122">
    <w:p w14:paraId="62B58F94" w14:textId="339DF74D"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1178/2003, </w:t>
      </w:r>
      <w:r w:rsidRPr="00EF7CB3">
        <w:rPr>
          <w:i/>
          <w:lang w:val="pl-PL"/>
        </w:rPr>
        <w:t xml:space="preserve">Smantser </w:t>
      </w:r>
      <w:r w:rsidRPr="00EF7CB3">
        <w:rPr>
          <w:lang w:val="pl-PL"/>
        </w:rPr>
        <w:t>v.</w:t>
      </w:r>
      <w:r w:rsidRPr="00EF7CB3">
        <w:rPr>
          <w:i/>
          <w:lang w:val="pl-PL"/>
        </w:rPr>
        <w:t xml:space="preserve"> Belarus</w:t>
      </w:r>
      <w:r w:rsidRPr="00EF7CB3">
        <w:rPr>
          <w:lang w:val="pl-PL"/>
        </w:rPr>
        <w:t xml:space="preserve">, </w:t>
      </w:r>
      <w:r>
        <w:rPr>
          <w:lang w:val="pl-PL"/>
        </w:rPr>
        <w:t>ust.</w:t>
      </w:r>
      <w:r w:rsidRPr="00EF7CB3">
        <w:rPr>
          <w:lang w:val="pl-PL"/>
        </w:rPr>
        <w:t> 10.3.</w:t>
      </w:r>
    </w:p>
  </w:footnote>
  <w:footnote w:id="123">
    <w:p w14:paraId="6A52022C" w14:textId="00DA7E29"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526/1993, </w:t>
      </w:r>
      <w:r w:rsidRPr="00EF7CB3">
        <w:rPr>
          <w:i/>
          <w:lang w:val="pl-PL"/>
        </w:rPr>
        <w:t xml:space="preserve">Hill and Hill </w:t>
      </w:r>
      <w:r w:rsidRPr="00EF7CB3">
        <w:rPr>
          <w:lang w:val="pl-PL"/>
        </w:rPr>
        <w:t>v.</w:t>
      </w:r>
      <w:r w:rsidRPr="00EF7CB3">
        <w:rPr>
          <w:i/>
          <w:lang w:val="pl-PL"/>
        </w:rPr>
        <w:t xml:space="preserve"> Spain</w:t>
      </w:r>
      <w:r w:rsidRPr="00EF7CB3">
        <w:rPr>
          <w:lang w:val="pl-PL"/>
        </w:rPr>
        <w:t xml:space="preserve">, </w:t>
      </w:r>
      <w:r>
        <w:rPr>
          <w:lang w:val="pl-PL"/>
        </w:rPr>
        <w:t>ust.</w:t>
      </w:r>
      <w:r w:rsidRPr="00EF7CB3">
        <w:rPr>
          <w:lang w:val="pl-PL"/>
        </w:rPr>
        <w:t> 12.3.</w:t>
      </w:r>
    </w:p>
  </w:footnote>
  <w:footnote w:id="124">
    <w:p w14:paraId="672A30EB" w14:textId="3BCF9A94"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1085/2002, </w:t>
      </w:r>
      <w:r w:rsidRPr="00EF7CB3">
        <w:rPr>
          <w:i/>
          <w:lang w:val="pl-PL"/>
        </w:rPr>
        <w:t xml:space="preserve">Taright </w:t>
      </w:r>
      <w:r w:rsidRPr="00EF7CB3">
        <w:rPr>
          <w:lang w:val="pl-PL"/>
        </w:rPr>
        <w:t>v.</w:t>
      </w:r>
      <w:r w:rsidRPr="00EF7CB3">
        <w:rPr>
          <w:i/>
          <w:lang w:val="pl-PL"/>
        </w:rPr>
        <w:t xml:space="preserve"> Algeria</w:t>
      </w:r>
      <w:r w:rsidRPr="00EF7CB3">
        <w:rPr>
          <w:lang w:val="pl-PL"/>
        </w:rPr>
        <w:t xml:space="preserve">, </w:t>
      </w:r>
      <w:r>
        <w:rPr>
          <w:lang w:val="pl-PL"/>
        </w:rPr>
        <w:t>ust.</w:t>
      </w:r>
      <w:r w:rsidRPr="00EF7CB3">
        <w:rPr>
          <w:lang w:val="pl-PL"/>
        </w:rPr>
        <w:t> 8.3–8.4.</w:t>
      </w:r>
    </w:p>
  </w:footnote>
  <w:footnote w:id="125">
    <w:p w14:paraId="58A38687" w14:textId="0C0BFCA9" w:rsidR="00683B29" w:rsidRPr="00EF7CB3" w:rsidRDefault="00683B29" w:rsidP="0064060F">
      <w:pPr>
        <w:pStyle w:val="Tekstprzypisudolnego"/>
        <w:rPr>
          <w:lang w:val="pl-PL"/>
        </w:rPr>
      </w:pPr>
      <w:r w:rsidRPr="00EF7CB3">
        <w:rPr>
          <w:lang w:val="pl-PL"/>
        </w:rPr>
        <w:tab/>
      </w:r>
      <w:r w:rsidRPr="00EF7CB3">
        <w:rPr>
          <w:rStyle w:val="Odwoanieprzypisudolnego"/>
          <w:lang w:val="pl-PL"/>
        </w:rPr>
        <w:footnoteRef/>
      </w:r>
      <w:r w:rsidRPr="00EF7CB3">
        <w:rPr>
          <w:lang w:val="pl-PL"/>
        </w:rPr>
        <w:tab/>
      </w:r>
      <w:r>
        <w:rPr>
          <w:lang w:val="pl-PL"/>
        </w:rPr>
        <w:t xml:space="preserve">Uwaga ogólna nr </w:t>
      </w:r>
      <w:r w:rsidRPr="00EF7CB3">
        <w:rPr>
          <w:lang w:val="pl-PL"/>
        </w:rPr>
        <w:t xml:space="preserve"> 32, </w:t>
      </w:r>
      <w:r>
        <w:rPr>
          <w:lang w:val="pl-PL"/>
        </w:rPr>
        <w:t>ust.</w:t>
      </w:r>
      <w:r w:rsidRPr="00EF7CB3">
        <w:rPr>
          <w:lang w:val="pl-PL"/>
        </w:rPr>
        <w:t xml:space="preserve"> 42; patrz Komitet Praw Dziecka, </w:t>
      </w:r>
      <w:r>
        <w:rPr>
          <w:lang w:val="pl-PL"/>
        </w:rPr>
        <w:t>Uwaga ogólna nr</w:t>
      </w:r>
      <w:r w:rsidRPr="00EF7CB3">
        <w:rPr>
          <w:lang w:val="pl-PL"/>
        </w:rPr>
        <w:t xml:space="preserve"> 10, </w:t>
      </w:r>
      <w:r>
        <w:rPr>
          <w:lang w:val="pl-PL"/>
        </w:rPr>
        <w:t>ust.</w:t>
      </w:r>
      <w:r w:rsidRPr="00EF7CB3">
        <w:rPr>
          <w:lang w:val="pl-PL"/>
        </w:rPr>
        <w:t> 80.</w:t>
      </w:r>
    </w:p>
  </w:footnote>
  <w:footnote w:id="126">
    <w:p w14:paraId="146CDD1C" w14:textId="4EB837A8"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1342/2005, </w:t>
      </w:r>
      <w:r w:rsidRPr="00EF7CB3">
        <w:rPr>
          <w:i/>
          <w:lang w:val="pl-PL"/>
        </w:rPr>
        <w:t xml:space="preserve">Gavrilin </w:t>
      </w:r>
      <w:r w:rsidRPr="00EF7CB3">
        <w:rPr>
          <w:lang w:val="pl-PL"/>
        </w:rPr>
        <w:t>v.</w:t>
      </w:r>
      <w:r w:rsidRPr="00EF7CB3">
        <w:rPr>
          <w:i/>
          <w:lang w:val="pl-PL"/>
        </w:rPr>
        <w:t xml:space="preserve"> Belarus</w:t>
      </w:r>
      <w:r w:rsidRPr="00EF7CB3">
        <w:rPr>
          <w:lang w:val="pl-PL"/>
        </w:rPr>
        <w:t xml:space="preserve">, </w:t>
      </w:r>
      <w:r>
        <w:rPr>
          <w:lang w:val="pl-PL"/>
        </w:rPr>
        <w:t>ust.</w:t>
      </w:r>
      <w:r w:rsidRPr="00EF7CB3">
        <w:rPr>
          <w:lang w:val="pl-PL"/>
        </w:rPr>
        <w:t> 7.4.</w:t>
      </w:r>
    </w:p>
  </w:footnote>
  <w:footnote w:id="127">
    <w:p w14:paraId="2F6B3C83" w14:textId="0FB46DA4"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1051/2002, </w:t>
      </w:r>
      <w:r w:rsidRPr="00EF7CB3">
        <w:rPr>
          <w:i/>
          <w:lang w:val="pl-PL"/>
        </w:rPr>
        <w:t xml:space="preserve">Ahani </w:t>
      </w:r>
      <w:r w:rsidRPr="00EF7CB3">
        <w:rPr>
          <w:lang w:val="pl-PL"/>
        </w:rPr>
        <w:t>v.</w:t>
      </w:r>
      <w:r w:rsidRPr="00EF7CB3">
        <w:rPr>
          <w:i/>
          <w:lang w:val="pl-PL"/>
        </w:rPr>
        <w:t xml:space="preserve"> Canada</w:t>
      </w:r>
      <w:r w:rsidRPr="00EF7CB3">
        <w:rPr>
          <w:lang w:val="pl-PL"/>
        </w:rPr>
        <w:t xml:space="preserve">, </w:t>
      </w:r>
      <w:r>
        <w:rPr>
          <w:lang w:val="pl-PL"/>
        </w:rPr>
        <w:t>ust.</w:t>
      </w:r>
      <w:r w:rsidRPr="00EF7CB3">
        <w:rPr>
          <w:lang w:val="pl-PL"/>
        </w:rPr>
        <w:t xml:space="preserve"> 10.2; 754/1997, </w:t>
      </w:r>
      <w:r w:rsidRPr="00EF7CB3">
        <w:rPr>
          <w:i/>
          <w:lang w:val="pl-PL"/>
        </w:rPr>
        <w:t xml:space="preserve">A. </w:t>
      </w:r>
      <w:r w:rsidRPr="00EF7CB3">
        <w:rPr>
          <w:lang w:val="pl-PL"/>
        </w:rPr>
        <w:t>v.</w:t>
      </w:r>
      <w:r w:rsidRPr="00EF7CB3">
        <w:rPr>
          <w:i/>
          <w:lang w:val="pl-PL"/>
        </w:rPr>
        <w:t xml:space="preserve"> New Zealand</w:t>
      </w:r>
      <w:r w:rsidRPr="00EF7CB3">
        <w:rPr>
          <w:lang w:val="pl-PL"/>
        </w:rPr>
        <w:t xml:space="preserve">, </w:t>
      </w:r>
      <w:r>
        <w:rPr>
          <w:lang w:val="pl-PL"/>
        </w:rPr>
        <w:t>ust.</w:t>
      </w:r>
      <w:r w:rsidRPr="00EF7CB3">
        <w:rPr>
          <w:lang w:val="pl-PL"/>
        </w:rPr>
        <w:t> 7.3.</w:t>
      </w:r>
    </w:p>
  </w:footnote>
  <w:footnote w:id="128">
    <w:p w14:paraId="3FFD300D" w14:textId="5D712AF3" w:rsidR="00683B29" w:rsidRPr="00EF7CB3" w:rsidRDefault="00683B29" w:rsidP="0064060F">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248/1987, </w:t>
      </w:r>
      <w:r w:rsidRPr="00EF7CB3">
        <w:rPr>
          <w:i/>
          <w:lang w:val="pl-PL"/>
        </w:rPr>
        <w:t xml:space="preserve">Campbell </w:t>
      </w:r>
      <w:r w:rsidRPr="00EF7CB3">
        <w:rPr>
          <w:lang w:val="pl-PL"/>
        </w:rPr>
        <w:t>v.</w:t>
      </w:r>
      <w:r w:rsidRPr="00EF7CB3">
        <w:rPr>
          <w:i/>
          <w:lang w:val="pl-PL"/>
        </w:rPr>
        <w:t xml:space="preserve"> Jamaica</w:t>
      </w:r>
      <w:r w:rsidRPr="00EF7CB3">
        <w:rPr>
          <w:lang w:val="pl-PL"/>
        </w:rPr>
        <w:t xml:space="preserve">, </w:t>
      </w:r>
      <w:r>
        <w:rPr>
          <w:lang w:val="pl-PL"/>
        </w:rPr>
        <w:t>ust.</w:t>
      </w:r>
      <w:r w:rsidRPr="00EF7CB3">
        <w:rPr>
          <w:lang w:val="pl-PL"/>
        </w:rPr>
        <w:t xml:space="preserve"> 6.4; 962/2001, </w:t>
      </w:r>
      <w:r w:rsidRPr="00EF7CB3">
        <w:rPr>
          <w:i/>
          <w:lang w:val="pl-PL"/>
        </w:rPr>
        <w:t xml:space="preserve">Mulezi </w:t>
      </w:r>
      <w:r w:rsidRPr="00EF7CB3">
        <w:rPr>
          <w:lang w:val="pl-PL"/>
        </w:rPr>
        <w:t>v.</w:t>
      </w:r>
      <w:r w:rsidRPr="00EF7CB3">
        <w:rPr>
          <w:i/>
          <w:lang w:val="pl-PL"/>
        </w:rPr>
        <w:t xml:space="preserve"> Democratic Republic of the Congo</w:t>
      </w:r>
      <w:r w:rsidRPr="00EF7CB3">
        <w:rPr>
          <w:lang w:val="pl-PL"/>
        </w:rPr>
        <w:t xml:space="preserve">, </w:t>
      </w:r>
      <w:r>
        <w:rPr>
          <w:lang w:val="pl-PL"/>
        </w:rPr>
        <w:t>ust.</w:t>
      </w:r>
      <w:r w:rsidRPr="00EF7CB3">
        <w:rPr>
          <w:lang w:val="pl-PL"/>
        </w:rPr>
        <w:t xml:space="preserve"> 5.2; 1051/2002, </w:t>
      </w:r>
      <w:r w:rsidRPr="00EF7CB3">
        <w:rPr>
          <w:i/>
          <w:lang w:val="pl-PL"/>
        </w:rPr>
        <w:t xml:space="preserve">Ahani </w:t>
      </w:r>
      <w:r w:rsidRPr="00EF7CB3">
        <w:rPr>
          <w:lang w:val="pl-PL"/>
        </w:rPr>
        <w:t>v.</w:t>
      </w:r>
      <w:r w:rsidRPr="00EF7CB3">
        <w:rPr>
          <w:i/>
          <w:lang w:val="pl-PL"/>
        </w:rPr>
        <w:t xml:space="preserve"> Canada</w:t>
      </w:r>
      <w:r w:rsidRPr="00EF7CB3">
        <w:rPr>
          <w:lang w:val="pl-PL"/>
        </w:rPr>
        <w:t xml:space="preserve">, </w:t>
      </w:r>
      <w:r>
        <w:rPr>
          <w:lang w:val="pl-PL"/>
        </w:rPr>
        <w:t>ust.</w:t>
      </w:r>
      <w:r w:rsidRPr="00EF7CB3">
        <w:rPr>
          <w:lang w:val="pl-PL"/>
        </w:rPr>
        <w:t xml:space="preserve"> 10.2; 1061/2002, </w:t>
      </w:r>
      <w:r w:rsidRPr="00EF7CB3">
        <w:rPr>
          <w:i/>
          <w:lang w:val="pl-PL"/>
        </w:rPr>
        <w:t xml:space="preserve">Fijalkowska </w:t>
      </w:r>
      <w:r w:rsidRPr="00EF7CB3">
        <w:rPr>
          <w:lang w:val="pl-PL"/>
        </w:rPr>
        <w:t>v.</w:t>
      </w:r>
      <w:r w:rsidRPr="00EF7CB3">
        <w:rPr>
          <w:i/>
          <w:lang w:val="pl-PL"/>
        </w:rPr>
        <w:t xml:space="preserve"> Poland</w:t>
      </w:r>
      <w:r w:rsidRPr="00EF7CB3">
        <w:rPr>
          <w:lang w:val="pl-PL"/>
        </w:rPr>
        <w:t xml:space="preserve">, </w:t>
      </w:r>
      <w:r>
        <w:rPr>
          <w:lang w:val="pl-PL"/>
        </w:rPr>
        <w:t>ust.</w:t>
      </w:r>
      <w:r w:rsidRPr="00EF7CB3">
        <w:rPr>
          <w:lang w:val="pl-PL"/>
        </w:rPr>
        <w:t xml:space="preserve"> 8.4; 291/1988, </w:t>
      </w:r>
      <w:r w:rsidRPr="00EF7CB3">
        <w:rPr>
          <w:i/>
          <w:lang w:val="pl-PL"/>
        </w:rPr>
        <w:t xml:space="preserve">Torres </w:t>
      </w:r>
      <w:r w:rsidRPr="00EF7CB3">
        <w:rPr>
          <w:lang w:val="pl-PL"/>
        </w:rPr>
        <w:t>v.</w:t>
      </w:r>
      <w:r w:rsidRPr="00EF7CB3">
        <w:rPr>
          <w:i/>
          <w:lang w:val="pl-PL"/>
        </w:rPr>
        <w:t xml:space="preserve"> Finland</w:t>
      </w:r>
      <w:r w:rsidRPr="00EF7CB3">
        <w:rPr>
          <w:lang w:val="pl-PL"/>
        </w:rPr>
        <w:t xml:space="preserve">, </w:t>
      </w:r>
      <w:r>
        <w:rPr>
          <w:lang w:val="pl-PL"/>
        </w:rPr>
        <w:t>ust.</w:t>
      </w:r>
      <w:r w:rsidRPr="00EF7CB3">
        <w:rPr>
          <w:lang w:val="pl-PL"/>
        </w:rPr>
        <w:t xml:space="preserve"> 7.4; 414/1990, </w:t>
      </w:r>
      <w:r w:rsidRPr="00EF7CB3">
        <w:rPr>
          <w:i/>
          <w:lang w:val="pl-PL"/>
        </w:rPr>
        <w:t xml:space="preserve">Mika Miha </w:t>
      </w:r>
      <w:r w:rsidRPr="00EF7CB3">
        <w:rPr>
          <w:lang w:val="pl-PL"/>
        </w:rPr>
        <w:t>v.</w:t>
      </w:r>
      <w:r w:rsidRPr="00EF7CB3">
        <w:rPr>
          <w:i/>
          <w:lang w:val="pl-PL"/>
        </w:rPr>
        <w:t xml:space="preserve"> Equatorial Guinea</w:t>
      </w:r>
      <w:r w:rsidRPr="00EF7CB3">
        <w:rPr>
          <w:lang w:val="pl-PL"/>
        </w:rPr>
        <w:t xml:space="preserve">, </w:t>
      </w:r>
      <w:r>
        <w:rPr>
          <w:lang w:val="pl-PL"/>
        </w:rPr>
        <w:t>ust.</w:t>
      </w:r>
      <w:r w:rsidRPr="00EF7CB3">
        <w:rPr>
          <w:lang w:val="pl-PL"/>
        </w:rPr>
        <w:t> 6.5.</w:t>
      </w:r>
    </w:p>
  </w:footnote>
  <w:footnote w:id="129">
    <w:p w14:paraId="6F2940FB" w14:textId="3D01D260" w:rsidR="00683B29" w:rsidRPr="00EF7CB3" w:rsidRDefault="00683B29" w:rsidP="004E4928">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265/1987, </w:t>
      </w:r>
      <w:r w:rsidRPr="00EF7CB3">
        <w:rPr>
          <w:i/>
          <w:lang w:val="pl-PL"/>
        </w:rPr>
        <w:t xml:space="preserve">Vuolanne </w:t>
      </w:r>
      <w:r w:rsidRPr="00EF7CB3">
        <w:rPr>
          <w:lang w:val="pl-PL"/>
        </w:rPr>
        <w:t>v.</w:t>
      </w:r>
      <w:r w:rsidRPr="00EF7CB3">
        <w:rPr>
          <w:i/>
          <w:lang w:val="pl-PL"/>
        </w:rPr>
        <w:t xml:space="preserve"> Finland</w:t>
      </w:r>
      <w:r w:rsidRPr="00EF7CB3">
        <w:rPr>
          <w:lang w:val="pl-PL"/>
        </w:rPr>
        <w:t xml:space="preserve">, </w:t>
      </w:r>
      <w:r>
        <w:rPr>
          <w:lang w:val="pl-PL"/>
        </w:rPr>
        <w:t>ust.</w:t>
      </w:r>
      <w:r w:rsidRPr="00EF7CB3">
        <w:rPr>
          <w:lang w:val="pl-PL"/>
        </w:rPr>
        <w:t xml:space="preserve"> 9.5; </w:t>
      </w:r>
      <w:r>
        <w:rPr>
          <w:lang w:val="pl-PL"/>
        </w:rPr>
        <w:t>patrz uwagi końcowe</w:t>
      </w:r>
      <w:r w:rsidRPr="00EF7CB3">
        <w:rPr>
          <w:lang w:val="pl-PL"/>
        </w:rPr>
        <w:t xml:space="preserve">: Rwanda (CCPR/C/RWA/CO/3, 2009), </w:t>
      </w:r>
      <w:r>
        <w:rPr>
          <w:lang w:val="pl-PL"/>
        </w:rPr>
        <w:t>ust.</w:t>
      </w:r>
      <w:r w:rsidRPr="00EF7CB3">
        <w:rPr>
          <w:lang w:val="pl-PL"/>
        </w:rPr>
        <w:t> 16 (</w:t>
      </w:r>
      <w:r>
        <w:rPr>
          <w:lang w:val="pl-PL"/>
        </w:rPr>
        <w:t>rekomendujący porzucenie zatrzymania za włóczęgostwo</w:t>
      </w:r>
      <w:r w:rsidRPr="00EF7CB3">
        <w:rPr>
          <w:lang w:val="pl-PL"/>
        </w:rPr>
        <w:t>).</w:t>
      </w:r>
    </w:p>
  </w:footnote>
  <w:footnote w:id="130">
    <w:p w14:paraId="1CAECA5B" w14:textId="119D26A4"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r>
      <w:r>
        <w:rPr>
          <w:lang w:val="pl-PL"/>
        </w:rPr>
        <w:t>Patrz uwagi końcowe</w:t>
      </w:r>
      <w:r w:rsidRPr="00EF7CB3">
        <w:rPr>
          <w:lang w:val="pl-PL"/>
        </w:rPr>
        <w:t xml:space="preserve">: Republic of Moldova (CCPR/CO/75/MDA, 2002), </w:t>
      </w:r>
      <w:r>
        <w:rPr>
          <w:lang w:val="pl-PL"/>
        </w:rPr>
        <w:t>ust.</w:t>
      </w:r>
      <w:r w:rsidRPr="00EF7CB3">
        <w:rPr>
          <w:lang w:val="pl-PL"/>
        </w:rPr>
        <w:t> 11.</w:t>
      </w:r>
    </w:p>
  </w:footnote>
  <w:footnote w:id="131">
    <w:p w14:paraId="7895D18F" w14:textId="77C5ED08"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1172/2003, </w:t>
      </w:r>
      <w:r w:rsidRPr="00EF7CB3">
        <w:rPr>
          <w:i/>
          <w:lang w:val="pl-PL"/>
        </w:rPr>
        <w:t xml:space="preserve">Madani </w:t>
      </w:r>
      <w:r w:rsidRPr="00EF7CB3">
        <w:rPr>
          <w:lang w:val="pl-PL"/>
        </w:rPr>
        <w:t>v.</w:t>
      </w:r>
      <w:r w:rsidRPr="00EF7CB3">
        <w:rPr>
          <w:i/>
          <w:lang w:val="pl-PL"/>
        </w:rPr>
        <w:t xml:space="preserve"> Algeria</w:t>
      </w:r>
      <w:r w:rsidRPr="00EF7CB3">
        <w:rPr>
          <w:lang w:val="pl-PL"/>
        </w:rPr>
        <w:t xml:space="preserve">, </w:t>
      </w:r>
      <w:r>
        <w:rPr>
          <w:lang w:val="pl-PL"/>
        </w:rPr>
        <w:t>ust.</w:t>
      </w:r>
      <w:r w:rsidRPr="00EF7CB3">
        <w:rPr>
          <w:lang w:val="pl-PL"/>
        </w:rPr>
        <w:t xml:space="preserve"> 8.5; 265/1987, </w:t>
      </w:r>
      <w:r w:rsidRPr="00EF7CB3">
        <w:rPr>
          <w:i/>
          <w:lang w:val="pl-PL"/>
        </w:rPr>
        <w:t xml:space="preserve">Vuolanne </w:t>
      </w:r>
      <w:r w:rsidRPr="00EF7CB3">
        <w:rPr>
          <w:lang w:val="pl-PL"/>
        </w:rPr>
        <w:t>v.</w:t>
      </w:r>
      <w:r w:rsidRPr="00EF7CB3">
        <w:rPr>
          <w:i/>
          <w:lang w:val="pl-PL"/>
        </w:rPr>
        <w:t xml:space="preserve"> Finland</w:t>
      </w:r>
      <w:r w:rsidRPr="00EF7CB3">
        <w:rPr>
          <w:lang w:val="pl-PL"/>
        </w:rPr>
        <w:t xml:space="preserve">, </w:t>
      </w:r>
      <w:r>
        <w:rPr>
          <w:lang w:val="pl-PL"/>
        </w:rPr>
        <w:t>ust.</w:t>
      </w:r>
      <w:r w:rsidRPr="00EF7CB3">
        <w:rPr>
          <w:lang w:val="pl-PL"/>
        </w:rPr>
        <w:t> 9.5.</w:t>
      </w:r>
    </w:p>
  </w:footnote>
  <w:footnote w:id="132">
    <w:p w14:paraId="26954640" w14:textId="69C45338"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954/2000, </w:t>
      </w:r>
      <w:r w:rsidRPr="00EF7CB3">
        <w:rPr>
          <w:i/>
          <w:lang w:val="pl-PL"/>
        </w:rPr>
        <w:t xml:space="preserve">Minogue </w:t>
      </w:r>
      <w:r w:rsidRPr="00EF7CB3">
        <w:rPr>
          <w:lang w:val="pl-PL"/>
        </w:rPr>
        <w:t>v.</w:t>
      </w:r>
      <w:r w:rsidRPr="00EF7CB3">
        <w:rPr>
          <w:i/>
          <w:lang w:val="pl-PL"/>
        </w:rPr>
        <w:t xml:space="preserve"> </w:t>
      </w:r>
      <w:r>
        <w:rPr>
          <w:i/>
          <w:lang w:val="pl-PL"/>
        </w:rPr>
        <w:t>Australia</w:t>
      </w:r>
      <w:r w:rsidRPr="00EF7CB3">
        <w:rPr>
          <w:lang w:val="pl-PL"/>
        </w:rPr>
        <w:t xml:space="preserve">, </w:t>
      </w:r>
      <w:r>
        <w:rPr>
          <w:lang w:val="pl-PL"/>
        </w:rPr>
        <w:t>ust.</w:t>
      </w:r>
      <w:r w:rsidRPr="00EF7CB3">
        <w:rPr>
          <w:lang w:val="pl-PL"/>
        </w:rPr>
        <w:t xml:space="preserve"> 6.4; 1342/2005, </w:t>
      </w:r>
      <w:r w:rsidRPr="00EF7CB3">
        <w:rPr>
          <w:i/>
          <w:lang w:val="pl-PL"/>
        </w:rPr>
        <w:t xml:space="preserve">Gavrilin </w:t>
      </w:r>
      <w:r w:rsidRPr="00EF7CB3">
        <w:rPr>
          <w:lang w:val="pl-PL"/>
        </w:rPr>
        <w:t>v.</w:t>
      </w:r>
      <w:r w:rsidRPr="00EF7CB3">
        <w:rPr>
          <w:i/>
          <w:lang w:val="pl-PL"/>
        </w:rPr>
        <w:t xml:space="preserve"> Belarus</w:t>
      </w:r>
      <w:r w:rsidRPr="00EF7CB3">
        <w:rPr>
          <w:lang w:val="pl-PL"/>
        </w:rPr>
        <w:t xml:space="preserve">, </w:t>
      </w:r>
      <w:r>
        <w:rPr>
          <w:lang w:val="pl-PL"/>
        </w:rPr>
        <w:t>ust.</w:t>
      </w:r>
      <w:r w:rsidRPr="00EF7CB3">
        <w:rPr>
          <w:lang w:val="pl-PL"/>
        </w:rPr>
        <w:t xml:space="preserve"> 7.4. </w:t>
      </w:r>
      <w:r>
        <w:rPr>
          <w:lang w:val="pl-PL"/>
        </w:rPr>
        <w:t xml:space="preserve">Artykuł </w:t>
      </w:r>
      <w:r w:rsidRPr="00EF7CB3">
        <w:rPr>
          <w:lang w:val="pl-PL"/>
        </w:rPr>
        <w:t xml:space="preserve">14, </w:t>
      </w:r>
      <w:r>
        <w:rPr>
          <w:lang w:val="pl-PL"/>
        </w:rPr>
        <w:t xml:space="preserve">ustęp </w:t>
      </w:r>
      <w:r w:rsidRPr="00EF7CB3">
        <w:rPr>
          <w:lang w:val="pl-PL"/>
        </w:rPr>
        <w:t xml:space="preserve">5, </w:t>
      </w:r>
      <w:r>
        <w:rPr>
          <w:lang w:val="pl-PL"/>
        </w:rPr>
        <w:t>jednakże</w:t>
      </w:r>
      <w:r w:rsidRPr="00EF7CB3">
        <w:rPr>
          <w:lang w:val="pl-PL"/>
        </w:rPr>
        <w:t>,</w:t>
      </w:r>
      <w:r>
        <w:rPr>
          <w:lang w:val="pl-PL"/>
        </w:rPr>
        <w:t xml:space="preserve"> gwarantuje oskarżonym prawo do odwołania od skazania do sądu wyższej instancji</w:t>
      </w:r>
      <w:r w:rsidRPr="00EF7CB3">
        <w:rPr>
          <w:lang w:val="pl-PL"/>
        </w:rPr>
        <w:t xml:space="preserve"> (</w:t>
      </w:r>
      <w:r>
        <w:rPr>
          <w:lang w:val="pl-PL"/>
        </w:rPr>
        <w:t xml:space="preserve">Uwaga ogólna nr </w:t>
      </w:r>
      <w:r w:rsidRPr="00EF7CB3">
        <w:rPr>
          <w:lang w:val="pl-PL"/>
        </w:rPr>
        <w:t xml:space="preserve">32, </w:t>
      </w:r>
      <w:r>
        <w:rPr>
          <w:lang w:val="pl-PL"/>
        </w:rPr>
        <w:t>ust.</w:t>
      </w:r>
      <w:r w:rsidRPr="00EF7CB3">
        <w:rPr>
          <w:lang w:val="pl-PL"/>
        </w:rPr>
        <w:t> 45).</w:t>
      </w:r>
    </w:p>
  </w:footnote>
  <w:footnote w:id="133">
    <w:p w14:paraId="47B4BCEC" w14:textId="6E574489"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473/1991, </w:t>
      </w:r>
      <w:r w:rsidRPr="00EF7CB3">
        <w:rPr>
          <w:i/>
          <w:lang w:val="pl-PL"/>
        </w:rPr>
        <w:t xml:space="preserve">Barroso </w:t>
      </w:r>
      <w:r w:rsidRPr="00EF7CB3">
        <w:rPr>
          <w:lang w:val="pl-PL"/>
        </w:rPr>
        <w:t>v.</w:t>
      </w:r>
      <w:r w:rsidRPr="00EF7CB3">
        <w:rPr>
          <w:i/>
          <w:lang w:val="pl-PL"/>
        </w:rPr>
        <w:t xml:space="preserve"> Panama</w:t>
      </w:r>
      <w:r w:rsidRPr="00EF7CB3">
        <w:rPr>
          <w:lang w:val="pl-PL"/>
        </w:rPr>
        <w:t xml:space="preserve">, </w:t>
      </w:r>
      <w:r>
        <w:rPr>
          <w:lang w:val="pl-PL"/>
        </w:rPr>
        <w:t>ust.</w:t>
      </w:r>
      <w:r w:rsidRPr="00EF7CB3">
        <w:rPr>
          <w:lang w:val="pl-PL"/>
        </w:rPr>
        <w:t xml:space="preserve"> 2.4 and 8.2 (habeas corpus </w:t>
      </w:r>
      <w:r>
        <w:rPr>
          <w:lang w:val="pl-PL"/>
        </w:rPr>
        <w:t>za</w:t>
      </w:r>
      <w:r w:rsidRPr="00EF7CB3">
        <w:rPr>
          <w:lang w:val="pl-PL"/>
        </w:rPr>
        <w:t xml:space="preserve"> </w:t>
      </w:r>
      <w:r>
        <w:rPr>
          <w:lang w:val="pl-PL"/>
        </w:rPr>
        <w:t>kaucję</w:t>
      </w:r>
      <w:r w:rsidRPr="00EF7CB3">
        <w:rPr>
          <w:lang w:val="pl-PL"/>
        </w:rPr>
        <w:t xml:space="preserve">). </w:t>
      </w:r>
    </w:p>
  </w:footnote>
  <w:footnote w:id="134">
    <w:p w14:paraId="7BC081FF" w14:textId="2A0CF27C"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1324/2004, </w:t>
      </w:r>
      <w:r w:rsidRPr="00EF7CB3">
        <w:rPr>
          <w:i/>
          <w:lang w:val="pl-PL"/>
        </w:rPr>
        <w:t xml:space="preserve">Shafiq </w:t>
      </w:r>
      <w:r w:rsidRPr="00EF7CB3">
        <w:rPr>
          <w:lang w:val="pl-PL"/>
        </w:rPr>
        <w:t xml:space="preserve">v. </w:t>
      </w:r>
      <w:r>
        <w:rPr>
          <w:i/>
          <w:lang w:val="pl-PL"/>
        </w:rPr>
        <w:t>Australia</w:t>
      </w:r>
      <w:r w:rsidRPr="00EF7CB3">
        <w:rPr>
          <w:lang w:val="pl-PL"/>
        </w:rPr>
        <w:t xml:space="preserve">, </w:t>
      </w:r>
      <w:r>
        <w:rPr>
          <w:lang w:val="pl-PL"/>
        </w:rPr>
        <w:t>ust.</w:t>
      </w:r>
      <w:r w:rsidRPr="00EF7CB3">
        <w:rPr>
          <w:lang w:val="pl-PL"/>
        </w:rPr>
        <w:t> 7.4.</w:t>
      </w:r>
    </w:p>
  </w:footnote>
  <w:footnote w:id="135">
    <w:p w14:paraId="234812CB" w14:textId="604241D1"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856/1999, </w:t>
      </w:r>
      <w:r w:rsidRPr="00EF7CB3">
        <w:rPr>
          <w:i/>
          <w:lang w:val="pl-PL"/>
        </w:rPr>
        <w:t xml:space="preserve">Chambala </w:t>
      </w:r>
      <w:r w:rsidRPr="00EF7CB3">
        <w:rPr>
          <w:lang w:val="pl-PL"/>
        </w:rPr>
        <w:t>v.</w:t>
      </w:r>
      <w:r w:rsidRPr="00EF7CB3">
        <w:rPr>
          <w:i/>
          <w:lang w:val="pl-PL"/>
        </w:rPr>
        <w:t xml:space="preserve"> Zambia</w:t>
      </w:r>
      <w:r w:rsidRPr="00EF7CB3">
        <w:rPr>
          <w:lang w:val="pl-PL"/>
        </w:rPr>
        <w:t xml:space="preserve">, </w:t>
      </w:r>
      <w:r>
        <w:rPr>
          <w:lang w:val="pl-PL"/>
        </w:rPr>
        <w:t>ust.</w:t>
      </w:r>
      <w:r w:rsidRPr="00EF7CB3">
        <w:rPr>
          <w:lang w:val="pl-PL"/>
        </w:rPr>
        <w:t> 7.2.</w:t>
      </w:r>
    </w:p>
  </w:footnote>
  <w:footnote w:id="136">
    <w:p w14:paraId="1F05B2AA" w14:textId="597BE45E"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291/1988, </w:t>
      </w:r>
      <w:r w:rsidRPr="00EF7CB3">
        <w:rPr>
          <w:i/>
          <w:lang w:val="pl-PL"/>
        </w:rPr>
        <w:t xml:space="preserve">Torres </w:t>
      </w:r>
      <w:r w:rsidRPr="00EF7CB3">
        <w:rPr>
          <w:lang w:val="pl-PL"/>
        </w:rPr>
        <w:t>v.</w:t>
      </w:r>
      <w:r w:rsidRPr="00EF7CB3">
        <w:rPr>
          <w:i/>
          <w:lang w:val="pl-PL"/>
        </w:rPr>
        <w:t xml:space="preserve"> Finland</w:t>
      </w:r>
      <w:r w:rsidRPr="00EF7CB3">
        <w:rPr>
          <w:lang w:val="pl-PL"/>
        </w:rPr>
        <w:t xml:space="preserve">, </w:t>
      </w:r>
      <w:r>
        <w:rPr>
          <w:lang w:val="pl-PL"/>
        </w:rPr>
        <w:t>ust.</w:t>
      </w:r>
      <w:r w:rsidRPr="00EF7CB3">
        <w:rPr>
          <w:lang w:val="pl-PL"/>
        </w:rPr>
        <w:t> 7.2 (</w:t>
      </w:r>
      <w:r>
        <w:rPr>
          <w:lang w:val="pl-PL"/>
        </w:rPr>
        <w:t>siedem</w:t>
      </w:r>
      <w:r w:rsidRPr="00EF7CB3">
        <w:rPr>
          <w:lang w:val="pl-PL"/>
        </w:rPr>
        <w:t xml:space="preserve"> </w:t>
      </w:r>
      <w:r>
        <w:rPr>
          <w:lang w:val="pl-PL"/>
        </w:rPr>
        <w:t>dni</w:t>
      </w:r>
      <w:r w:rsidRPr="00EF7CB3">
        <w:rPr>
          <w:lang w:val="pl-PL"/>
        </w:rPr>
        <w:t>).</w:t>
      </w:r>
    </w:p>
  </w:footnote>
  <w:footnote w:id="137">
    <w:p w14:paraId="38A3F116" w14:textId="31E29A89" w:rsidR="00683B29" w:rsidRPr="00EF7CB3" w:rsidRDefault="00683B29" w:rsidP="004E4928">
      <w:pPr>
        <w:pStyle w:val="Tekstprzypisudolnego"/>
        <w:rPr>
          <w:lang w:val="pl-PL"/>
        </w:rPr>
      </w:pPr>
      <w:r w:rsidRPr="00EF7CB3">
        <w:rPr>
          <w:lang w:val="pl-PL"/>
        </w:rPr>
        <w:tab/>
      </w:r>
      <w:r w:rsidRPr="00EF7CB3">
        <w:rPr>
          <w:rStyle w:val="Odwoanieprzypisudolnego"/>
          <w:lang w:val="pl-PL"/>
        </w:rPr>
        <w:footnoteRef/>
      </w:r>
      <w:r w:rsidRPr="00EF7CB3">
        <w:rPr>
          <w:lang w:val="pl-PL"/>
        </w:rPr>
        <w:tab/>
      </w:r>
      <w:r>
        <w:rPr>
          <w:lang w:val="pl-PL"/>
        </w:rPr>
        <w:t>Patrz</w:t>
      </w:r>
      <w:r w:rsidRPr="00EF7CB3">
        <w:rPr>
          <w:lang w:val="pl-PL"/>
        </w:rPr>
        <w:t xml:space="preserve"> </w:t>
      </w:r>
      <w:r>
        <w:rPr>
          <w:lang w:val="pl-PL"/>
        </w:rPr>
        <w:t>Zasady</w:t>
      </w:r>
      <w:r w:rsidRPr="00EF7CB3">
        <w:rPr>
          <w:lang w:val="pl-PL"/>
        </w:rPr>
        <w:t xml:space="preserve"> (</w:t>
      </w:r>
      <w:r>
        <w:rPr>
          <w:lang w:val="pl-PL"/>
        </w:rPr>
        <w:t>przypis</w:t>
      </w:r>
      <w:r w:rsidRPr="00EF7CB3">
        <w:rPr>
          <w:lang w:val="pl-PL"/>
        </w:rPr>
        <w:t xml:space="preserve"> 102 </w:t>
      </w:r>
      <w:r>
        <w:rPr>
          <w:lang w:val="pl-PL"/>
        </w:rPr>
        <w:t>powyżej</w:t>
      </w:r>
      <w:r w:rsidRPr="00EF7CB3">
        <w:rPr>
          <w:lang w:val="pl-PL"/>
        </w:rPr>
        <w:t xml:space="preserve">), </w:t>
      </w:r>
      <w:r>
        <w:rPr>
          <w:lang w:val="pl-PL"/>
        </w:rPr>
        <w:t>zasada</w:t>
      </w:r>
      <w:r w:rsidRPr="00EF7CB3">
        <w:rPr>
          <w:lang w:val="pl-PL"/>
        </w:rPr>
        <w:t xml:space="preserve"> 32, </w:t>
      </w:r>
      <w:r>
        <w:rPr>
          <w:lang w:val="pl-PL"/>
        </w:rPr>
        <w:t>ust.</w:t>
      </w:r>
      <w:r w:rsidRPr="00EF7CB3">
        <w:rPr>
          <w:lang w:val="pl-PL"/>
        </w:rPr>
        <w:t xml:space="preserve"> 2; </w:t>
      </w:r>
      <w:r>
        <w:rPr>
          <w:lang w:val="pl-PL"/>
        </w:rPr>
        <w:t xml:space="preserve">Uwaga ogólna nr </w:t>
      </w:r>
      <w:r w:rsidRPr="00EF7CB3">
        <w:rPr>
          <w:lang w:val="pl-PL"/>
        </w:rPr>
        <w:t xml:space="preserve">29, </w:t>
      </w:r>
      <w:r>
        <w:rPr>
          <w:lang w:val="pl-PL"/>
        </w:rPr>
        <w:t>ust.</w:t>
      </w:r>
      <w:r w:rsidRPr="00EF7CB3">
        <w:rPr>
          <w:lang w:val="pl-PL"/>
        </w:rPr>
        <w:t> 16.</w:t>
      </w:r>
    </w:p>
  </w:footnote>
  <w:footnote w:id="138">
    <w:p w14:paraId="04649DDB" w14:textId="7F03EA58"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1090/2002, </w:t>
      </w:r>
      <w:r w:rsidRPr="00EF7CB3">
        <w:rPr>
          <w:i/>
          <w:lang w:val="pl-PL"/>
        </w:rPr>
        <w:t xml:space="preserve">Rameka </w:t>
      </w:r>
      <w:r w:rsidRPr="00EF7CB3">
        <w:rPr>
          <w:lang w:val="pl-PL"/>
        </w:rPr>
        <w:t>v.</w:t>
      </w:r>
      <w:r w:rsidRPr="00EF7CB3">
        <w:rPr>
          <w:i/>
          <w:lang w:val="pl-PL"/>
        </w:rPr>
        <w:t xml:space="preserve"> New Zealand</w:t>
      </w:r>
      <w:r w:rsidRPr="00EF7CB3">
        <w:rPr>
          <w:lang w:val="pl-PL"/>
        </w:rPr>
        <w:t xml:space="preserve">, </w:t>
      </w:r>
      <w:r>
        <w:rPr>
          <w:lang w:val="pl-PL"/>
        </w:rPr>
        <w:t>ust.</w:t>
      </w:r>
      <w:r w:rsidRPr="00EF7CB3">
        <w:rPr>
          <w:lang w:val="pl-PL"/>
        </w:rPr>
        <w:t> 7.3–7.4.</w:t>
      </w:r>
    </w:p>
  </w:footnote>
  <w:footnote w:id="139">
    <w:p w14:paraId="23088B44" w14:textId="3C295EE9"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Ibid. (</w:t>
      </w:r>
      <w:r>
        <w:rPr>
          <w:lang w:val="pl-PL"/>
        </w:rPr>
        <w:t>roczna kontrola postpenalnego zatrzymania prewencyjnego</w:t>
      </w:r>
      <w:r w:rsidRPr="00EF7CB3">
        <w:rPr>
          <w:lang w:val="pl-PL"/>
        </w:rPr>
        <w:t xml:space="preserve">); 754/1997, </w:t>
      </w:r>
      <w:r w:rsidRPr="00EF7CB3">
        <w:rPr>
          <w:i/>
          <w:lang w:val="pl-PL"/>
        </w:rPr>
        <w:t xml:space="preserve">A. </w:t>
      </w:r>
      <w:r w:rsidRPr="00EF7CB3">
        <w:rPr>
          <w:lang w:val="pl-PL"/>
        </w:rPr>
        <w:t>v.</w:t>
      </w:r>
      <w:r w:rsidRPr="00EF7CB3">
        <w:rPr>
          <w:i/>
          <w:lang w:val="pl-PL"/>
        </w:rPr>
        <w:t xml:space="preserve"> New Zealand</w:t>
      </w:r>
      <w:r w:rsidRPr="00EF7CB3">
        <w:rPr>
          <w:lang w:val="pl-PL"/>
        </w:rPr>
        <w:t xml:space="preserve">, </w:t>
      </w:r>
      <w:r>
        <w:rPr>
          <w:lang w:val="pl-PL"/>
        </w:rPr>
        <w:t>ust.</w:t>
      </w:r>
      <w:r w:rsidRPr="00EF7CB3">
        <w:rPr>
          <w:lang w:val="pl-PL"/>
        </w:rPr>
        <w:t> 7.3 (</w:t>
      </w:r>
      <w:r>
        <w:rPr>
          <w:lang w:val="pl-PL"/>
        </w:rPr>
        <w:t>regurlarna kontrola hospitalizacji</w:t>
      </w:r>
      <w:r w:rsidRPr="00EF7CB3">
        <w:rPr>
          <w:lang w:val="pl-PL"/>
        </w:rPr>
        <w:t xml:space="preserve">); 291/1988, </w:t>
      </w:r>
      <w:r w:rsidRPr="00EF7CB3">
        <w:rPr>
          <w:i/>
          <w:lang w:val="pl-PL"/>
        </w:rPr>
        <w:t>Torres v. Finland</w:t>
      </w:r>
      <w:r w:rsidRPr="00EF7CB3">
        <w:rPr>
          <w:lang w:val="pl-PL"/>
        </w:rPr>
        <w:t xml:space="preserve">, </w:t>
      </w:r>
      <w:r>
        <w:rPr>
          <w:lang w:val="pl-PL"/>
        </w:rPr>
        <w:t>ust.</w:t>
      </w:r>
      <w:r w:rsidRPr="00EF7CB3">
        <w:rPr>
          <w:lang w:val="pl-PL"/>
        </w:rPr>
        <w:t> 7.4 (</w:t>
      </w:r>
      <w:r>
        <w:rPr>
          <w:lang w:val="pl-PL"/>
        </w:rPr>
        <w:t>kontrola zatrzymania na cele ekstradycji co dwa tygodnie</w:t>
      </w:r>
      <w:r w:rsidRPr="00EF7CB3">
        <w:rPr>
          <w:lang w:val="pl-PL"/>
        </w:rPr>
        <w:t>).</w:t>
      </w:r>
    </w:p>
  </w:footnote>
  <w:footnote w:id="140">
    <w:p w14:paraId="19D365BB" w14:textId="3F37FFDB"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1255,1256,1259,1260,1266,1268,1270,1288/2004, </w:t>
      </w:r>
      <w:r w:rsidRPr="00EF7CB3">
        <w:rPr>
          <w:i/>
          <w:lang w:val="pl-PL"/>
        </w:rPr>
        <w:t xml:space="preserve">Shams et al. </w:t>
      </w:r>
      <w:r w:rsidRPr="00EF7CB3">
        <w:rPr>
          <w:lang w:val="pl-PL"/>
        </w:rPr>
        <w:t>v.</w:t>
      </w:r>
      <w:r w:rsidRPr="00EF7CB3">
        <w:rPr>
          <w:i/>
          <w:lang w:val="pl-PL"/>
        </w:rPr>
        <w:t xml:space="preserve"> </w:t>
      </w:r>
      <w:r>
        <w:rPr>
          <w:i/>
          <w:lang w:val="pl-PL"/>
        </w:rPr>
        <w:t>Australia</w:t>
      </w:r>
      <w:r w:rsidRPr="00EF7CB3">
        <w:rPr>
          <w:lang w:val="pl-PL"/>
        </w:rPr>
        <w:t xml:space="preserve">, </w:t>
      </w:r>
      <w:r>
        <w:rPr>
          <w:lang w:val="pl-PL"/>
        </w:rPr>
        <w:t>ust.</w:t>
      </w:r>
      <w:r w:rsidRPr="00EF7CB3">
        <w:rPr>
          <w:lang w:val="pl-PL"/>
        </w:rPr>
        <w:t> 7.3.</w:t>
      </w:r>
    </w:p>
  </w:footnote>
  <w:footnote w:id="141">
    <w:p w14:paraId="5DF268FC" w14:textId="77777777"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Ibid.</w:t>
      </w:r>
    </w:p>
  </w:footnote>
  <w:footnote w:id="142">
    <w:p w14:paraId="37B27246" w14:textId="7B9D6440"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1069/2002, </w:t>
      </w:r>
      <w:r w:rsidRPr="00EF7CB3">
        <w:rPr>
          <w:i/>
          <w:lang w:val="pl-PL"/>
        </w:rPr>
        <w:t xml:space="preserve">Bakhtiyari </w:t>
      </w:r>
      <w:r w:rsidRPr="00EF7CB3">
        <w:rPr>
          <w:lang w:val="pl-PL"/>
        </w:rPr>
        <w:t>v.</w:t>
      </w:r>
      <w:r w:rsidRPr="00EF7CB3">
        <w:rPr>
          <w:i/>
          <w:lang w:val="pl-PL"/>
        </w:rPr>
        <w:t xml:space="preserve"> </w:t>
      </w:r>
      <w:r>
        <w:rPr>
          <w:i/>
          <w:lang w:val="pl-PL"/>
        </w:rPr>
        <w:t>Australia</w:t>
      </w:r>
      <w:r w:rsidRPr="00EF7CB3">
        <w:rPr>
          <w:lang w:val="pl-PL"/>
        </w:rPr>
        <w:t xml:space="preserve">, </w:t>
      </w:r>
      <w:r>
        <w:rPr>
          <w:lang w:val="pl-PL"/>
        </w:rPr>
        <w:t>ust.</w:t>
      </w:r>
      <w:r w:rsidRPr="00EF7CB3">
        <w:rPr>
          <w:lang w:val="pl-PL"/>
        </w:rPr>
        <w:t> 9.5.</w:t>
      </w:r>
    </w:p>
  </w:footnote>
  <w:footnote w:id="143">
    <w:p w14:paraId="53D6C264" w14:textId="22D421E8"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1090/2002, </w:t>
      </w:r>
      <w:r w:rsidRPr="00EF7CB3">
        <w:rPr>
          <w:i/>
          <w:lang w:val="pl-PL"/>
        </w:rPr>
        <w:t xml:space="preserve">Rameka </w:t>
      </w:r>
      <w:r w:rsidRPr="00EF7CB3">
        <w:rPr>
          <w:lang w:val="pl-PL"/>
        </w:rPr>
        <w:t>v.</w:t>
      </w:r>
      <w:r w:rsidRPr="00EF7CB3">
        <w:rPr>
          <w:i/>
          <w:lang w:val="pl-PL"/>
        </w:rPr>
        <w:t xml:space="preserve"> New Zealand</w:t>
      </w:r>
      <w:r w:rsidRPr="00EF7CB3">
        <w:rPr>
          <w:lang w:val="pl-PL"/>
        </w:rPr>
        <w:t xml:space="preserve">, </w:t>
      </w:r>
      <w:r>
        <w:rPr>
          <w:lang w:val="pl-PL"/>
        </w:rPr>
        <w:t>ust.</w:t>
      </w:r>
      <w:r w:rsidRPr="00EF7CB3">
        <w:rPr>
          <w:lang w:val="pl-PL"/>
        </w:rPr>
        <w:t> 7.4 (</w:t>
      </w:r>
      <w:r>
        <w:rPr>
          <w:lang w:val="pl-PL"/>
        </w:rPr>
        <w:t xml:space="preserve">omówienie możliwości Komisji ds. Zwolnień Warunkowych </w:t>
      </w:r>
      <w:r w:rsidRPr="00EF7CB3">
        <w:rPr>
          <w:lang w:val="pl-PL"/>
        </w:rPr>
        <w:t xml:space="preserve"> </w:t>
      </w:r>
      <w:r>
        <w:rPr>
          <w:lang w:val="pl-PL"/>
        </w:rPr>
        <w:t xml:space="preserve">do działania w charakterze sądowym); </w:t>
      </w:r>
      <w:r w:rsidRPr="00EF7CB3">
        <w:rPr>
          <w:lang w:val="pl-PL"/>
        </w:rPr>
        <w:t xml:space="preserve">291/1988, </w:t>
      </w:r>
      <w:r w:rsidRPr="00EF7CB3">
        <w:rPr>
          <w:i/>
          <w:lang w:val="pl-PL"/>
        </w:rPr>
        <w:t xml:space="preserve">Torres </w:t>
      </w:r>
      <w:r w:rsidRPr="00EF7CB3">
        <w:rPr>
          <w:lang w:val="pl-PL"/>
        </w:rPr>
        <w:t>v.</w:t>
      </w:r>
      <w:r w:rsidRPr="00EF7CB3">
        <w:rPr>
          <w:i/>
          <w:lang w:val="pl-PL"/>
        </w:rPr>
        <w:t xml:space="preserve"> Finland</w:t>
      </w:r>
      <w:r w:rsidRPr="00EF7CB3">
        <w:rPr>
          <w:lang w:val="pl-PL"/>
        </w:rPr>
        <w:t xml:space="preserve">, </w:t>
      </w:r>
      <w:r>
        <w:rPr>
          <w:lang w:val="pl-PL"/>
        </w:rPr>
        <w:t>ust.</w:t>
      </w:r>
      <w:r w:rsidRPr="00EF7CB3">
        <w:rPr>
          <w:lang w:val="pl-PL"/>
        </w:rPr>
        <w:t> 7.2 (</w:t>
      </w:r>
      <w:r>
        <w:rPr>
          <w:lang w:val="pl-PL"/>
        </w:rPr>
        <w:t>określający kontrolę Ministra Spraw Wewnętrznych za niedostateczne</w:t>
      </w:r>
      <w:r w:rsidRPr="00EF7CB3">
        <w:rPr>
          <w:lang w:val="pl-PL"/>
        </w:rPr>
        <w:t xml:space="preserve">); 265/1987, </w:t>
      </w:r>
      <w:r w:rsidRPr="00EF7CB3">
        <w:rPr>
          <w:i/>
          <w:lang w:val="pl-PL"/>
        </w:rPr>
        <w:t xml:space="preserve">Vuolanne </w:t>
      </w:r>
      <w:r w:rsidRPr="00EF7CB3">
        <w:rPr>
          <w:lang w:val="pl-PL"/>
        </w:rPr>
        <w:t>v.</w:t>
      </w:r>
      <w:r w:rsidRPr="00EF7CB3">
        <w:rPr>
          <w:i/>
          <w:lang w:val="pl-PL"/>
        </w:rPr>
        <w:t xml:space="preserve"> Finland</w:t>
      </w:r>
      <w:r w:rsidRPr="00EF7CB3">
        <w:rPr>
          <w:lang w:val="pl-PL"/>
        </w:rPr>
        <w:t xml:space="preserve">, </w:t>
      </w:r>
      <w:r>
        <w:rPr>
          <w:lang w:val="pl-PL"/>
        </w:rPr>
        <w:t>ust.</w:t>
      </w:r>
      <w:r w:rsidRPr="00EF7CB3">
        <w:rPr>
          <w:lang w:val="pl-PL"/>
        </w:rPr>
        <w:t> 9.6 (</w:t>
      </w:r>
      <w:r>
        <w:rPr>
          <w:lang w:val="pl-PL"/>
        </w:rPr>
        <w:t>określający kontrolę wyższego stopniem oficera wojskowego za niedostateczną</w:t>
      </w:r>
      <w:r w:rsidRPr="00EF7CB3">
        <w:rPr>
          <w:lang w:val="pl-PL"/>
        </w:rPr>
        <w:t xml:space="preserve">); </w:t>
      </w:r>
      <w:r>
        <w:rPr>
          <w:lang w:val="pl-PL"/>
        </w:rPr>
        <w:t xml:space="preserve">Uwaga ogólna nr </w:t>
      </w:r>
      <w:r w:rsidRPr="00EF7CB3">
        <w:rPr>
          <w:lang w:val="pl-PL"/>
        </w:rPr>
        <w:t xml:space="preserve">32, </w:t>
      </w:r>
      <w:r>
        <w:rPr>
          <w:lang w:val="pl-PL"/>
        </w:rPr>
        <w:t>ust.</w:t>
      </w:r>
      <w:r w:rsidRPr="00EF7CB3">
        <w:rPr>
          <w:lang w:val="pl-PL"/>
        </w:rPr>
        <w:t> 18–22.</w:t>
      </w:r>
    </w:p>
  </w:footnote>
  <w:footnote w:id="144">
    <w:p w14:paraId="70EC63CC" w14:textId="269D64ED"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373/1989, </w:t>
      </w:r>
      <w:r w:rsidRPr="00EF7CB3">
        <w:rPr>
          <w:i/>
          <w:lang w:val="pl-PL"/>
        </w:rPr>
        <w:t xml:space="preserve">Stephens </w:t>
      </w:r>
      <w:r w:rsidRPr="00EF7CB3">
        <w:rPr>
          <w:lang w:val="pl-PL"/>
        </w:rPr>
        <w:t>v.</w:t>
      </w:r>
      <w:r w:rsidRPr="00EF7CB3">
        <w:rPr>
          <w:i/>
          <w:lang w:val="pl-PL"/>
        </w:rPr>
        <w:t xml:space="preserve"> Jamaica</w:t>
      </w:r>
      <w:r w:rsidRPr="00EF7CB3">
        <w:rPr>
          <w:lang w:val="pl-PL"/>
        </w:rPr>
        <w:t xml:space="preserve">, </w:t>
      </w:r>
      <w:r>
        <w:rPr>
          <w:lang w:val="pl-PL"/>
        </w:rPr>
        <w:t>ust.</w:t>
      </w:r>
      <w:r w:rsidRPr="00EF7CB3">
        <w:rPr>
          <w:lang w:val="pl-PL"/>
        </w:rPr>
        <w:t> 9.7.</w:t>
      </w:r>
    </w:p>
  </w:footnote>
  <w:footnote w:id="145">
    <w:p w14:paraId="37BD7169" w14:textId="29D9C678"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R.1/4, </w:t>
      </w:r>
      <w:r w:rsidRPr="00EF7CB3">
        <w:rPr>
          <w:i/>
          <w:iCs/>
          <w:lang w:val="pl-PL"/>
        </w:rPr>
        <w:t xml:space="preserve">Torres Ramírez </w:t>
      </w:r>
      <w:r w:rsidRPr="00EF7CB3">
        <w:rPr>
          <w:lang w:val="pl-PL"/>
        </w:rPr>
        <w:t>v.</w:t>
      </w:r>
      <w:r w:rsidRPr="00EF7CB3">
        <w:rPr>
          <w:i/>
          <w:iCs/>
          <w:lang w:val="pl-PL"/>
        </w:rPr>
        <w:t xml:space="preserve"> Uruguay</w:t>
      </w:r>
      <w:r w:rsidRPr="00EF7CB3">
        <w:rPr>
          <w:lang w:val="pl-PL"/>
        </w:rPr>
        <w:t xml:space="preserve">, </w:t>
      </w:r>
      <w:r>
        <w:rPr>
          <w:lang w:val="pl-PL"/>
        </w:rPr>
        <w:t>ust.</w:t>
      </w:r>
      <w:r w:rsidRPr="00EF7CB3">
        <w:rPr>
          <w:lang w:val="pl-PL"/>
        </w:rPr>
        <w:t xml:space="preserve"> 18; 1449/2006, </w:t>
      </w:r>
      <w:r w:rsidRPr="00EF7CB3">
        <w:rPr>
          <w:i/>
          <w:lang w:val="pl-PL"/>
        </w:rPr>
        <w:t xml:space="preserve">Umarov </w:t>
      </w:r>
      <w:r w:rsidRPr="00EF7CB3">
        <w:rPr>
          <w:lang w:val="pl-PL"/>
        </w:rPr>
        <w:t>v.</w:t>
      </w:r>
      <w:r w:rsidRPr="00EF7CB3">
        <w:rPr>
          <w:i/>
          <w:lang w:val="pl-PL"/>
        </w:rPr>
        <w:t xml:space="preserve"> Uzbekistan</w:t>
      </w:r>
      <w:r w:rsidRPr="00EF7CB3">
        <w:rPr>
          <w:lang w:val="pl-PL"/>
        </w:rPr>
        <w:t xml:space="preserve">, </w:t>
      </w:r>
      <w:r>
        <w:rPr>
          <w:lang w:val="pl-PL"/>
        </w:rPr>
        <w:t>ust.</w:t>
      </w:r>
      <w:r w:rsidRPr="00EF7CB3">
        <w:rPr>
          <w:lang w:val="pl-PL"/>
        </w:rPr>
        <w:t> 8.6.</w:t>
      </w:r>
    </w:p>
  </w:footnote>
  <w:footnote w:id="146">
    <w:p w14:paraId="79B49CFC" w14:textId="68CAB1F1"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R.1/5, </w:t>
      </w:r>
      <w:r w:rsidRPr="00EF7CB3">
        <w:rPr>
          <w:i/>
          <w:iCs/>
          <w:lang w:val="pl-PL"/>
        </w:rPr>
        <w:t xml:space="preserve">Hernández Valentini de Bazzano et al. </w:t>
      </w:r>
      <w:r w:rsidRPr="00EF7CB3">
        <w:rPr>
          <w:lang w:val="pl-PL"/>
        </w:rPr>
        <w:t>v.</w:t>
      </w:r>
      <w:r w:rsidRPr="00EF7CB3">
        <w:rPr>
          <w:i/>
          <w:iCs/>
          <w:lang w:val="pl-PL"/>
        </w:rPr>
        <w:t xml:space="preserve"> Uruguay</w:t>
      </w:r>
      <w:r w:rsidRPr="00EF7CB3">
        <w:rPr>
          <w:lang w:val="pl-PL"/>
        </w:rPr>
        <w:t xml:space="preserve">, </w:t>
      </w:r>
      <w:r>
        <w:rPr>
          <w:lang w:val="pl-PL"/>
        </w:rPr>
        <w:t>ust.</w:t>
      </w:r>
      <w:r w:rsidRPr="00EF7CB3">
        <w:rPr>
          <w:lang w:val="pl-PL"/>
        </w:rPr>
        <w:t xml:space="preserve"> 10; 1751/2008, </w:t>
      </w:r>
      <w:r w:rsidRPr="00EF7CB3">
        <w:rPr>
          <w:i/>
          <w:lang w:val="pl-PL"/>
        </w:rPr>
        <w:t xml:space="preserve">Aboussedra </w:t>
      </w:r>
      <w:r w:rsidRPr="00EF7CB3">
        <w:rPr>
          <w:lang w:val="pl-PL"/>
        </w:rPr>
        <w:t>v.</w:t>
      </w:r>
      <w:r w:rsidRPr="00EF7CB3">
        <w:rPr>
          <w:i/>
          <w:lang w:val="pl-PL"/>
        </w:rPr>
        <w:t xml:space="preserve"> Libyan Arab Jamahiriya</w:t>
      </w:r>
      <w:r w:rsidRPr="00EF7CB3">
        <w:rPr>
          <w:lang w:val="pl-PL"/>
        </w:rPr>
        <w:t xml:space="preserve">, </w:t>
      </w:r>
      <w:r>
        <w:rPr>
          <w:lang w:val="pl-PL"/>
        </w:rPr>
        <w:t>ust.</w:t>
      </w:r>
      <w:r w:rsidRPr="00EF7CB3">
        <w:rPr>
          <w:lang w:val="pl-PL"/>
        </w:rPr>
        <w:t xml:space="preserve"> 7.6; 1061/2002, </w:t>
      </w:r>
      <w:r w:rsidRPr="00EF7CB3">
        <w:rPr>
          <w:i/>
          <w:lang w:val="pl-PL"/>
        </w:rPr>
        <w:t xml:space="preserve">Fijalkowska </w:t>
      </w:r>
      <w:r w:rsidRPr="00EF7CB3">
        <w:rPr>
          <w:lang w:val="pl-PL"/>
        </w:rPr>
        <w:t>v.</w:t>
      </w:r>
      <w:r w:rsidRPr="00EF7CB3">
        <w:rPr>
          <w:i/>
          <w:lang w:val="pl-PL"/>
        </w:rPr>
        <w:t xml:space="preserve"> Poland</w:t>
      </w:r>
      <w:r w:rsidRPr="00EF7CB3">
        <w:rPr>
          <w:lang w:val="pl-PL"/>
        </w:rPr>
        <w:t xml:space="preserve">, </w:t>
      </w:r>
      <w:r>
        <w:rPr>
          <w:lang w:val="pl-PL"/>
        </w:rPr>
        <w:t>ust. 8.4 (zaniechanie Państwa naruszyło prawo pacjenta do zaskarżenia przymusowej hospitalizacji</w:t>
      </w:r>
      <w:r w:rsidRPr="00EF7CB3">
        <w:rPr>
          <w:lang w:val="pl-PL"/>
        </w:rPr>
        <w:t>).</w:t>
      </w:r>
    </w:p>
  </w:footnote>
  <w:footnote w:id="147">
    <w:p w14:paraId="20F77991" w14:textId="38E07CB0"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r>
      <w:r>
        <w:rPr>
          <w:lang w:val="pl-PL"/>
        </w:rPr>
        <w:t>Patrz Zasady</w:t>
      </w:r>
      <w:r w:rsidRPr="00EF7CB3">
        <w:rPr>
          <w:lang w:val="pl-PL"/>
        </w:rPr>
        <w:t xml:space="preserve"> (</w:t>
      </w:r>
      <w:r>
        <w:rPr>
          <w:lang w:val="pl-PL"/>
        </w:rPr>
        <w:t>przypis</w:t>
      </w:r>
      <w:r w:rsidRPr="00EF7CB3">
        <w:rPr>
          <w:lang w:val="pl-PL"/>
        </w:rPr>
        <w:t xml:space="preserve"> 102 </w:t>
      </w:r>
      <w:r>
        <w:rPr>
          <w:lang w:val="pl-PL"/>
        </w:rPr>
        <w:t>powyżej</w:t>
      </w:r>
      <w:r w:rsidRPr="00EF7CB3">
        <w:rPr>
          <w:lang w:val="pl-PL"/>
        </w:rPr>
        <w:t xml:space="preserve">), </w:t>
      </w:r>
      <w:r>
        <w:rPr>
          <w:lang w:val="pl-PL"/>
        </w:rPr>
        <w:t>zasady</w:t>
      </w:r>
      <w:r w:rsidRPr="00EF7CB3">
        <w:rPr>
          <w:lang w:val="pl-PL"/>
        </w:rPr>
        <w:t xml:space="preserve"> 13–14.</w:t>
      </w:r>
    </w:p>
  </w:footnote>
  <w:footnote w:id="148">
    <w:p w14:paraId="50FF79A1" w14:textId="36060E80"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1128/2002, </w:t>
      </w:r>
      <w:r w:rsidRPr="00EF7CB3">
        <w:rPr>
          <w:i/>
          <w:lang w:val="pl-PL"/>
        </w:rPr>
        <w:t xml:space="preserve">Marques de Morais </w:t>
      </w:r>
      <w:r w:rsidRPr="00EF7CB3">
        <w:rPr>
          <w:lang w:val="pl-PL"/>
        </w:rPr>
        <w:t>v.</w:t>
      </w:r>
      <w:r w:rsidRPr="00EF7CB3">
        <w:rPr>
          <w:i/>
          <w:lang w:val="pl-PL"/>
        </w:rPr>
        <w:t xml:space="preserve"> Angola</w:t>
      </w:r>
      <w:r w:rsidRPr="00EF7CB3">
        <w:rPr>
          <w:lang w:val="pl-PL"/>
        </w:rPr>
        <w:t xml:space="preserve">, </w:t>
      </w:r>
      <w:r>
        <w:rPr>
          <w:lang w:val="pl-PL"/>
        </w:rPr>
        <w:t>ust.</w:t>
      </w:r>
      <w:r w:rsidRPr="00EF7CB3">
        <w:rPr>
          <w:lang w:val="pl-PL"/>
        </w:rPr>
        <w:t> 6.5.</w:t>
      </w:r>
    </w:p>
  </w:footnote>
  <w:footnote w:id="149">
    <w:p w14:paraId="73E9FA0A" w14:textId="08BC670B"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291/1988, </w:t>
      </w:r>
      <w:r w:rsidRPr="00EF7CB3">
        <w:rPr>
          <w:i/>
          <w:lang w:val="pl-PL"/>
        </w:rPr>
        <w:t xml:space="preserve">Torres </w:t>
      </w:r>
      <w:r w:rsidRPr="00EF7CB3">
        <w:rPr>
          <w:lang w:val="pl-PL"/>
        </w:rPr>
        <w:t>v.</w:t>
      </w:r>
      <w:r w:rsidRPr="00EF7CB3">
        <w:rPr>
          <w:i/>
          <w:lang w:val="pl-PL"/>
        </w:rPr>
        <w:t xml:space="preserve"> Finland</w:t>
      </w:r>
      <w:r w:rsidRPr="00EF7CB3">
        <w:rPr>
          <w:lang w:val="pl-PL"/>
        </w:rPr>
        <w:t xml:space="preserve">, </w:t>
      </w:r>
      <w:r>
        <w:rPr>
          <w:lang w:val="pl-PL"/>
        </w:rPr>
        <w:t>ust.</w:t>
      </w:r>
      <w:r w:rsidRPr="00EF7CB3">
        <w:rPr>
          <w:lang w:val="pl-PL"/>
        </w:rPr>
        <w:t> 7.3.</w:t>
      </w:r>
    </w:p>
  </w:footnote>
  <w:footnote w:id="150">
    <w:p w14:paraId="722A48B1" w14:textId="5F8E5017"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1051/2002, </w:t>
      </w:r>
      <w:r w:rsidRPr="00EF7CB3">
        <w:rPr>
          <w:i/>
          <w:lang w:val="pl-PL"/>
        </w:rPr>
        <w:t xml:space="preserve">Ahani </w:t>
      </w:r>
      <w:r w:rsidRPr="00EF7CB3">
        <w:rPr>
          <w:lang w:val="pl-PL"/>
        </w:rPr>
        <w:t>v.</w:t>
      </w:r>
      <w:r w:rsidRPr="00EF7CB3">
        <w:rPr>
          <w:i/>
          <w:lang w:val="pl-PL"/>
        </w:rPr>
        <w:t xml:space="preserve"> Canada</w:t>
      </w:r>
      <w:r w:rsidRPr="00EF7CB3">
        <w:rPr>
          <w:lang w:val="pl-PL"/>
        </w:rPr>
        <w:t xml:space="preserve">, </w:t>
      </w:r>
      <w:r>
        <w:rPr>
          <w:lang w:val="pl-PL"/>
        </w:rPr>
        <w:t>ust.</w:t>
      </w:r>
      <w:r w:rsidRPr="00EF7CB3">
        <w:rPr>
          <w:lang w:val="pl-PL"/>
        </w:rPr>
        <w:t> 10.3.</w:t>
      </w:r>
    </w:p>
  </w:footnote>
  <w:footnote w:id="151">
    <w:p w14:paraId="5B33A044" w14:textId="79648D34"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1752/2008, </w:t>
      </w:r>
      <w:r w:rsidRPr="00EF7CB3">
        <w:rPr>
          <w:i/>
          <w:lang w:val="pl-PL"/>
        </w:rPr>
        <w:t xml:space="preserve">J.S. </w:t>
      </w:r>
      <w:r w:rsidRPr="00EF7CB3">
        <w:rPr>
          <w:lang w:val="pl-PL"/>
        </w:rPr>
        <w:t>v.</w:t>
      </w:r>
      <w:r w:rsidRPr="00EF7CB3">
        <w:rPr>
          <w:i/>
          <w:lang w:val="pl-PL"/>
        </w:rPr>
        <w:t xml:space="preserve"> New Zealand</w:t>
      </w:r>
      <w:r w:rsidRPr="00EF7CB3">
        <w:rPr>
          <w:lang w:val="pl-PL"/>
        </w:rPr>
        <w:t xml:space="preserve">, </w:t>
      </w:r>
      <w:r>
        <w:rPr>
          <w:lang w:val="pl-PL"/>
        </w:rPr>
        <w:t>ust.</w:t>
      </w:r>
      <w:r w:rsidRPr="00EF7CB3">
        <w:rPr>
          <w:lang w:val="pl-PL"/>
        </w:rPr>
        <w:t> 6.3–6.4 (</w:t>
      </w:r>
      <w:r>
        <w:rPr>
          <w:lang w:val="pl-PL"/>
        </w:rPr>
        <w:t>uznający okres ośmiu dni w pierwszej instancji, trzech tygodni w drugiej i dwóch miesięcy w trzeciej instancji za wystarczające w tym kontekście</w:t>
      </w:r>
      <w:r w:rsidRPr="00EF7CB3">
        <w:rPr>
          <w:lang w:val="pl-PL"/>
        </w:rPr>
        <w:t>).</w:t>
      </w:r>
    </w:p>
  </w:footnote>
  <w:footnote w:id="152">
    <w:p w14:paraId="6698352E" w14:textId="5B321A9E"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r>
      <w:r>
        <w:rPr>
          <w:lang w:val="pl-PL"/>
        </w:rPr>
        <w:t xml:space="preserve">Uwaga ogólna nr </w:t>
      </w:r>
      <w:r w:rsidRPr="00EF7CB3">
        <w:rPr>
          <w:lang w:val="pl-PL"/>
        </w:rPr>
        <w:t xml:space="preserve">31, </w:t>
      </w:r>
      <w:r>
        <w:rPr>
          <w:lang w:val="pl-PL"/>
        </w:rPr>
        <w:t>ust.</w:t>
      </w:r>
      <w:r w:rsidRPr="00EF7CB3">
        <w:rPr>
          <w:lang w:val="pl-PL"/>
        </w:rPr>
        <w:t xml:space="preserve"> 16 and 18; 238/1987, </w:t>
      </w:r>
      <w:r w:rsidRPr="00EF7CB3">
        <w:rPr>
          <w:i/>
          <w:lang w:val="pl-PL"/>
        </w:rPr>
        <w:t xml:space="preserve">Bolaños </w:t>
      </w:r>
      <w:r w:rsidRPr="00EF7CB3">
        <w:rPr>
          <w:lang w:val="pl-PL"/>
        </w:rPr>
        <w:t>v.</w:t>
      </w:r>
      <w:r w:rsidRPr="00EF7CB3">
        <w:rPr>
          <w:i/>
          <w:lang w:val="pl-PL"/>
        </w:rPr>
        <w:t xml:space="preserve"> Ecuador</w:t>
      </w:r>
      <w:r w:rsidRPr="00EF7CB3">
        <w:rPr>
          <w:lang w:val="pl-PL"/>
        </w:rPr>
        <w:t xml:space="preserve">, </w:t>
      </w:r>
      <w:r>
        <w:rPr>
          <w:lang w:val="pl-PL"/>
        </w:rPr>
        <w:t>ust.</w:t>
      </w:r>
      <w:r w:rsidRPr="00EF7CB3">
        <w:rPr>
          <w:lang w:val="pl-PL"/>
        </w:rPr>
        <w:t xml:space="preserve"> 10; 962/2001, </w:t>
      </w:r>
      <w:r w:rsidRPr="00EF7CB3">
        <w:rPr>
          <w:i/>
          <w:lang w:val="pl-PL"/>
        </w:rPr>
        <w:t xml:space="preserve">Mulezi </w:t>
      </w:r>
      <w:r w:rsidRPr="00EF7CB3">
        <w:rPr>
          <w:lang w:val="pl-PL"/>
        </w:rPr>
        <w:t>v.</w:t>
      </w:r>
      <w:r w:rsidRPr="00EF7CB3">
        <w:rPr>
          <w:i/>
          <w:lang w:val="pl-PL"/>
        </w:rPr>
        <w:t> Democratic Republic of the Congo</w:t>
      </w:r>
      <w:r w:rsidRPr="00EF7CB3">
        <w:rPr>
          <w:lang w:val="pl-PL"/>
        </w:rPr>
        <w:t xml:space="preserve">, </w:t>
      </w:r>
      <w:r>
        <w:rPr>
          <w:lang w:val="pl-PL"/>
        </w:rPr>
        <w:t>ust.</w:t>
      </w:r>
      <w:r w:rsidRPr="00EF7CB3">
        <w:rPr>
          <w:lang w:val="pl-PL"/>
        </w:rPr>
        <w:t> 7.</w:t>
      </w:r>
    </w:p>
  </w:footnote>
  <w:footnote w:id="153">
    <w:p w14:paraId="783D15CD" w14:textId="5F65F148" w:rsidR="00683B29" w:rsidRPr="00EF7CB3" w:rsidRDefault="00683B29" w:rsidP="004E4928">
      <w:pPr>
        <w:pStyle w:val="Tekstprzypisudolnego"/>
        <w:rPr>
          <w:lang w:val="pl-PL"/>
        </w:rPr>
      </w:pPr>
      <w:r w:rsidRPr="00EF7CB3">
        <w:rPr>
          <w:lang w:val="pl-PL"/>
        </w:rPr>
        <w:tab/>
      </w:r>
      <w:r w:rsidRPr="00EF7CB3">
        <w:rPr>
          <w:rStyle w:val="Odwoanieprzypisudolnego"/>
          <w:lang w:val="pl-PL"/>
        </w:rPr>
        <w:footnoteRef/>
      </w:r>
      <w:r w:rsidRPr="00EF7CB3">
        <w:rPr>
          <w:lang w:val="pl-PL"/>
        </w:rPr>
        <w:tab/>
      </w:r>
      <w:r>
        <w:rPr>
          <w:lang w:val="pl-PL"/>
        </w:rPr>
        <w:t>Patrz uwagi końcowe</w:t>
      </w:r>
      <w:r w:rsidRPr="00EF7CB3">
        <w:rPr>
          <w:lang w:val="pl-PL"/>
        </w:rPr>
        <w:t xml:space="preserve">: Cameroon (CCPR/C/CMR/CO/4, 2010), </w:t>
      </w:r>
      <w:r>
        <w:rPr>
          <w:lang w:val="pl-PL"/>
        </w:rPr>
        <w:t>ust.</w:t>
      </w:r>
      <w:r w:rsidRPr="00EF7CB3">
        <w:rPr>
          <w:lang w:val="pl-PL"/>
        </w:rPr>
        <w:t xml:space="preserve"> 19; Guyana (CCPR/C/79/Add.121, 2000), </w:t>
      </w:r>
      <w:r>
        <w:rPr>
          <w:lang w:val="pl-PL"/>
        </w:rPr>
        <w:t>ust.</w:t>
      </w:r>
      <w:r w:rsidRPr="00EF7CB3">
        <w:rPr>
          <w:lang w:val="pl-PL"/>
        </w:rPr>
        <w:t xml:space="preserve"> 15; United States of America (A/50/40, 1995), </w:t>
      </w:r>
      <w:r>
        <w:rPr>
          <w:lang w:val="pl-PL"/>
        </w:rPr>
        <w:t>ust.</w:t>
      </w:r>
      <w:r w:rsidRPr="00EF7CB3">
        <w:rPr>
          <w:lang w:val="pl-PL"/>
        </w:rPr>
        <w:t xml:space="preserve"> 299; Argentina (A/50/40, 1995), </w:t>
      </w:r>
      <w:r>
        <w:rPr>
          <w:lang w:val="pl-PL"/>
        </w:rPr>
        <w:t>ust.</w:t>
      </w:r>
      <w:r w:rsidRPr="00EF7CB3">
        <w:rPr>
          <w:lang w:val="pl-PL"/>
        </w:rPr>
        <w:t xml:space="preserve"> 153; 1885/2009, </w:t>
      </w:r>
      <w:r w:rsidRPr="00EF7CB3">
        <w:rPr>
          <w:i/>
          <w:iCs/>
          <w:lang w:val="pl-PL"/>
        </w:rPr>
        <w:t xml:space="preserve">Horvath </w:t>
      </w:r>
      <w:r w:rsidRPr="00EF7CB3">
        <w:rPr>
          <w:lang w:val="pl-PL"/>
        </w:rPr>
        <w:t xml:space="preserve">v. </w:t>
      </w:r>
      <w:r>
        <w:rPr>
          <w:i/>
          <w:iCs/>
          <w:lang w:val="pl-PL"/>
        </w:rPr>
        <w:t>Australia</w:t>
      </w:r>
      <w:r w:rsidRPr="00EF7CB3">
        <w:rPr>
          <w:lang w:val="pl-PL"/>
        </w:rPr>
        <w:t xml:space="preserve">, </w:t>
      </w:r>
      <w:r>
        <w:rPr>
          <w:lang w:val="pl-PL"/>
        </w:rPr>
        <w:t>ust.</w:t>
      </w:r>
      <w:r w:rsidRPr="00EF7CB3">
        <w:rPr>
          <w:lang w:val="pl-PL"/>
        </w:rPr>
        <w:t> 8.7 (</w:t>
      </w:r>
      <w:r>
        <w:rPr>
          <w:lang w:val="pl-PL"/>
        </w:rPr>
        <w:t>omawiający skuteczność środka</w:t>
      </w:r>
      <w:r w:rsidRPr="00EF7CB3">
        <w:rPr>
          <w:lang w:val="pl-PL"/>
        </w:rPr>
        <w:t xml:space="preserve">); 1432/2005, </w:t>
      </w:r>
      <w:r w:rsidRPr="00EF7CB3">
        <w:rPr>
          <w:i/>
          <w:lang w:val="pl-PL"/>
        </w:rPr>
        <w:t xml:space="preserve">Gunaratna </w:t>
      </w:r>
      <w:r w:rsidRPr="00EF7CB3">
        <w:rPr>
          <w:lang w:val="pl-PL"/>
        </w:rPr>
        <w:t>v.</w:t>
      </w:r>
      <w:r w:rsidRPr="00EF7CB3">
        <w:rPr>
          <w:i/>
          <w:lang w:val="pl-PL"/>
        </w:rPr>
        <w:t xml:space="preserve"> Sri Lanka</w:t>
      </w:r>
      <w:r w:rsidRPr="00EF7CB3">
        <w:rPr>
          <w:lang w:val="pl-PL"/>
        </w:rPr>
        <w:t xml:space="preserve">, </w:t>
      </w:r>
      <w:r>
        <w:rPr>
          <w:lang w:val="pl-PL"/>
        </w:rPr>
        <w:t>ust.</w:t>
      </w:r>
      <w:r w:rsidRPr="00EF7CB3">
        <w:rPr>
          <w:lang w:val="pl-PL"/>
        </w:rPr>
        <w:t xml:space="preserve"> 7.4; </w:t>
      </w:r>
      <w:r>
        <w:rPr>
          <w:lang w:val="pl-PL"/>
        </w:rPr>
        <w:t xml:space="preserve">Uwaga ogólna nr </w:t>
      </w:r>
      <w:r w:rsidRPr="00EF7CB3">
        <w:rPr>
          <w:lang w:val="pl-PL"/>
        </w:rPr>
        <w:t xml:space="preserve">32, </w:t>
      </w:r>
      <w:r>
        <w:rPr>
          <w:lang w:val="pl-PL"/>
        </w:rPr>
        <w:t>ust.</w:t>
      </w:r>
      <w:r w:rsidRPr="00EF7CB3">
        <w:rPr>
          <w:lang w:val="pl-PL"/>
        </w:rPr>
        <w:t> 52 (</w:t>
      </w:r>
      <w:r>
        <w:rPr>
          <w:lang w:val="pl-PL"/>
        </w:rPr>
        <w:t>wymóg odszkodowawczy za niesłuszne skazanie</w:t>
      </w:r>
      <w:r w:rsidRPr="00EF7CB3">
        <w:rPr>
          <w:lang w:val="pl-PL"/>
        </w:rPr>
        <w:t xml:space="preserve">). </w:t>
      </w:r>
    </w:p>
  </w:footnote>
  <w:footnote w:id="154">
    <w:p w14:paraId="5A7A4F7C" w14:textId="54A9CA6C"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414/1990, </w:t>
      </w:r>
      <w:r w:rsidRPr="00EF7CB3">
        <w:rPr>
          <w:i/>
          <w:lang w:val="pl-PL"/>
        </w:rPr>
        <w:t xml:space="preserve">Mika Miha </w:t>
      </w:r>
      <w:r w:rsidRPr="00EF7CB3">
        <w:rPr>
          <w:lang w:val="pl-PL"/>
        </w:rPr>
        <w:t>v.</w:t>
      </w:r>
      <w:r w:rsidRPr="00EF7CB3">
        <w:rPr>
          <w:i/>
          <w:lang w:val="pl-PL"/>
        </w:rPr>
        <w:t xml:space="preserve"> Equatorial Guinea</w:t>
      </w:r>
      <w:r w:rsidRPr="00EF7CB3">
        <w:rPr>
          <w:lang w:val="pl-PL"/>
        </w:rPr>
        <w:t xml:space="preserve">, </w:t>
      </w:r>
      <w:r>
        <w:rPr>
          <w:lang w:val="pl-PL"/>
        </w:rPr>
        <w:t>ust.</w:t>
      </w:r>
      <w:r w:rsidRPr="00EF7CB3">
        <w:rPr>
          <w:lang w:val="pl-PL"/>
        </w:rPr>
        <w:t xml:space="preserve"> 6.5; 962/2001, </w:t>
      </w:r>
      <w:r w:rsidRPr="00EF7CB3">
        <w:rPr>
          <w:i/>
          <w:lang w:val="pl-PL"/>
        </w:rPr>
        <w:t xml:space="preserve">Mulezi </w:t>
      </w:r>
      <w:r w:rsidRPr="00EF7CB3">
        <w:rPr>
          <w:lang w:val="pl-PL"/>
        </w:rPr>
        <w:t>v.</w:t>
      </w:r>
      <w:r w:rsidRPr="00EF7CB3">
        <w:rPr>
          <w:i/>
          <w:lang w:val="pl-PL"/>
        </w:rPr>
        <w:t xml:space="preserve"> Democratic Republic of the Congo</w:t>
      </w:r>
      <w:r w:rsidRPr="00EF7CB3">
        <w:rPr>
          <w:lang w:val="pl-PL"/>
        </w:rPr>
        <w:t xml:space="preserve">, </w:t>
      </w:r>
      <w:r>
        <w:rPr>
          <w:lang w:val="pl-PL"/>
        </w:rPr>
        <w:t>ust.</w:t>
      </w:r>
      <w:r w:rsidRPr="00EF7CB3">
        <w:rPr>
          <w:lang w:val="pl-PL"/>
        </w:rPr>
        <w:t> 5.2.</w:t>
      </w:r>
    </w:p>
  </w:footnote>
  <w:footnote w:id="155">
    <w:p w14:paraId="2148252F" w14:textId="60DF0B7A"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754/1997, </w:t>
      </w:r>
      <w:r w:rsidRPr="00EF7CB3">
        <w:rPr>
          <w:i/>
          <w:lang w:val="pl-PL"/>
        </w:rPr>
        <w:t xml:space="preserve">A. </w:t>
      </w:r>
      <w:r w:rsidRPr="00EF7CB3">
        <w:rPr>
          <w:lang w:val="pl-PL"/>
        </w:rPr>
        <w:t>v.</w:t>
      </w:r>
      <w:r w:rsidRPr="00EF7CB3">
        <w:rPr>
          <w:i/>
          <w:lang w:val="pl-PL"/>
        </w:rPr>
        <w:t xml:space="preserve"> New Zealand</w:t>
      </w:r>
      <w:r w:rsidRPr="00EF7CB3">
        <w:rPr>
          <w:lang w:val="pl-PL"/>
        </w:rPr>
        <w:t xml:space="preserve">, </w:t>
      </w:r>
      <w:r>
        <w:rPr>
          <w:lang w:val="pl-PL"/>
        </w:rPr>
        <w:t>ust.</w:t>
      </w:r>
      <w:r w:rsidRPr="00EF7CB3">
        <w:rPr>
          <w:lang w:val="pl-PL"/>
        </w:rPr>
        <w:t xml:space="preserve"> 6.7 and 7.4; 188/1984, </w:t>
      </w:r>
      <w:r w:rsidRPr="00EF7CB3">
        <w:rPr>
          <w:i/>
          <w:lang w:val="pl-PL"/>
        </w:rPr>
        <w:t xml:space="preserve">Martínez Portorreal </w:t>
      </w:r>
      <w:r w:rsidRPr="00EF7CB3">
        <w:rPr>
          <w:lang w:val="pl-PL"/>
        </w:rPr>
        <w:t>v.</w:t>
      </w:r>
      <w:r w:rsidRPr="00EF7CB3">
        <w:rPr>
          <w:i/>
          <w:lang w:val="pl-PL"/>
        </w:rPr>
        <w:t xml:space="preserve"> Dominican Republic</w:t>
      </w:r>
      <w:r w:rsidRPr="00EF7CB3">
        <w:rPr>
          <w:lang w:val="pl-PL"/>
        </w:rPr>
        <w:t xml:space="preserve">, </w:t>
      </w:r>
      <w:r>
        <w:rPr>
          <w:lang w:val="pl-PL"/>
        </w:rPr>
        <w:t>ust.</w:t>
      </w:r>
      <w:r w:rsidRPr="00EF7CB3">
        <w:rPr>
          <w:lang w:val="pl-PL"/>
        </w:rPr>
        <w:t xml:space="preserve"> 11; 962/2001, </w:t>
      </w:r>
      <w:r w:rsidRPr="00EF7CB3">
        <w:rPr>
          <w:i/>
          <w:lang w:val="pl-PL"/>
        </w:rPr>
        <w:t xml:space="preserve">Mulezi </w:t>
      </w:r>
      <w:r w:rsidRPr="00EF7CB3">
        <w:rPr>
          <w:lang w:val="pl-PL"/>
        </w:rPr>
        <w:t>v.</w:t>
      </w:r>
      <w:r w:rsidRPr="00EF7CB3">
        <w:rPr>
          <w:i/>
          <w:lang w:val="pl-PL"/>
        </w:rPr>
        <w:t xml:space="preserve"> Democratic Republic of the Congo</w:t>
      </w:r>
      <w:r w:rsidRPr="00EF7CB3">
        <w:rPr>
          <w:lang w:val="pl-PL"/>
        </w:rPr>
        <w:t xml:space="preserve">, </w:t>
      </w:r>
      <w:r>
        <w:rPr>
          <w:lang w:val="pl-PL"/>
        </w:rPr>
        <w:t>ust.</w:t>
      </w:r>
      <w:r w:rsidRPr="00EF7CB3">
        <w:rPr>
          <w:lang w:val="pl-PL"/>
        </w:rPr>
        <w:t> 5.2.</w:t>
      </w:r>
    </w:p>
  </w:footnote>
  <w:footnote w:id="156">
    <w:p w14:paraId="67C74D72" w14:textId="33BD81CD"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1128/2002, </w:t>
      </w:r>
      <w:r w:rsidRPr="00EF7CB3">
        <w:rPr>
          <w:i/>
          <w:lang w:val="pl-PL"/>
        </w:rPr>
        <w:t xml:space="preserve">Marques de Morais </w:t>
      </w:r>
      <w:r w:rsidRPr="00EF7CB3">
        <w:rPr>
          <w:lang w:val="pl-PL"/>
        </w:rPr>
        <w:t>v.</w:t>
      </w:r>
      <w:r w:rsidRPr="00EF7CB3">
        <w:rPr>
          <w:i/>
          <w:lang w:val="pl-PL"/>
        </w:rPr>
        <w:t xml:space="preserve"> Angola</w:t>
      </w:r>
      <w:r w:rsidRPr="00EF7CB3">
        <w:rPr>
          <w:lang w:val="pl-PL"/>
        </w:rPr>
        <w:t xml:space="preserve">, </w:t>
      </w:r>
      <w:r>
        <w:rPr>
          <w:lang w:val="pl-PL"/>
        </w:rPr>
        <w:t>ust.</w:t>
      </w:r>
      <w:r w:rsidRPr="00EF7CB3">
        <w:rPr>
          <w:lang w:val="pl-PL"/>
        </w:rPr>
        <w:t xml:space="preserve"> 6.6; see also 328/1988, </w:t>
      </w:r>
      <w:r w:rsidRPr="00EF7CB3">
        <w:rPr>
          <w:i/>
          <w:lang w:val="pl-PL"/>
        </w:rPr>
        <w:t xml:space="preserve">Zelaya Blanco </w:t>
      </w:r>
      <w:r w:rsidRPr="00EF7CB3">
        <w:rPr>
          <w:lang w:val="pl-PL"/>
        </w:rPr>
        <w:t>v.</w:t>
      </w:r>
      <w:r w:rsidRPr="00EF7CB3">
        <w:rPr>
          <w:i/>
          <w:lang w:val="pl-PL"/>
        </w:rPr>
        <w:t xml:space="preserve"> Nicaragua</w:t>
      </w:r>
      <w:r w:rsidRPr="00EF7CB3">
        <w:rPr>
          <w:lang w:val="pl-PL"/>
        </w:rPr>
        <w:t xml:space="preserve">, </w:t>
      </w:r>
      <w:r>
        <w:rPr>
          <w:lang w:val="pl-PL"/>
        </w:rPr>
        <w:t>ust.</w:t>
      </w:r>
      <w:r w:rsidRPr="00EF7CB3">
        <w:rPr>
          <w:lang w:val="pl-PL"/>
        </w:rPr>
        <w:t> 10.3 (</w:t>
      </w:r>
      <w:r>
        <w:rPr>
          <w:lang w:val="pl-PL"/>
        </w:rPr>
        <w:t>samowolne zatrzymanie</w:t>
      </w:r>
      <w:r w:rsidRPr="00EF7CB3">
        <w:rPr>
          <w:lang w:val="pl-PL"/>
        </w:rPr>
        <w:t xml:space="preserve">); 728/1996, </w:t>
      </w:r>
      <w:r w:rsidRPr="00EF7CB3">
        <w:rPr>
          <w:i/>
          <w:lang w:val="pl-PL"/>
        </w:rPr>
        <w:t xml:space="preserve">Sahadeo </w:t>
      </w:r>
      <w:r w:rsidRPr="00EF7CB3">
        <w:rPr>
          <w:lang w:val="pl-PL"/>
        </w:rPr>
        <w:t>v.</w:t>
      </w:r>
      <w:r w:rsidRPr="00EF7CB3">
        <w:rPr>
          <w:i/>
          <w:lang w:val="pl-PL"/>
        </w:rPr>
        <w:t xml:space="preserve"> Guyana</w:t>
      </w:r>
      <w:r w:rsidRPr="00EF7CB3">
        <w:rPr>
          <w:lang w:val="pl-PL"/>
        </w:rPr>
        <w:t xml:space="preserve">, </w:t>
      </w:r>
      <w:r>
        <w:rPr>
          <w:lang w:val="pl-PL"/>
        </w:rPr>
        <w:t>ust.</w:t>
      </w:r>
      <w:r w:rsidRPr="00EF7CB3">
        <w:rPr>
          <w:lang w:val="pl-PL"/>
        </w:rPr>
        <w:t> 11 (</w:t>
      </w:r>
      <w:r>
        <w:rPr>
          <w:lang w:val="pl-PL"/>
        </w:rPr>
        <w:t>naruszenie</w:t>
      </w:r>
      <w:r w:rsidRPr="00EF7CB3">
        <w:rPr>
          <w:lang w:val="pl-PL"/>
        </w:rPr>
        <w:t xml:space="preserve"> </w:t>
      </w:r>
      <w:r>
        <w:rPr>
          <w:lang w:val="pl-PL"/>
        </w:rPr>
        <w:t>artykułu</w:t>
      </w:r>
      <w:r w:rsidRPr="00EF7CB3">
        <w:rPr>
          <w:lang w:val="pl-PL"/>
        </w:rPr>
        <w:t xml:space="preserve"> 9, </w:t>
      </w:r>
      <w:r>
        <w:rPr>
          <w:lang w:val="pl-PL"/>
        </w:rPr>
        <w:t>ust.</w:t>
      </w:r>
      <w:r w:rsidRPr="00EF7CB3">
        <w:rPr>
          <w:lang w:val="pl-PL"/>
        </w:rPr>
        <w:t xml:space="preserve"> 3); R.2/9, </w:t>
      </w:r>
      <w:r w:rsidRPr="00EF7CB3">
        <w:rPr>
          <w:i/>
          <w:iCs/>
          <w:lang w:val="pl-PL"/>
        </w:rPr>
        <w:t xml:space="preserve">Santullo Valcada </w:t>
      </w:r>
      <w:r w:rsidRPr="00EF7CB3">
        <w:rPr>
          <w:lang w:val="pl-PL"/>
        </w:rPr>
        <w:t>v.</w:t>
      </w:r>
      <w:r w:rsidRPr="00EF7CB3">
        <w:rPr>
          <w:i/>
          <w:iCs/>
          <w:lang w:val="pl-PL"/>
        </w:rPr>
        <w:t xml:space="preserve"> Uruguay</w:t>
      </w:r>
      <w:r w:rsidRPr="00EF7CB3">
        <w:rPr>
          <w:lang w:val="pl-PL"/>
        </w:rPr>
        <w:t xml:space="preserve">, </w:t>
      </w:r>
      <w:r>
        <w:rPr>
          <w:lang w:val="pl-PL"/>
        </w:rPr>
        <w:t>ust.</w:t>
      </w:r>
      <w:r w:rsidRPr="00EF7CB3">
        <w:rPr>
          <w:lang w:val="pl-PL"/>
        </w:rPr>
        <w:t> 12 (</w:t>
      </w:r>
      <w:r>
        <w:rPr>
          <w:lang w:val="pl-PL"/>
        </w:rPr>
        <w:t>naruszenie</w:t>
      </w:r>
      <w:r w:rsidRPr="00EF7CB3">
        <w:rPr>
          <w:lang w:val="pl-PL"/>
        </w:rPr>
        <w:t xml:space="preserve"> art. 9, </w:t>
      </w:r>
      <w:r>
        <w:rPr>
          <w:lang w:val="pl-PL"/>
        </w:rPr>
        <w:t>ust.</w:t>
      </w:r>
      <w:r w:rsidRPr="00EF7CB3">
        <w:rPr>
          <w:lang w:val="pl-PL"/>
        </w:rPr>
        <w:t xml:space="preserve"> 4).</w:t>
      </w:r>
    </w:p>
  </w:footnote>
  <w:footnote w:id="157">
    <w:p w14:paraId="63F2F24B" w14:textId="44B9CE58"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432/1990, </w:t>
      </w:r>
      <w:r w:rsidRPr="00EF7CB3">
        <w:rPr>
          <w:i/>
          <w:lang w:val="pl-PL"/>
        </w:rPr>
        <w:t xml:space="preserve">W.B.E. </w:t>
      </w:r>
      <w:r w:rsidRPr="00EF7CB3">
        <w:rPr>
          <w:lang w:val="pl-PL"/>
        </w:rPr>
        <w:t>v.</w:t>
      </w:r>
      <w:r w:rsidRPr="00EF7CB3">
        <w:rPr>
          <w:i/>
          <w:lang w:val="pl-PL"/>
        </w:rPr>
        <w:t xml:space="preserve"> Netherlands</w:t>
      </w:r>
      <w:r w:rsidRPr="00EF7CB3">
        <w:rPr>
          <w:lang w:val="pl-PL"/>
        </w:rPr>
        <w:t xml:space="preserve">, </w:t>
      </w:r>
      <w:r>
        <w:rPr>
          <w:lang w:val="pl-PL"/>
        </w:rPr>
        <w:t>ust.</w:t>
      </w:r>
      <w:r w:rsidRPr="00EF7CB3">
        <w:rPr>
          <w:lang w:val="pl-PL"/>
        </w:rPr>
        <w:t xml:space="preserve"> 6.5; 963/2001, </w:t>
      </w:r>
      <w:r w:rsidRPr="00EF7CB3">
        <w:rPr>
          <w:i/>
          <w:lang w:val="pl-PL"/>
        </w:rPr>
        <w:t xml:space="preserve">Uebergang </w:t>
      </w:r>
      <w:r w:rsidRPr="00EF7CB3">
        <w:rPr>
          <w:lang w:val="pl-PL"/>
        </w:rPr>
        <w:t>v.</w:t>
      </w:r>
      <w:r w:rsidRPr="00EF7CB3">
        <w:rPr>
          <w:i/>
          <w:lang w:val="pl-PL"/>
        </w:rPr>
        <w:t xml:space="preserve"> </w:t>
      </w:r>
      <w:r>
        <w:rPr>
          <w:i/>
          <w:iCs/>
          <w:lang w:val="pl-PL"/>
        </w:rPr>
        <w:t>Australia</w:t>
      </w:r>
      <w:r w:rsidRPr="00EF7CB3">
        <w:rPr>
          <w:lang w:val="pl-PL"/>
        </w:rPr>
        <w:t xml:space="preserve">, </w:t>
      </w:r>
      <w:r>
        <w:rPr>
          <w:lang w:val="pl-PL"/>
        </w:rPr>
        <w:t>ust.</w:t>
      </w:r>
      <w:r w:rsidRPr="00EF7CB3">
        <w:rPr>
          <w:lang w:val="pl-PL"/>
        </w:rPr>
        <w:t> 4.4.</w:t>
      </w:r>
    </w:p>
  </w:footnote>
  <w:footnote w:id="158">
    <w:p w14:paraId="7A4605F4" w14:textId="24F8A4FF"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1157/2003, </w:t>
      </w:r>
      <w:r w:rsidRPr="00EF7CB3">
        <w:rPr>
          <w:i/>
          <w:lang w:val="pl-PL"/>
        </w:rPr>
        <w:t xml:space="preserve">Coleman </w:t>
      </w:r>
      <w:r w:rsidRPr="00EF7CB3">
        <w:rPr>
          <w:lang w:val="pl-PL"/>
        </w:rPr>
        <w:t>v.</w:t>
      </w:r>
      <w:r w:rsidRPr="00EF7CB3">
        <w:rPr>
          <w:i/>
          <w:lang w:val="pl-PL"/>
        </w:rPr>
        <w:t xml:space="preserve"> </w:t>
      </w:r>
      <w:r>
        <w:rPr>
          <w:i/>
          <w:lang w:val="pl-PL"/>
        </w:rPr>
        <w:t>Australia</w:t>
      </w:r>
      <w:r w:rsidRPr="00EF7CB3">
        <w:rPr>
          <w:lang w:val="pl-PL"/>
        </w:rPr>
        <w:t xml:space="preserve">, </w:t>
      </w:r>
      <w:r>
        <w:rPr>
          <w:lang w:val="pl-PL"/>
        </w:rPr>
        <w:t>ust.</w:t>
      </w:r>
      <w:r w:rsidRPr="00EF7CB3">
        <w:rPr>
          <w:lang w:val="pl-PL"/>
        </w:rPr>
        <w:t> 6.3.</w:t>
      </w:r>
    </w:p>
  </w:footnote>
  <w:footnote w:id="159">
    <w:p w14:paraId="6B5F5241" w14:textId="2EEB6B1E"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Ibid., </w:t>
      </w:r>
      <w:r>
        <w:rPr>
          <w:lang w:val="pl-PL"/>
        </w:rPr>
        <w:t>ust.</w:t>
      </w:r>
      <w:r w:rsidRPr="00EF7CB3">
        <w:rPr>
          <w:lang w:val="pl-PL"/>
        </w:rPr>
        <w:t xml:space="preserve"> 9; 1128/2002, </w:t>
      </w:r>
      <w:r w:rsidRPr="00EF7CB3">
        <w:rPr>
          <w:i/>
          <w:lang w:val="pl-PL"/>
        </w:rPr>
        <w:t xml:space="preserve">Marques de Morais </w:t>
      </w:r>
      <w:r w:rsidRPr="00EF7CB3">
        <w:rPr>
          <w:lang w:val="pl-PL"/>
        </w:rPr>
        <w:t>v.</w:t>
      </w:r>
      <w:r w:rsidRPr="00EF7CB3">
        <w:rPr>
          <w:i/>
          <w:lang w:val="pl-PL"/>
        </w:rPr>
        <w:t xml:space="preserve"> Angola</w:t>
      </w:r>
      <w:r w:rsidRPr="00EF7CB3">
        <w:rPr>
          <w:lang w:val="pl-PL"/>
        </w:rPr>
        <w:t xml:space="preserve">, </w:t>
      </w:r>
      <w:r>
        <w:rPr>
          <w:lang w:val="pl-PL"/>
        </w:rPr>
        <w:t>ust.</w:t>
      </w:r>
      <w:r w:rsidRPr="00EF7CB3">
        <w:rPr>
          <w:lang w:val="pl-PL"/>
        </w:rPr>
        <w:t xml:space="preserve"> 8; </w:t>
      </w:r>
      <w:r>
        <w:rPr>
          <w:lang w:val="pl-PL"/>
        </w:rPr>
        <w:t xml:space="preserve">Uwaga ogólna nr </w:t>
      </w:r>
      <w:r w:rsidRPr="00EF7CB3">
        <w:rPr>
          <w:lang w:val="pl-PL"/>
        </w:rPr>
        <w:t xml:space="preserve">31, </w:t>
      </w:r>
      <w:r>
        <w:rPr>
          <w:lang w:val="pl-PL"/>
        </w:rPr>
        <w:t>ust.</w:t>
      </w:r>
      <w:r w:rsidRPr="00EF7CB3">
        <w:rPr>
          <w:lang w:val="pl-PL"/>
        </w:rPr>
        <w:t xml:space="preserve"> 16. </w:t>
      </w:r>
    </w:p>
  </w:footnote>
  <w:footnote w:id="160">
    <w:p w14:paraId="42E3881E" w14:textId="1F66DE6D"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r>
      <w:r>
        <w:rPr>
          <w:lang w:val="pl-PL"/>
        </w:rPr>
        <w:t xml:space="preserve">Patrz też punkt </w:t>
      </w:r>
      <w:r w:rsidRPr="00EF7CB3">
        <w:rPr>
          <w:lang w:val="pl-PL"/>
        </w:rPr>
        <w:t xml:space="preserve">17 </w:t>
      </w:r>
      <w:r>
        <w:rPr>
          <w:lang w:val="pl-PL"/>
        </w:rPr>
        <w:t>powyżej</w:t>
      </w:r>
      <w:r w:rsidRPr="00EF7CB3">
        <w:rPr>
          <w:lang w:val="pl-PL"/>
        </w:rPr>
        <w:t>.</w:t>
      </w:r>
    </w:p>
  </w:footnote>
  <w:footnote w:id="161">
    <w:p w14:paraId="2DE9AE28" w14:textId="4ED54517"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r>
      <w:r>
        <w:rPr>
          <w:lang w:val="pl-PL"/>
        </w:rPr>
        <w:t xml:space="preserve">Uwaga ogólna nr </w:t>
      </w:r>
      <w:r w:rsidRPr="00EF7CB3">
        <w:rPr>
          <w:lang w:val="pl-PL"/>
        </w:rPr>
        <w:t xml:space="preserve">33, </w:t>
      </w:r>
      <w:r>
        <w:rPr>
          <w:lang w:val="pl-PL"/>
        </w:rPr>
        <w:t>ust.</w:t>
      </w:r>
      <w:r w:rsidRPr="00EF7CB3">
        <w:rPr>
          <w:lang w:val="pl-PL"/>
        </w:rPr>
        <w:t xml:space="preserve"> 4; 241 </w:t>
      </w:r>
      <w:r>
        <w:rPr>
          <w:lang w:val="pl-PL"/>
        </w:rPr>
        <w:t>oraz</w:t>
      </w:r>
      <w:r w:rsidRPr="00EF7CB3">
        <w:rPr>
          <w:lang w:val="pl-PL"/>
        </w:rPr>
        <w:t xml:space="preserve"> 242/1987, </w:t>
      </w:r>
      <w:r w:rsidRPr="00EF7CB3">
        <w:rPr>
          <w:i/>
          <w:lang w:val="pl-PL"/>
        </w:rPr>
        <w:t>Birindwa ci Birhashwirwa and</w:t>
      </w:r>
      <w:r w:rsidRPr="00EF7CB3">
        <w:rPr>
          <w:lang w:val="pl-PL"/>
        </w:rPr>
        <w:t xml:space="preserve"> </w:t>
      </w:r>
      <w:r w:rsidRPr="00EF7CB3">
        <w:rPr>
          <w:i/>
          <w:lang w:val="pl-PL"/>
        </w:rPr>
        <w:t xml:space="preserve">Tshisekedi wa Mulumba </w:t>
      </w:r>
      <w:r w:rsidRPr="00EF7CB3">
        <w:rPr>
          <w:lang w:val="pl-PL"/>
        </w:rPr>
        <w:t>v.</w:t>
      </w:r>
      <w:r w:rsidRPr="00EF7CB3">
        <w:rPr>
          <w:i/>
          <w:lang w:val="pl-PL"/>
        </w:rPr>
        <w:t xml:space="preserve"> Zaire</w:t>
      </w:r>
      <w:r w:rsidRPr="00EF7CB3">
        <w:rPr>
          <w:lang w:val="pl-PL"/>
        </w:rPr>
        <w:t xml:space="preserve">, </w:t>
      </w:r>
      <w:r>
        <w:rPr>
          <w:lang w:val="pl-PL"/>
        </w:rPr>
        <w:t>ust.</w:t>
      </w:r>
      <w:r w:rsidRPr="00EF7CB3">
        <w:rPr>
          <w:lang w:val="pl-PL"/>
        </w:rPr>
        <w:t xml:space="preserve"> 12.5; </w:t>
      </w:r>
      <w:r>
        <w:rPr>
          <w:lang w:val="pl-PL"/>
        </w:rPr>
        <w:t>patrz uwagi końcowe</w:t>
      </w:r>
      <w:r w:rsidRPr="00EF7CB3">
        <w:rPr>
          <w:lang w:val="pl-PL"/>
        </w:rPr>
        <w:t xml:space="preserve">: Maldives (CCPR/C/MDV/CO/1, 2012), </w:t>
      </w:r>
      <w:r>
        <w:rPr>
          <w:lang w:val="pl-PL"/>
        </w:rPr>
        <w:t>ust.</w:t>
      </w:r>
      <w:r w:rsidRPr="00EF7CB3">
        <w:rPr>
          <w:lang w:val="pl-PL"/>
        </w:rPr>
        <w:t> 26.</w:t>
      </w:r>
    </w:p>
  </w:footnote>
  <w:footnote w:id="162">
    <w:p w14:paraId="78CB0467" w14:textId="0505F169"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449/1991, </w:t>
      </w:r>
      <w:r w:rsidRPr="00EF7CB3">
        <w:rPr>
          <w:i/>
          <w:lang w:val="pl-PL"/>
        </w:rPr>
        <w:t xml:space="preserve">Mojica </w:t>
      </w:r>
      <w:r w:rsidRPr="00EF7CB3">
        <w:rPr>
          <w:lang w:val="pl-PL"/>
        </w:rPr>
        <w:t>v.</w:t>
      </w:r>
      <w:r w:rsidRPr="00EF7CB3">
        <w:rPr>
          <w:i/>
          <w:lang w:val="pl-PL"/>
        </w:rPr>
        <w:t xml:space="preserve"> Dominican Republic</w:t>
      </w:r>
      <w:r w:rsidRPr="00EF7CB3">
        <w:rPr>
          <w:lang w:val="pl-PL"/>
        </w:rPr>
        <w:t xml:space="preserve">, </w:t>
      </w:r>
      <w:r>
        <w:rPr>
          <w:lang w:val="pl-PL"/>
        </w:rPr>
        <w:t>ust.</w:t>
      </w:r>
      <w:r w:rsidRPr="00EF7CB3">
        <w:rPr>
          <w:lang w:val="pl-PL"/>
        </w:rPr>
        <w:t xml:space="preserve"> 5.4; 1753/2008, </w:t>
      </w:r>
      <w:r w:rsidRPr="00EF7CB3">
        <w:rPr>
          <w:i/>
          <w:lang w:val="pl-PL"/>
        </w:rPr>
        <w:t xml:space="preserve">Guezout et al. </w:t>
      </w:r>
      <w:r w:rsidRPr="00EF7CB3">
        <w:rPr>
          <w:lang w:val="pl-PL"/>
        </w:rPr>
        <w:t>v.</w:t>
      </w:r>
      <w:r w:rsidRPr="00EF7CB3">
        <w:rPr>
          <w:i/>
          <w:lang w:val="pl-PL"/>
        </w:rPr>
        <w:t xml:space="preserve"> Algeria</w:t>
      </w:r>
      <w:r w:rsidRPr="00EF7CB3">
        <w:rPr>
          <w:lang w:val="pl-PL"/>
        </w:rPr>
        <w:t xml:space="preserve">, </w:t>
      </w:r>
      <w:r>
        <w:rPr>
          <w:lang w:val="pl-PL"/>
        </w:rPr>
        <w:t>ust.</w:t>
      </w:r>
      <w:r w:rsidRPr="00EF7CB3">
        <w:rPr>
          <w:lang w:val="pl-PL"/>
        </w:rPr>
        <w:t xml:space="preserve"> 8.4 </w:t>
      </w:r>
      <w:r>
        <w:rPr>
          <w:lang w:val="pl-PL"/>
        </w:rPr>
        <w:t>oraz</w:t>
      </w:r>
      <w:r w:rsidRPr="00EF7CB3">
        <w:rPr>
          <w:lang w:val="pl-PL"/>
        </w:rPr>
        <w:t xml:space="preserve"> 8.7.</w:t>
      </w:r>
    </w:p>
  </w:footnote>
  <w:footnote w:id="163">
    <w:p w14:paraId="1F74D563" w14:textId="5D3971BE"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1782/2008, </w:t>
      </w:r>
      <w:r w:rsidRPr="00EF7CB3">
        <w:rPr>
          <w:i/>
          <w:lang w:val="pl-PL"/>
        </w:rPr>
        <w:t xml:space="preserve">Aboufaied </w:t>
      </w:r>
      <w:r w:rsidRPr="00EF7CB3">
        <w:rPr>
          <w:lang w:val="pl-PL"/>
        </w:rPr>
        <w:t>v.</w:t>
      </w:r>
      <w:r w:rsidRPr="00EF7CB3">
        <w:rPr>
          <w:i/>
          <w:lang w:val="pl-PL"/>
        </w:rPr>
        <w:t xml:space="preserve"> Libya</w:t>
      </w:r>
      <w:r w:rsidRPr="00EF7CB3">
        <w:rPr>
          <w:lang w:val="pl-PL"/>
        </w:rPr>
        <w:t xml:space="preserve">, </w:t>
      </w:r>
      <w:r>
        <w:rPr>
          <w:lang w:val="pl-PL"/>
        </w:rPr>
        <w:t>ust.</w:t>
      </w:r>
      <w:r w:rsidRPr="00EF7CB3">
        <w:rPr>
          <w:lang w:val="pl-PL"/>
        </w:rPr>
        <w:t xml:space="preserve"> 7.4 </w:t>
      </w:r>
      <w:r>
        <w:rPr>
          <w:lang w:val="pl-PL"/>
        </w:rPr>
        <w:t>oraz</w:t>
      </w:r>
      <w:r w:rsidRPr="00EF7CB3">
        <w:rPr>
          <w:lang w:val="pl-PL"/>
        </w:rPr>
        <w:t xml:space="preserve"> 7.6; 440/1990, </w:t>
      </w:r>
      <w:r w:rsidRPr="00EF7CB3">
        <w:rPr>
          <w:i/>
          <w:lang w:val="pl-PL"/>
        </w:rPr>
        <w:t xml:space="preserve">El-Megreisi </w:t>
      </w:r>
      <w:r w:rsidRPr="00EF7CB3">
        <w:rPr>
          <w:lang w:val="pl-PL"/>
        </w:rPr>
        <w:t xml:space="preserve">v. </w:t>
      </w:r>
      <w:r w:rsidRPr="00EF7CB3">
        <w:rPr>
          <w:i/>
          <w:lang w:val="pl-PL"/>
        </w:rPr>
        <w:t>Libyan Arab Jamahiriya</w:t>
      </w:r>
      <w:r w:rsidRPr="00EF7CB3">
        <w:rPr>
          <w:lang w:val="pl-PL"/>
        </w:rPr>
        <w:t xml:space="preserve">, </w:t>
      </w:r>
      <w:r>
        <w:rPr>
          <w:lang w:val="pl-PL"/>
        </w:rPr>
        <w:t>ust.</w:t>
      </w:r>
      <w:r w:rsidRPr="00EF7CB3">
        <w:rPr>
          <w:lang w:val="pl-PL"/>
        </w:rPr>
        <w:t> 5.4.</w:t>
      </w:r>
    </w:p>
  </w:footnote>
  <w:footnote w:id="164">
    <w:p w14:paraId="602AF514" w14:textId="7CB4B63C"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r>
      <w:r>
        <w:rPr>
          <w:lang w:val="pl-PL"/>
        </w:rPr>
        <w:t xml:space="preserve">Uwaga ogólna nr </w:t>
      </w:r>
      <w:r w:rsidRPr="00EF7CB3">
        <w:rPr>
          <w:lang w:val="pl-PL"/>
        </w:rPr>
        <w:t xml:space="preserve">20, </w:t>
      </w:r>
      <w:r>
        <w:rPr>
          <w:lang w:val="pl-PL"/>
        </w:rPr>
        <w:t>ust.</w:t>
      </w:r>
      <w:r w:rsidRPr="00EF7CB3">
        <w:rPr>
          <w:lang w:val="pl-PL"/>
        </w:rPr>
        <w:t> 2.</w:t>
      </w:r>
    </w:p>
  </w:footnote>
  <w:footnote w:id="165">
    <w:p w14:paraId="6B08F05B" w14:textId="5207F44E"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r>
      <w:r>
        <w:rPr>
          <w:lang w:val="pl-PL"/>
        </w:rPr>
        <w:t xml:space="preserve">Uwaga ogólna nr </w:t>
      </w:r>
      <w:r w:rsidRPr="00EF7CB3">
        <w:rPr>
          <w:lang w:val="pl-PL"/>
        </w:rPr>
        <w:t xml:space="preserve">31, </w:t>
      </w:r>
      <w:r>
        <w:rPr>
          <w:lang w:val="pl-PL"/>
        </w:rPr>
        <w:t>ust.</w:t>
      </w:r>
      <w:r w:rsidRPr="00EF7CB3">
        <w:rPr>
          <w:lang w:val="pl-PL"/>
        </w:rPr>
        <w:t> 12.</w:t>
      </w:r>
    </w:p>
  </w:footnote>
  <w:footnote w:id="166">
    <w:p w14:paraId="50F9C912" w14:textId="0020FC88"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r>
      <w:r>
        <w:rPr>
          <w:lang w:val="pl-PL"/>
        </w:rPr>
        <w:t xml:space="preserve">Uwaga ogólna nr </w:t>
      </w:r>
      <w:r w:rsidRPr="00EF7CB3">
        <w:rPr>
          <w:lang w:val="pl-PL"/>
        </w:rPr>
        <w:t xml:space="preserve">20, </w:t>
      </w:r>
      <w:r>
        <w:rPr>
          <w:lang w:val="pl-PL"/>
        </w:rPr>
        <w:t>ust.</w:t>
      </w:r>
      <w:r w:rsidRPr="00EF7CB3">
        <w:rPr>
          <w:lang w:val="pl-PL"/>
        </w:rPr>
        <w:t xml:space="preserve"> 11; </w:t>
      </w:r>
      <w:r>
        <w:rPr>
          <w:lang w:val="pl-PL"/>
        </w:rPr>
        <w:t>Komisja ds. Zwalczania Tortur,</w:t>
      </w:r>
      <w:r w:rsidRPr="00EF7CB3">
        <w:rPr>
          <w:lang w:val="pl-PL"/>
        </w:rPr>
        <w:t xml:space="preserve"> </w:t>
      </w:r>
      <w:r>
        <w:rPr>
          <w:lang w:val="pl-PL"/>
        </w:rPr>
        <w:t xml:space="preserve">Uwaga ogólna nr </w:t>
      </w:r>
      <w:r w:rsidRPr="00EF7CB3">
        <w:rPr>
          <w:lang w:val="pl-PL"/>
        </w:rPr>
        <w:t xml:space="preserve">2, </w:t>
      </w:r>
      <w:r>
        <w:rPr>
          <w:lang w:val="pl-PL"/>
        </w:rPr>
        <w:t>ust.</w:t>
      </w:r>
      <w:r w:rsidRPr="00EF7CB3">
        <w:rPr>
          <w:lang w:val="pl-PL"/>
        </w:rPr>
        <w:t> 13.</w:t>
      </w:r>
    </w:p>
  </w:footnote>
  <w:footnote w:id="167">
    <w:p w14:paraId="19A394AD" w14:textId="3A186BF8"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r>
      <w:r>
        <w:rPr>
          <w:lang w:val="pl-PL"/>
        </w:rPr>
        <w:t>Patrz uwagi końcowe</w:t>
      </w:r>
      <w:r w:rsidRPr="00EF7CB3">
        <w:rPr>
          <w:lang w:val="pl-PL"/>
        </w:rPr>
        <w:t xml:space="preserve">: Algeria (CCPR/C/DZA/CO/3, 2007), </w:t>
      </w:r>
      <w:r>
        <w:rPr>
          <w:lang w:val="pl-PL"/>
        </w:rPr>
        <w:t>ust.</w:t>
      </w:r>
      <w:r w:rsidRPr="00EF7CB3">
        <w:rPr>
          <w:lang w:val="pl-PL"/>
        </w:rPr>
        <w:t> 11.</w:t>
      </w:r>
    </w:p>
  </w:footnote>
  <w:footnote w:id="168">
    <w:p w14:paraId="338B8239" w14:textId="6295C9C1"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r>
      <w:r>
        <w:rPr>
          <w:lang w:val="pl-PL"/>
        </w:rPr>
        <w:t>Patrz Zasady</w:t>
      </w:r>
      <w:r w:rsidRPr="00EF7CB3">
        <w:rPr>
          <w:lang w:val="pl-PL"/>
        </w:rPr>
        <w:t xml:space="preserve"> (</w:t>
      </w:r>
      <w:r>
        <w:rPr>
          <w:lang w:val="pl-PL"/>
        </w:rPr>
        <w:t>przypis</w:t>
      </w:r>
      <w:r w:rsidRPr="00EF7CB3">
        <w:rPr>
          <w:lang w:val="pl-PL"/>
        </w:rPr>
        <w:t xml:space="preserve"> 102 </w:t>
      </w:r>
      <w:r>
        <w:rPr>
          <w:lang w:val="pl-PL"/>
        </w:rPr>
        <w:t>powyżej</w:t>
      </w:r>
      <w:r w:rsidRPr="00EF7CB3">
        <w:rPr>
          <w:lang w:val="pl-PL"/>
        </w:rPr>
        <w:t xml:space="preserve">), </w:t>
      </w:r>
      <w:r>
        <w:rPr>
          <w:lang w:val="pl-PL"/>
        </w:rPr>
        <w:t>zasady</w:t>
      </w:r>
      <w:r w:rsidRPr="00EF7CB3">
        <w:rPr>
          <w:lang w:val="pl-PL"/>
        </w:rPr>
        <w:t xml:space="preserve"> 17–19 and 24; </w:t>
      </w:r>
      <w:r>
        <w:rPr>
          <w:lang w:val="pl-PL"/>
        </w:rPr>
        <w:t>Komitet Praw Dziecka</w:t>
      </w:r>
      <w:r w:rsidRPr="00EF7CB3">
        <w:rPr>
          <w:lang w:val="pl-PL"/>
        </w:rPr>
        <w:t xml:space="preserve">, </w:t>
      </w:r>
      <w:r>
        <w:rPr>
          <w:lang w:val="pl-PL"/>
        </w:rPr>
        <w:t xml:space="preserve">Uwaga ogólna nr </w:t>
      </w:r>
      <w:r w:rsidRPr="00EF7CB3">
        <w:rPr>
          <w:lang w:val="pl-PL"/>
        </w:rPr>
        <w:t xml:space="preserve">10, </w:t>
      </w:r>
      <w:r>
        <w:rPr>
          <w:lang w:val="pl-PL"/>
        </w:rPr>
        <w:t>ust.</w:t>
      </w:r>
      <w:r w:rsidRPr="00EF7CB3">
        <w:rPr>
          <w:lang w:val="pl-PL"/>
        </w:rPr>
        <w:t> 87.</w:t>
      </w:r>
    </w:p>
  </w:footnote>
  <w:footnote w:id="169">
    <w:p w14:paraId="0A0F823A" w14:textId="10BF3001" w:rsidR="00683B29" w:rsidRPr="00EF7CB3" w:rsidRDefault="00683B29" w:rsidP="004E4928">
      <w:pPr>
        <w:pStyle w:val="Tekstprzypisudolnego"/>
        <w:rPr>
          <w:lang w:val="pl-PL"/>
        </w:rPr>
      </w:pPr>
      <w:r w:rsidRPr="00EF7CB3">
        <w:rPr>
          <w:lang w:val="pl-PL"/>
        </w:rPr>
        <w:tab/>
      </w:r>
      <w:r w:rsidRPr="00EF7CB3">
        <w:rPr>
          <w:rStyle w:val="Odwoanieprzypisudolnego"/>
          <w:lang w:val="pl-PL"/>
        </w:rPr>
        <w:footnoteRef/>
      </w:r>
      <w:r w:rsidRPr="00EF7CB3">
        <w:rPr>
          <w:lang w:val="pl-PL"/>
        </w:rPr>
        <w:tab/>
      </w:r>
      <w:r>
        <w:rPr>
          <w:lang w:val="pl-PL"/>
        </w:rPr>
        <w:t xml:space="preserve">Patrz Zasady </w:t>
      </w:r>
      <w:r w:rsidRPr="00EF7CB3">
        <w:rPr>
          <w:lang w:val="pl-PL"/>
        </w:rPr>
        <w:t>(</w:t>
      </w:r>
      <w:r>
        <w:rPr>
          <w:lang w:val="pl-PL"/>
        </w:rPr>
        <w:t>przypis</w:t>
      </w:r>
      <w:r w:rsidRPr="00EF7CB3">
        <w:rPr>
          <w:lang w:val="pl-PL"/>
        </w:rPr>
        <w:t xml:space="preserve"> 102 </w:t>
      </w:r>
      <w:r>
        <w:rPr>
          <w:lang w:val="pl-PL"/>
        </w:rPr>
        <w:t>powyżej</w:t>
      </w:r>
      <w:r w:rsidRPr="00EF7CB3">
        <w:rPr>
          <w:lang w:val="pl-PL"/>
        </w:rPr>
        <w:t xml:space="preserve">), </w:t>
      </w:r>
      <w:r>
        <w:rPr>
          <w:lang w:val="pl-PL"/>
        </w:rPr>
        <w:t>zasady</w:t>
      </w:r>
      <w:r w:rsidRPr="00EF7CB3">
        <w:rPr>
          <w:lang w:val="pl-PL"/>
        </w:rPr>
        <w:t xml:space="preserve"> 13–14; </w:t>
      </w:r>
      <w:r>
        <w:rPr>
          <w:lang w:val="pl-PL"/>
        </w:rPr>
        <w:t xml:space="preserve">Zasady ONZ w </w:t>
      </w:r>
      <w:r w:rsidR="007E6DFC">
        <w:rPr>
          <w:lang w:val="pl-PL"/>
        </w:rPr>
        <w:t>sprawie ochrony nieletnich pozbawionych wolności</w:t>
      </w:r>
      <w:r w:rsidRPr="00EF7CB3">
        <w:rPr>
          <w:lang w:val="pl-PL"/>
        </w:rPr>
        <w:t xml:space="preserve">, </w:t>
      </w:r>
      <w:r>
        <w:rPr>
          <w:lang w:val="pl-PL"/>
        </w:rPr>
        <w:t>ust.</w:t>
      </w:r>
      <w:r w:rsidRPr="00EF7CB3">
        <w:rPr>
          <w:lang w:val="pl-PL"/>
        </w:rPr>
        <w:t xml:space="preserve"> 24–25, </w:t>
      </w:r>
      <w:r w:rsidR="007E6DFC">
        <w:rPr>
          <w:lang w:val="pl-PL"/>
        </w:rPr>
        <w:t>przyjęte przez Zgromadzenie Ogólne w rezolucji 45/113</w:t>
      </w:r>
      <w:r w:rsidRPr="00EF7CB3">
        <w:rPr>
          <w:lang w:val="pl-PL"/>
        </w:rPr>
        <w:t xml:space="preserve"> (</w:t>
      </w:r>
      <w:r w:rsidR="007E6DFC">
        <w:rPr>
          <w:lang w:val="pl-PL"/>
        </w:rPr>
        <w:t>odnośnie wyjaśniania praw zatrzymanym nieletnim).</w:t>
      </w:r>
    </w:p>
  </w:footnote>
  <w:footnote w:id="170">
    <w:p w14:paraId="1003A36B" w14:textId="6F7F2864" w:rsidR="00683B29" w:rsidRPr="00EF7CB3" w:rsidRDefault="00683B29">
      <w:pPr>
        <w:pStyle w:val="Tekstprzypisudolnego"/>
        <w:rPr>
          <w:lang w:val="pl-PL"/>
        </w:rPr>
      </w:pPr>
      <w:r w:rsidRPr="00EF7CB3">
        <w:rPr>
          <w:lang w:val="pl-PL"/>
        </w:rPr>
        <w:tab/>
      </w:r>
      <w:r w:rsidRPr="00EF7CB3">
        <w:rPr>
          <w:rStyle w:val="Odwoanieprzypisudolnego"/>
          <w:lang w:val="pl-PL"/>
        </w:rPr>
        <w:footnoteRef/>
      </w:r>
      <w:r w:rsidRPr="00EF7CB3">
        <w:rPr>
          <w:lang w:val="pl-PL"/>
        </w:rPr>
        <w:tab/>
      </w:r>
      <w:r w:rsidR="007E6DFC">
        <w:rPr>
          <w:lang w:val="pl-PL"/>
        </w:rPr>
        <w:t>Patrz Zasady</w:t>
      </w:r>
      <w:r w:rsidR="007E6DFC" w:rsidRPr="00EF7CB3">
        <w:rPr>
          <w:lang w:val="pl-PL"/>
        </w:rPr>
        <w:t xml:space="preserve"> (</w:t>
      </w:r>
      <w:r w:rsidR="007E6DFC">
        <w:rPr>
          <w:lang w:val="pl-PL"/>
        </w:rPr>
        <w:t>przypis</w:t>
      </w:r>
      <w:r w:rsidR="007E6DFC" w:rsidRPr="00EF7CB3">
        <w:rPr>
          <w:lang w:val="pl-PL"/>
        </w:rPr>
        <w:t xml:space="preserve"> 102 </w:t>
      </w:r>
      <w:r w:rsidR="007E6DFC">
        <w:rPr>
          <w:lang w:val="pl-PL"/>
        </w:rPr>
        <w:t>powyżej</w:t>
      </w:r>
      <w:r w:rsidR="007E6DFC" w:rsidRPr="00EF7CB3">
        <w:rPr>
          <w:lang w:val="pl-PL"/>
        </w:rPr>
        <w:t xml:space="preserve">), </w:t>
      </w:r>
      <w:r w:rsidR="007E6DFC">
        <w:rPr>
          <w:lang w:val="pl-PL"/>
        </w:rPr>
        <w:t>zasada</w:t>
      </w:r>
      <w:r w:rsidRPr="00EF7CB3">
        <w:rPr>
          <w:lang w:val="pl-PL"/>
        </w:rPr>
        <w:t xml:space="preserve"> 16, </w:t>
      </w:r>
      <w:r>
        <w:rPr>
          <w:lang w:val="pl-PL"/>
        </w:rPr>
        <w:t>ust.</w:t>
      </w:r>
      <w:r w:rsidRPr="00EF7CB3">
        <w:rPr>
          <w:lang w:val="pl-PL"/>
        </w:rPr>
        <w:t> 2.</w:t>
      </w:r>
    </w:p>
  </w:footnote>
  <w:footnote w:id="171">
    <w:p w14:paraId="76A10A1F" w14:textId="3FA8AF20"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r>
      <w:r w:rsidR="007E6DFC">
        <w:rPr>
          <w:lang w:val="pl-PL"/>
        </w:rPr>
        <w:t>Patrz</w:t>
      </w:r>
      <w:r w:rsidRPr="00EF7CB3">
        <w:rPr>
          <w:lang w:val="pl-PL"/>
        </w:rPr>
        <w:t xml:space="preserve"> </w:t>
      </w:r>
      <w:r w:rsidR="007E6DFC">
        <w:rPr>
          <w:lang w:val="pl-PL"/>
        </w:rPr>
        <w:t>punkty</w:t>
      </w:r>
      <w:r w:rsidRPr="00EF7CB3">
        <w:rPr>
          <w:lang w:val="pl-PL"/>
        </w:rPr>
        <w:t xml:space="preserve"> 14, 18 </w:t>
      </w:r>
      <w:r w:rsidR="007E6DFC">
        <w:rPr>
          <w:lang w:val="pl-PL"/>
        </w:rPr>
        <w:t>oraz</w:t>
      </w:r>
      <w:r w:rsidRPr="00EF7CB3">
        <w:rPr>
          <w:lang w:val="pl-PL"/>
        </w:rPr>
        <w:t xml:space="preserve"> 21 </w:t>
      </w:r>
      <w:r w:rsidR="007E6DFC">
        <w:rPr>
          <w:lang w:val="pl-PL"/>
        </w:rPr>
        <w:t>powyżej</w:t>
      </w:r>
      <w:r w:rsidRPr="00EF7CB3">
        <w:rPr>
          <w:lang w:val="pl-PL"/>
        </w:rPr>
        <w:t>.</w:t>
      </w:r>
    </w:p>
  </w:footnote>
  <w:footnote w:id="172">
    <w:p w14:paraId="1B0E47B1" w14:textId="0A0F229B"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r>
      <w:r>
        <w:rPr>
          <w:lang w:val="pl-PL"/>
        </w:rPr>
        <w:t xml:space="preserve">Uwaga ogólna nr </w:t>
      </w:r>
      <w:r w:rsidRPr="00EF7CB3">
        <w:rPr>
          <w:lang w:val="pl-PL"/>
        </w:rPr>
        <w:t xml:space="preserve">27, </w:t>
      </w:r>
      <w:r>
        <w:rPr>
          <w:lang w:val="pl-PL"/>
        </w:rPr>
        <w:t>ust.</w:t>
      </w:r>
      <w:r w:rsidRPr="00EF7CB3">
        <w:rPr>
          <w:lang w:val="pl-PL"/>
        </w:rPr>
        <w:t xml:space="preserve"> 7; 1134/2002, </w:t>
      </w:r>
      <w:r w:rsidRPr="00EF7CB3">
        <w:rPr>
          <w:i/>
          <w:lang w:val="pl-PL"/>
        </w:rPr>
        <w:t xml:space="preserve">Gorji-Dinka </w:t>
      </w:r>
      <w:r w:rsidRPr="00EF7CB3">
        <w:rPr>
          <w:lang w:val="pl-PL"/>
        </w:rPr>
        <w:t>v.</w:t>
      </w:r>
      <w:r w:rsidRPr="00EF7CB3">
        <w:rPr>
          <w:i/>
          <w:lang w:val="pl-PL"/>
        </w:rPr>
        <w:t xml:space="preserve"> Cameroon</w:t>
      </w:r>
      <w:r w:rsidRPr="00EF7CB3">
        <w:rPr>
          <w:lang w:val="pl-PL"/>
        </w:rPr>
        <w:t xml:space="preserve">, </w:t>
      </w:r>
      <w:r>
        <w:rPr>
          <w:lang w:val="pl-PL"/>
        </w:rPr>
        <w:t>ust.</w:t>
      </w:r>
      <w:r w:rsidRPr="00EF7CB3">
        <w:rPr>
          <w:lang w:val="pl-PL"/>
        </w:rPr>
        <w:t> 5.4–5.5 (</w:t>
      </w:r>
      <w:r w:rsidR="007E6DFC">
        <w:rPr>
          <w:lang w:val="pl-PL"/>
        </w:rPr>
        <w:t>areszt</w:t>
      </w:r>
      <w:r w:rsidRPr="00EF7CB3">
        <w:rPr>
          <w:lang w:val="pl-PL"/>
        </w:rPr>
        <w:t xml:space="preserve"> </w:t>
      </w:r>
      <w:r w:rsidR="007E6DFC">
        <w:rPr>
          <w:lang w:val="pl-PL"/>
        </w:rPr>
        <w:t>domowy</w:t>
      </w:r>
      <w:r w:rsidRPr="00EF7CB3">
        <w:rPr>
          <w:lang w:val="pl-PL"/>
        </w:rPr>
        <w:t xml:space="preserve">); 138/1983, </w:t>
      </w:r>
      <w:r w:rsidRPr="00EF7CB3">
        <w:rPr>
          <w:i/>
          <w:lang w:val="pl-PL"/>
        </w:rPr>
        <w:t xml:space="preserve">Mpandanjila et al. </w:t>
      </w:r>
      <w:r w:rsidRPr="00EF7CB3">
        <w:rPr>
          <w:lang w:val="pl-PL"/>
        </w:rPr>
        <w:t>v.</w:t>
      </w:r>
      <w:r w:rsidRPr="00EF7CB3">
        <w:rPr>
          <w:i/>
          <w:lang w:val="pl-PL"/>
        </w:rPr>
        <w:t xml:space="preserve"> Zaire</w:t>
      </w:r>
      <w:r w:rsidRPr="00EF7CB3">
        <w:rPr>
          <w:lang w:val="pl-PL"/>
        </w:rPr>
        <w:t xml:space="preserve">, </w:t>
      </w:r>
      <w:r>
        <w:rPr>
          <w:lang w:val="pl-PL"/>
        </w:rPr>
        <w:t>ust.</w:t>
      </w:r>
      <w:r w:rsidRPr="00EF7CB3">
        <w:rPr>
          <w:lang w:val="pl-PL"/>
        </w:rPr>
        <w:t xml:space="preserve"> 8 </w:t>
      </w:r>
      <w:r w:rsidR="007E6DFC">
        <w:rPr>
          <w:lang w:val="pl-PL"/>
        </w:rPr>
        <w:t>oraz</w:t>
      </w:r>
      <w:r w:rsidRPr="00EF7CB3">
        <w:rPr>
          <w:lang w:val="pl-PL"/>
        </w:rPr>
        <w:t xml:space="preserve"> 10.</w:t>
      </w:r>
    </w:p>
  </w:footnote>
  <w:footnote w:id="173">
    <w:p w14:paraId="0DE111AB" w14:textId="1EA275C4"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r>
      <w:r w:rsidR="007E6DFC">
        <w:rPr>
          <w:lang w:val="pl-PL"/>
        </w:rPr>
        <w:t>Patrz punkt</w:t>
      </w:r>
      <w:r w:rsidRPr="00EF7CB3">
        <w:rPr>
          <w:lang w:val="pl-PL"/>
        </w:rPr>
        <w:t xml:space="preserve"> 38 </w:t>
      </w:r>
      <w:r w:rsidR="007E6DFC">
        <w:rPr>
          <w:lang w:val="pl-PL"/>
        </w:rPr>
        <w:t>oraz</w:t>
      </w:r>
      <w:r w:rsidRPr="00EF7CB3">
        <w:rPr>
          <w:lang w:val="pl-PL"/>
        </w:rPr>
        <w:t xml:space="preserve"> 53 </w:t>
      </w:r>
      <w:r w:rsidR="007E6DFC">
        <w:rPr>
          <w:lang w:val="pl-PL"/>
        </w:rPr>
        <w:t>powyżej</w:t>
      </w:r>
      <w:r w:rsidRPr="00EF7CB3">
        <w:rPr>
          <w:lang w:val="pl-PL"/>
        </w:rPr>
        <w:t>.</w:t>
      </w:r>
    </w:p>
  </w:footnote>
  <w:footnote w:id="174">
    <w:p w14:paraId="0E6F81B9" w14:textId="1806D3DC"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263/1987, </w:t>
      </w:r>
      <w:r w:rsidRPr="00EF7CB3">
        <w:rPr>
          <w:i/>
          <w:lang w:val="pl-PL"/>
        </w:rPr>
        <w:t xml:space="preserve">González del Río </w:t>
      </w:r>
      <w:r w:rsidRPr="00EF7CB3">
        <w:rPr>
          <w:lang w:val="pl-PL"/>
        </w:rPr>
        <w:t>v.</w:t>
      </w:r>
      <w:r w:rsidRPr="00EF7CB3">
        <w:rPr>
          <w:i/>
          <w:lang w:val="pl-PL"/>
        </w:rPr>
        <w:t xml:space="preserve"> Peru</w:t>
      </w:r>
      <w:r w:rsidRPr="00EF7CB3">
        <w:rPr>
          <w:lang w:val="pl-PL"/>
        </w:rPr>
        <w:t xml:space="preserve">, </w:t>
      </w:r>
      <w:r>
        <w:rPr>
          <w:lang w:val="pl-PL"/>
        </w:rPr>
        <w:t>ust.</w:t>
      </w:r>
      <w:r w:rsidRPr="00EF7CB3">
        <w:rPr>
          <w:lang w:val="pl-PL"/>
        </w:rPr>
        <w:t xml:space="preserve"> 5.1; 1758/2008, </w:t>
      </w:r>
      <w:r w:rsidRPr="00EF7CB3">
        <w:rPr>
          <w:i/>
          <w:lang w:val="pl-PL"/>
        </w:rPr>
        <w:t xml:space="preserve">Jessop </w:t>
      </w:r>
      <w:r w:rsidRPr="00EF7CB3">
        <w:rPr>
          <w:lang w:val="pl-PL"/>
        </w:rPr>
        <w:t xml:space="preserve">v. </w:t>
      </w:r>
      <w:r w:rsidRPr="00EF7CB3">
        <w:rPr>
          <w:i/>
          <w:lang w:val="pl-PL"/>
        </w:rPr>
        <w:t>New Zealand</w:t>
      </w:r>
      <w:r w:rsidRPr="00EF7CB3">
        <w:rPr>
          <w:lang w:val="pl-PL"/>
        </w:rPr>
        <w:t xml:space="preserve">, </w:t>
      </w:r>
      <w:r>
        <w:rPr>
          <w:lang w:val="pl-PL"/>
        </w:rPr>
        <w:t>ust.</w:t>
      </w:r>
      <w:r w:rsidRPr="00EF7CB3">
        <w:rPr>
          <w:lang w:val="pl-PL"/>
        </w:rPr>
        <w:t> 7.9–7.10.</w:t>
      </w:r>
    </w:p>
  </w:footnote>
  <w:footnote w:id="175">
    <w:p w14:paraId="66D05D50" w14:textId="130DFE14" w:rsidR="00683B29" w:rsidRPr="00EF7CB3" w:rsidRDefault="00683B29" w:rsidP="00FB461A">
      <w:pPr>
        <w:pStyle w:val="Tekstprzypisudolnego"/>
        <w:rPr>
          <w:rStyle w:val="TekstprzypisudolnegoZnak"/>
          <w:lang w:val="pl-PL"/>
        </w:rPr>
      </w:pPr>
      <w:r w:rsidRPr="00EF7CB3">
        <w:rPr>
          <w:lang w:val="pl-PL"/>
        </w:rPr>
        <w:tab/>
      </w:r>
      <w:r w:rsidRPr="00EF7CB3">
        <w:rPr>
          <w:vertAlign w:val="superscript"/>
          <w:lang w:val="pl-PL"/>
        </w:rPr>
        <w:footnoteRef/>
      </w:r>
      <w:r w:rsidRPr="00EF7CB3">
        <w:rPr>
          <w:lang w:val="pl-PL"/>
        </w:rPr>
        <w:tab/>
      </w:r>
      <w:r w:rsidR="00122F80">
        <w:rPr>
          <w:rStyle w:val="TekstprzypisudolnegoZnak"/>
          <w:lang w:val="pl-PL"/>
        </w:rPr>
        <w:t>Patrz uwaga ogólna</w:t>
      </w:r>
      <w:r w:rsidRPr="00EF7CB3">
        <w:rPr>
          <w:rStyle w:val="TekstprzypisudolnegoZnak"/>
          <w:lang w:val="pl-PL"/>
        </w:rPr>
        <w:t xml:space="preserve"> </w:t>
      </w:r>
      <w:r w:rsidR="00122F80">
        <w:rPr>
          <w:rStyle w:val="TekstprzypisudolnegoZnak"/>
          <w:lang w:val="pl-PL"/>
        </w:rPr>
        <w:t>nr</w:t>
      </w:r>
      <w:r w:rsidRPr="00EF7CB3">
        <w:rPr>
          <w:rStyle w:val="TekstprzypisudolnegoZnak"/>
          <w:lang w:val="pl-PL"/>
        </w:rPr>
        <w:t xml:space="preserve"> 17, </w:t>
      </w:r>
      <w:r>
        <w:rPr>
          <w:rStyle w:val="TekstprzypisudolnegoZnak"/>
          <w:lang w:val="pl-PL"/>
        </w:rPr>
        <w:t>ust.</w:t>
      </w:r>
      <w:r w:rsidRPr="00EF7CB3">
        <w:rPr>
          <w:rStyle w:val="TekstprzypisudolnegoZnak"/>
          <w:lang w:val="pl-PL"/>
        </w:rPr>
        <w:t xml:space="preserve"> 1, </w:t>
      </w:r>
      <w:r w:rsidR="00122F80">
        <w:rPr>
          <w:rStyle w:val="TekstprzypisudolnegoZnak"/>
          <w:lang w:val="pl-PL"/>
        </w:rPr>
        <w:t>oraz</w:t>
      </w:r>
      <w:r w:rsidRPr="00EF7CB3">
        <w:rPr>
          <w:rStyle w:val="TekstprzypisudolnegoZnak"/>
          <w:lang w:val="pl-PL"/>
        </w:rPr>
        <w:t xml:space="preserve"> No. 32, </w:t>
      </w:r>
      <w:r>
        <w:rPr>
          <w:rStyle w:val="TekstprzypisudolnegoZnak"/>
          <w:lang w:val="pl-PL"/>
        </w:rPr>
        <w:t>ust.</w:t>
      </w:r>
      <w:r w:rsidRPr="00EF7CB3">
        <w:rPr>
          <w:rStyle w:val="TekstprzypisudolnegoZnak"/>
          <w:lang w:val="pl-PL"/>
        </w:rPr>
        <w:t> 42–44.</w:t>
      </w:r>
    </w:p>
  </w:footnote>
  <w:footnote w:id="176">
    <w:p w14:paraId="6298AE5C" w14:textId="138E82E2" w:rsidR="00683B29" w:rsidRPr="00EF7CB3" w:rsidRDefault="00683B29" w:rsidP="008B11E6">
      <w:pPr>
        <w:pStyle w:val="Tekstprzypisudolnego"/>
        <w:rPr>
          <w:lang w:val="pl-PL"/>
        </w:rPr>
      </w:pPr>
      <w:r w:rsidRPr="00EF7CB3">
        <w:rPr>
          <w:lang w:val="pl-PL"/>
        </w:rPr>
        <w:tab/>
      </w:r>
      <w:r w:rsidRPr="00EF7CB3">
        <w:rPr>
          <w:rStyle w:val="Odwoanieprzypisudolnego"/>
          <w:lang w:val="pl-PL"/>
        </w:rPr>
        <w:footnoteRef/>
      </w:r>
      <w:r w:rsidRPr="00EF7CB3">
        <w:rPr>
          <w:lang w:val="pl-PL"/>
        </w:rPr>
        <w:tab/>
      </w:r>
      <w:r>
        <w:rPr>
          <w:lang w:val="pl-PL"/>
        </w:rPr>
        <w:t>Patrz uwagi końcowe</w:t>
      </w:r>
      <w:r w:rsidRPr="00EF7CB3">
        <w:rPr>
          <w:lang w:val="pl-PL"/>
        </w:rPr>
        <w:t xml:space="preserve">: Czech Republic (CCPR/C/CZE/CO/3, 2013), </w:t>
      </w:r>
      <w:r>
        <w:rPr>
          <w:lang w:val="pl-PL"/>
        </w:rPr>
        <w:t>ust.</w:t>
      </w:r>
      <w:r w:rsidRPr="00EF7CB3">
        <w:rPr>
          <w:lang w:val="pl-PL"/>
        </w:rPr>
        <w:t xml:space="preserve"> 17; </w:t>
      </w:r>
      <w:r w:rsidR="00122F80">
        <w:rPr>
          <w:lang w:val="pl-PL"/>
        </w:rPr>
        <w:t>Konwencja o Prawach Dziecka, ar</w:t>
      </w:r>
      <w:r w:rsidRPr="00EF7CB3">
        <w:rPr>
          <w:lang w:val="pl-PL"/>
        </w:rPr>
        <w:t>t. 37 (b).</w:t>
      </w:r>
    </w:p>
  </w:footnote>
  <w:footnote w:id="177">
    <w:p w14:paraId="1665F9A2" w14:textId="7DC738BD" w:rsidR="00683B29" w:rsidRPr="00EF7CB3" w:rsidRDefault="00683B29" w:rsidP="004E4928">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1069/2002, </w:t>
      </w:r>
      <w:r w:rsidRPr="00EF7CB3">
        <w:rPr>
          <w:i/>
          <w:lang w:val="pl-PL"/>
        </w:rPr>
        <w:t xml:space="preserve">Bakhtiyari </w:t>
      </w:r>
      <w:r w:rsidRPr="00EF7CB3">
        <w:rPr>
          <w:lang w:val="pl-PL"/>
        </w:rPr>
        <w:t>v.</w:t>
      </w:r>
      <w:r w:rsidRPr="00EF7CB3">
        <w:rPr>
          <w:i/>
          <w:lang w:val="pl-PL"/>
        </w:rPr>
        <w:t xml:space="preserve"> </w:t>
      </w:r>
      <w:r>
        <w:rPr>
          <w:i/>
          <w:lang w:val="pl-PL"/>
        </w:rPr>
        <w:t>Australia</w:t>
      </w:r>
      <w:r w:rsidRPr="00EF7CB3">
        <w:rPr>
          <w:lang w:val="pl-PL"/>
        </w:rPr>
        <w:t xml:space="preserve">, </w:t>
      </w:r>
      <w:r>
        <w:rPr>
          <w:lang w:val="pl-PL"/>
        </w:rPr>
        <w:t>ust.</w:t>
      </w:r>
      <w:r w:rsidRPr="00EF7CB3">
        <w:rPr>
          <w:lang w:val="pl-PL"/>
        </w:rPr>
        <w:t xml:space="preserve"> 9.7; </w:t>
      </w:r>
      <w:r w:rsidR="00122F80">
        <w:rPr>
          <w:lang w:val="pl-PL"/>
        </w:rPr>
        <w:t>patrz</w:t>
      </w:r>
      <w:r w:rsidRPr="00EF7CB3">
        <w:rPr>
          <w:lang w:val="pl-PL"/>
        </w:rPr>
        <w:t xml:space="preserve"> </w:t>
      </w:r>
      <w:r w:rsidR="00122F80">
        <w:rPr>
          <w:lang w:val="pl-PL"/>
        </w:rPr>
        <w:t>Konwencja o Prawach Dziecka</w:t>
      </w:r>
      <w:r w:rsidRPr="00EF7CB3">
        <w:rPr>
          <w:lang w:val="pl-PL"/>
        </w:rPr>
        <w:t xml:space="preserve">, art. 3, </w:t>
      </w:r>
      <w:r>
        <w:rPr>
          <w:lang w:val="pl-PL"/>
        </w:rPr>
        <w:t>ust.</w:t>
      </w:r>
      <w:r w:rsidRPr="00EF7CB3">
        <w:rPr>
          <w:lang w:val="pl-PL"/>
        </w:rPr>
        <w:t xml:space="preserve"> 1.</w:t>
      </w:r>
    </w:p>
  </w:footnote>
  <w:footnote w:id="178">
    <w:p w14:paraId="61267924" w14:textId="5DE3A835" w:rsidR="00683B29" w:rsidRPr="00EF7CB3" w:rsidRDefault="00683B29" w:rsidP="00122F80">
      <w:pPr>
        <w:pStyle w:val="Tekstprzypisudolnego"/>
        <w:rPr>
          <w:lang w:val="pl-PL"/>
        </w:rPr>
      </w:pPr>
      <w:r w:rsidRPr="00EF7CB3">
        <w:rPr>
          <w:lang w:val="pl-PL"/>
        </w:rPr>
        <w:tab/>
      </w:r>
      <w:r w:rsidRPr="00EF7CB3">
        <w:rPr>
          <w:rStyle w:val="Odwoanieprzypisudolnego"/>
          <w:lang w:val="pl-PL"/>
        </w:rPr>
        <w:footnoteRef/>
      </w:r>
      <w:r w:rsidRPr="00EF7CB3">
        <w:rPr>
          <w:lang w:val="pl-PL"/>
        </w:rPr>
        <w:tab/>
      </w:r>
      <w:r w:rsidR="00122F80">
        <w:rPr>
          <w:lang w:val="pl-PL"/>
        </w:rPr>
        <w:t>Patrz Komitet Praw Dziecka</w:t>
      </w:r>
      <w:r w:rsidRPr="00EF7CB3">
        <w:rPr>
          <w:lang w:val="pl-PL"/>
        </w:rPr>
        <w:t xml:space="preserve">, </w:t>
      </w:r>
      <w:r>
        <w:rPr>
          <w:lang w:val="pl-PL"/>
        </w:rPr>
        <w:t xml:space="preserve">Uwaga ogólna nr </w:t>
      </w:r>
      <w:r w:rsidRPr="00EF7CB3">
        <w:rPr>
          <w:lang w:val="pl-PL"/>
        </w:rPr>
        <w:t xml:space="preserve">10, </w:t>
      </w:r>
      <w:r>
        <w:rPr>
          <w:lang w:val="pl-PL"/>
        </w:rPr>
        <w:t>ust.</w:t>
      </w:r>
      <w:r w:rsidRPr="00EF7CB3">
        <w:rPr>
          <w:lang w:val="pl-PL"/>
        </w:rPr>
        <w:t xml:space="preserve"> 11; </w:t>
      </w:r>
      <w:r w:rsidR="00122F80">
        <w:rPr>
          <w:lang w:val="pl-PL"/>
        </w:rPr>
        <w:t>Zasady ONZ w sprawie ochrony nieletnich pozbawionych wolności</w:t>
      </w:r>
      <w:r w:rsidRPr="00EF7CB3">
        <w:rPr>
          <w:lang w:val="pl-PL"/>
        </w:rPr>
        <w:t xml:space="preserve">, </w:t>
      </w:r>
      <w:r>
        <w:rPr>
          <w:lang w:val="pl-PL"/>
        </w:rPr>
        <w:t>ust.</w:t>
      </w:r>
      <w:r w:rsidRPr="00EF7CB3">
        <w:rPr>
          <w:lang w:val="pl-PL"/>
        </w:rPr>
        <w:t xml:space="preserve"> 11 (b). </w:t>
      </w:r>
      <w:r w:rsidR="00122F80">
        <w:rPr>
          <w:lang w:val="pl-PL"/>
        </w:rPr>
        <w:t>W porównaniu, zwykła kontrola dzieci przez rodziców może do pewnego stopnia obejmować kontrolę przemieszczania się, szczególnie w przypadku młodszych dzieci, co byłoby niewłaściwe w przypadku dorosłych, ale nie stanowi to pozbawienia wolności; podobnie jak wymóg codziennego uczęszczania do szkoły nie stanowi pozbawienia wolności.</w:t>
      </w:r>
    </w:p>
  </w:footnote>
  <w:footnote w:id="179">
    <w:p w14:paraId="1C024A40" w14:textId="7CBFA159" w:rsidR="00683B29" w:rsidRPr="00EF7CB3" w:rsidRDefault="00683B29" w:rsidP="008B11E6">
      <w:pPr>
        <w:pStyle w:val="Tekstprzypisudolnego"/>
        <w:rPr>
          <w:lang w:val="pl-PL"/>
        </w:rPr>
      </w:pPr>
      <w:r w:rsidRPr="00EF7CB3">
        <w:rPr>
          <w:lang w:val="pl-PL"/>
        </w:rPr>
        <w:tab/>
      </w:r>
      <w:r w:rsidRPr="00EF7CB3">
        <w:rPr>
          <w:rStyle w:val="Odwoanieprzypisudolnego"/>
          <w:lang w:val="pl-PL"/>
        </w:rPr>
        <w:footnoteRef/>
      </w:r>
      <w:r w:rsidRPr="00EF7CB3">
        <w:rPr>
          <w:lang w:val="pl-PL"/>
        </w:rPr>
        <w:tab/>
      </w:r>
      <w:r w:rsidR="00122F80">
        <w:rPr>
          <w:lang w:val="pl-PL"/>
        </w:rPr>
        <w:t>Patrz</w:t>
      </w:r>
      <w:r w:rsidRPr="00EF7CB3">
        <w:rPr>
          <w:lang w:val="pl-PL"/>
        </w:rPr>
        <w:t xml:space="preserve"> </w:t>
      </w:r>
      <w:r w:rsidR="00122F80">
        <w:rPr>
          <w:lang w:val="pl-PL"/>
        </w:rPr>
        <w:t xml:space="preserve">punkt </w:t>
      </w:r>
      <w:r w:rsidRPr="00EF7CB3">
        <w:rPr>
          <w:lang w:val="pl-PL"/>
        </w:rPr>
        <w:t xml:space="preserve">12 </w:t>
      </w:r>
      <w:r w:rsidR="00122F80">
        <w:rPr>
          <w:lang w:val="pl-PL"/>
        </w:rPr>
        <w:t>powyżej</w:t>
      </w:r>
      <w:r w:rsidRPr="00EF7CB3">
        <w:rPr>
          <w:lang w:val="pl-PL"/>
        </w:rPr>
        <w:t xml:space="preserve">; </w:t>
      </w:r>
      <w:r w:rsidR="00122F80">
        <w:rPr>
          <w:lang w:val="pl-PL"/>
        </w:rPr>
        <w:t>Konwencja o Prawach Dziecka</w:t>
      </w:r>
      <w:r w:rsidRPr="00EF7CB3">
        <w:rPr>
          <w:lang w:val="pl-PL"/>
        </w:rPr>
        <w:t xml:space="preserve">, </w:t>
      </w:r>
      <w:r w:rsidR="00122F80">
        <w:rPr>
          <w:lang w:val="pl-PL"/>
        </w:rPr>
        <w:t>art</w:t>
      </w:r>
      <w:r w:rsidRPr="00EF7CB3">
        <w:rPr>
          <w:lang w:val="pl-PL"/>
        </w:rPr>
        <w:t xml:space="preserve">. 37 (d) </w:t>
      </w:r>
      <w:r w:rsidR="00122F80">
        <w:rPr>
          <w:lang w:val="pl-PL"/>
        </w:rPr>
        <w:t>oraz</w:t>
      </w:r>
      <w:r w:rsidRPr="00EF7CB3">
        <w:rPr>
          <w:lang w:val="pl-PL"/>
        </w:rPr>
        <w:t xml:space="preserve"> 25.</w:t>
      </w:r>
    </w:p>
  </w:footnote>
  <w:footnote w:id="180">
    <w:p w14:paraId="1EE72982" w14:textId="3D2F7C26" w:rsidR="00683B29" w:rsidRPr="00EF7CB3" w:rsidRDefault="00683B29" w:rsidP="004E4928">
      <w:pPr>
        <w:pStyle w:val="Tekstprzypisudolnego"/>
        <w:rPr>
          <w:lang w:val="pl-PL"/>
        </w:rPr>
      </w:pPr>
      <w:r w:rsidRPr="00EF7CB3">
        <w:rPr>
          <w:lang w:val="pl-PL"/>
        </w:rPr>
        <w:tab/>
      </w:r>
      <w:r w:rsidRPr="00EF7CB3">
        <w:rPr>
          <w:rStyle w:val="Odwoanieprzypisudolnego"/>
          <w:lang w:val="pl-PL"/>
        </w:rPr>
        <w:footnoteRef/>
      </w:r>
      <w:r w:rsidRPr="00EF7CB3">
        <w:rPr>
          <w:lang w:val="pl-PL"/>
        </w:rPr>
        <w:tab/>
      </w:r>
      <w:r>
        <w:rPr>
          <w:lang w:val="pl-PL"/>
        </w:rPr>
        <w:t xml:space="preserve">Uwaga ogólna nr </w:t>
      </w:r>
      <w:r w:rsidRPr="00EF7CB3">
        <w:rPr>
          <w:lang w:val="pl-PL"/>
        </w:rPr>
        <w:t xml:space="preserve">32, </w:t>
      </w:r>
      <w:r>
        <w:rPr>
          <w:lang w:val="pl-PL"/>
        </w:rPr>
        <w:t>ust.</w:t>
      </w:r>
      <w:r w:rsidRPr="00EF7CB3">
        <w:rPr>
          <w:lang w:val="pl-PL"/>
        </w:rPr>
        <w:t xml:space="preserve"> 42–44; </w:t>
      </w:r>
      <w:r w:rsidR="00122F80">
        <w:rPr>
          <w:lang w:val="pl-PL"/>
        </w:rPr>
        <w:t>Komitet Praw Dziecka</w:t>
      </w:r>
      <w:r w:rsidRPr="00EF7CB3">
        <w:rPr>
          <w:lang w:val="pl-PL"/>
        </w:rPr>
        <w:t xml:space="preserve">, </w:t>
      </w:r>
      <w:r>
        <w:rPr>
          <w:lang w:val="pl-PL"/>
        </w:rPr>
        <w:t xml:space="preserve">Uwaga ogólna nr </w:t>
      </w:r>
      <w:r w:rsidRPr="00EF7CB3">
        <w:rPr>
          <w:lang w:val="pl-PL"/>
        </w:rPr>
        <w:t xml:space="preserve">12, </w:t>
      </w:r>
      <w:r>
        <w:rPr>
          <w:lang w:val="pl-PL"/>
        </w:rPr>
        <w:t>ust.</w:t>
      </w:r>
      <w:r w:rsidRPr="00EF7CB3">
        <w:rPr>
          <w:lang w:val="pl-PL"/>
        </w:rPr>
        <w:t> 32–37.</w:t>
      </w:r>
    </w:p>
  </w:footnote>
  <w:footnote w:id="181">
    <w:p w14:paraId="253012CE" w14:textId="2B33F447" w:rsidR="00683B29" w:rsidRPr="00EF7CB3" w:rsidRDefault="00683B29" w:rsidP="00743528">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UNHCR, </w:t>
      </w:r>
      <w:r w:rsidR="004F4F4C">
        <w:rPr>
          <w:lang w:val="pl-PL"/>
        </w:rPr>
        <w:t>Wytyczne</w:t>
      </w:r>
      <w:r w:rsidRPr="00EF7CB3">
        <w:rPr>
          <w:lang w:val="pl-PL"/>
        </w:rPr>
        <w:t xml:space="preserve"> (</w:t>
      </w:r>
      <w:r w:rsidR="004F4F4C">
        <w:rPr>
          <w:lang w:val="pl-PL"/>
        </w:rPr>
        <w:t>przypis</w:t>
      </w:r>
      <w:r w:rsidRPr="00EF7CB3">
        <w:rPr>
          <w:lang w:val="pl-PL"/>
        </w:rPr>
        <w:t xml:space="preserve"> 45 </w:t>
      </w:r>
      <w:r w:rsidR="004F4F4C">
        <w:rPr>
          <w:lang w:val="pl-PL"/>
        </w:rPr>
        <w:t>powyżej</w:t>
      </w:r>
      <w:r w:rsidRPr="00EF7CB3">
        <w:rPr>
          <w:lang w:val="pl-PL"/>
        </w:rPr>
        <w:t xml:space="preserve">), </w:t>
      </w:r>
      <w:r>
        <w:rPr>
          <w:lang w:val="pl-PL"/>
        </w:rPr>
        <w:t>ust.</w:t>
      </w:r>
      <w:r w:rsidRPr="00EF7CB3">
        <w:rPr>
          <w:lang w:val="pl-PL"/>
        </w:rPr>
        <w:t> 54 (“</w:t>
      </w:r>
      <w:r w:rsidR="004F4F4C">
        <w:rPr>
          <w:lang w:val="pl-PL"/>
        </w:rPr>
        <w:t>Gdzie to możliwe</w:t>
      </w:r>
      <w:r w:rsidRPr="00EF7CB3">
        <w:rPr>
          <w:lang w:val="pl-PL"/>
        </w:rPr>
        <w:t xml:space="preserve"> [</w:t>
      </w:r>
      <w:r w:rsidR="004F4F4C">
        <w:rPr>
          <w:lang w:val="pl-PL"/>
        </w:rPr>
        <w:t xml:space="preserve">dzieci pozbawione opieki lub oddzielone] powinny być zwalniane pod opiekę członków rodziny, którzy posiadają już pozwolenie na pobyt w kraju przyjmującym. Jeśli nie jest to możliwe, alternatywne środki opieki, takie jak placówki opiekuńcze lub rodziny zastępcze powinny zostać zorganizowane przez właściwe służby opiekuńcze, upewniając się, że dziecko otrzyma </w:t>
      </w:r>
      <w:r w:rsidR="00EB439E">
        <w:rPr>
          <w:lang w:val="pl-PL"/>
        </w:rPr>
        <w:t>właściwą opiekę”).</w:t>
      </w:r>
    </w:p>
  </w:footnote>
  <w:footnote w:id="182">
    <w:p w14:paraId="404E339D" w14:textId="54BE989D"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r>
      <w:r>
        <w:rPr>
          <w:lang w:val="pl-PL"/>
        </w:rPr>
        <w:t xml:space="preserve">Uwaga ogólna nr </w:t>
      </w:r>
      <w:r w:rsidRPr="00EF7CB3">
        <w:rPr>
          <w:lang w:val="pl-PL"/>
        </w:rPr>
        <w:t xml:space="preserve">31, </w:t>
      </w:r>
      <w:r>
        <w:rPr>
          <w:lang w:val="pl-PL"/>
        </w:rPr>
        <w:t>ust.</w:t>
      </w:r>
      <w:r w:rsidRPr="00EF7CB3">
        <w:rPr>
          <w:lang w:val="pl-PL"/>
        </w:rPr>
        <w:t> 10.</w:t>
      </w:r>
    </w:p>
  </w:footnote>
  <w:footnote w:id="183">
    <w:p w14:paraId="131EF284" w14:textId="3D2DCEF2" w:rsidR="00683B29" w:rsidRPr="00EF7CB3" w:rsidRDefault="00683B29" w:rsidP="004E4928">
      <w:pPr>
        <w:pStyle w:val="Tekstprzypisudolnego"/>
        <w:rPr>
          <w:lang w:val="pl-PL"/>
        </w:rPr>
      </w:pPr>
      <w:r w:rsidRPr="00EF7CB3">
        <w:rPr>
          <w:lang w:val="pl-PL"/>
        </w:rPr>
        <w:tab/>
      </w:r>
      <w:r w:rsidRPr="00EF7CB3">
        <w:rPr>
          <w:rStyle w:val="Odwoanieprzypisudolnego"/>
          <w:lang w:val="pl-PL"/>
        </w:rPr>
        <w:footnoteRef/>
      </w:r>
      <w:r w:rsidRPr="00EF7CB3">
        <w:rPr>
          <w:lang w:val="pl-PL"/>
        </w:rPr>
        <w:tab/>
      </w:r>
      <w:r w:rsidR="00EB439E">
        <w:rPr>
          <w:lang w:val="pl-PL"/>
        </w:rPr>
        <w:t>Patrz</w:t>
      </w:r>
      <w:r w:rsidRPr="00EF7CB3">
        <w:rPr>
          <w:lang w:val="pl-PL"/>
        </w:rPr>
        <w:t xml:space="preserve"> ibid.; 52/1979, </w:t>
      </w:r>
      <w:r w:rsidRPr="00EF7CB3">
        <w:rPr>
          <w:i/>
          <w:lang w:val="pl-PL"/>
        </w:rPr>
        <w:t xml:space="preserve">Saldías de López </w:t>
      </w:r>
      <w:r w:rsidRPr="00EF7CB3">
        <w:rPr>
          <w:iCs/>
          <w:lang w:val="pl-PL"/>
        </w:rPr>
        <w:t>v.</w:t>
      </w:r>
      <w:r w:rsidRPr="00EF7CB3">
        <w:rPr>
          <w:i/>
          <w:lang w:val="pl-PL"/>
        </w:rPr>
        <w:t xml:space="preserve"> Uruguay</w:t>
      </w:r>
      <w:r w:rsidRPr="00EF7CB3">
        <w:rPr>
          <w:lang w:val="pl-PL"/>
        </w:rPr>
        <w:t xml:space="preserve">, </w:t>
      </w:r>
      <w:r>
        <w:rPr>
          <w:lang w:val="pl-PL"/>
        </w:rPr>
        <w:t>ust.</w:t>
      </w:r>
      <w:r w:rsidRPr="00EF7CB3">
        <w:rPr>
          <w:lang w:val="pl-PL"/>
        </w:rPr>
        <w:t xml:space="preserve"> 12.1–13; R.13/56, </w:t>
      </w:r>
      <w:r w:rsidRPr="00EF7CB3">
        <w:rPr>
          <w:i/>
          <w:iCs/>
          <w:lang w:val="pl-PL"/>
        </w:rPr>
        <w:t xml:space="preserve">Celiberti de Casariego </w:t>
      </w:r>
      <w:r w:rsidRPr="00EF7CB3">
        <w:rPr>
          <w:lang w:val="pl-PL"/>
        </w:rPr>
        <w:t>v.</w:t>
      </w:r>
      <w:r w:rsidRPr="00EF7CB3">
        <w:rPr>
          <w:i/>
          <w:iCs/>
          <w:lang w:val="pl-PL"/>
        </w:rPr>
        <w:t> Uruguay</w:t>
      </w:r>
      <w:r w:rsidRPr="00EF7CB3">
        <w:rPr>
          <w:lang w:val="pl-PL"/>
        </w:rPr>
        <w:t xml:space="preserve">, </w:t>
      </w:r>
      <w:r>
        <w:rPr>
          <w:lang w:val="pl-PL"/>
        </w:rPr>
        <w:t>ust.</w:t>
      </w:r>
      <w:r w:rsidRPr="00EF7CB3">
        <w:rPr>
          <w:lang w:val="pl-PL"/>
        </w:rPr>
        <w:t xml:space="preserve"> 10.1–11; 623,624,626,627/1995, </w:t>
      </w:r>
      <w:r w:rsidRPr="00EF7CB3">
        <w:rPr>
          <w:i/>
          <w:lang w:val="pl-PL"/>
        </w:rPr>
        <w:t xml:space="preserve">Domukovsky et al. </w:t>
      </w:r>
      <w:r w:rsidRPr="00EF7CB3">
        <w:rPr>
          <w:lang w:val="pl-PL"/>
        </w:rPr>
        <w:t>v.</w:t>
      </w:r>
      <w:r w:rsidRPr="00EF7CB3">
        <w:rPr>
          <w:i/>
          <w:lang w:val="pl-PL"/>
        </w:rPr>
        <w:t xml:space="preserve"> Georgia</w:t>
      </w:r>
      <w:r w:rsidRPr="00EF7CB3">
        <w:rPr>
          <w:lang w:val="pl-PL"/>
        </w:rPr>
        <w:t xml:space="preserve">, </w:t>
      </w:r>
      <w:r>
        <w:rPr>
          <w:lang w:val="pl-PL"/>
        </w:rPr>
        <w:t>ust.</w:t>
      </w:r>
      <w:r w:rsidRPr="00EF7CB3">
        <w:rPr>
          <w:lang w:val="pl-PL"/>
        </w:rPr>
        <w:t> 18.2.</w:t>
      </w:r>
    </w:p>
  </w:footnote>
  <w:footnote w:id="184">
    <w:p w14:paraId="254A7BAF" w14:textId="508A70BD"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r>
      <w:r>
        <w:rPr>
          <w:lang w:val="pl-PL"/>
        </w:rPr>
        <w:t>Patrz uwagi końcowe</w:t>
      </w:r>
      <w:r w:rsidRPr="00EF7CB3">
        <w:rPr>
          <w:lang w:val="pl-PL"/>
        </w:rPr>
        <w:t xml:space="preserve">: United States of America (CCPR/C/USA/CO/3, 2006), </w:t>
      </w:r>
      <w:r>
        <w:rPr>
          <w:lang w:val="pl-PL"/>
        </w:rPr>
        <w:t>ust.</w:t>
      </w:r>
      <w:r w:rsidRPr="00EF7CB3">
        <w:rPr>
          <w:lang w:val="pl-PL"/>
        </w:rPr>
        <w:t xml:space="preserve"> 12 </w:t>
      </w:r>
      <w:r w:rsidR="00EB439E">
        <w:rPr>
          <w:lang w:val="pl-PL"/>
        </w:rPr>
        <w:t>oraz</w:t>
      </w:r>
      <w:r w:rsidRPr="00EF7CB3">
        <w:rPr>
          <w:lang w:val="pl-PL"/>
        </w:rPr>
        <w:t xml:space="preserve"> 18.</w:t>
      </w:r>
    </w:p>
  </w:footnote>
  <w:footnote w:id="185">
    <w:p w14:paraId="3577B839" w14:textId="49ACB658"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00122F80">
        <w:rPr>
          <w:lang w:val="pl-PL"/>
        </w:rPr>
        <w:tab/>
        <w:t>Uwagi ogólne</w:t>
      </w:r>
      <w:r w:rsidRPr="00EF7CB3">
        <w:rPr>
          <w:lang w:val="pl-PL"/>
        </w:rPr>
        <w:t xml:space="preserve"> </w:t>
      </w:r>
      <w:r w:rsidR="00122F80">
        <w:rPr>
          <w:lang w:val="pl-PL"/>
        </w:rPr>
        <w:t>nr</w:t>
      </w:r>
      <w:r w:rsidRPr="00EF7CB3">
        <w:rPr>
          <w:lang w:val="pl-PL"/>
        </w:rPr>
        <w:t xml:space="preserve"> 31, </w:t>
      </w:r>
      <w:r>
        <w:rPr>
          <w:lang w:val="pl-PL"/>
        </w:rPr>
        <w:t>ust.</w:t>
      </w:r>
      <w:r w:rsidRPr="00EF7CB3">
        <w:rPr>
          <w:lang w:val="pl-PL"/>
        </w:rPr>
        <w:t xml:space="preserve"> 11, </w:t>
      </w:r>
      <w:r w:rsidR="00122F80">
        <w:rPr>
          <w:lang w:val="pl-PL"/>
        </w:rPr>
        <w:t>oraz nr</w:t>
      </w:r>
      <w:r w:rsidRPr="00EF7CB3">
        <w:rPr>
          <w:lang w:val="pl-PL"/>
        </w:rPr>
        <w:t xml:space="preserve"> 29, </w:t>
      </w:r>
      <w:r>
        <w:rPr>
          <w:lang w:val="pl-PL"/>
        </w:rPr>
        <w:t>ust.</w:t>
      </w:r>
      <w:r w:rsidRPr="00EF7CB3">
        <w:rPr>
          <w:lang w:val="pl-PL"/>
        </w:rPr>
        <w:t> 3.</w:t>
      </w:r>
    </w:p>
  </w:footnote>
  <w:footnote w:id="186">
    <w:p w14:paraId="4CE33FC4" w14:textId="0C827E2B"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r>
      <w:r w:rsidR="00122F80">
        <w:rPr>
          <w:lang w:val="pl-PL"/>
        </w:rPr>
        <w:t xml:space="preserve">Uwagi ogólne nr </w:t>
      </w:r>
      <w:r w:rsidRPr="00EF7CB3">
        <w:rPr>
          <w:lang w:val="pl-PL"/>
        </w:rPr>
        <w:t xml:space="preserve">31, </w:t>
      </w:r>
      <w:r>
        <w:rPr>
          <w:lang w:val="pl-PL"/>
        </w:rPr>
        <w:t>ust.</w:t>
      </w:r>
      <w:r w:rsidRPr="00EF7CB3">
        <w:rPr>
          <w:lang w:val="pl-PL"/>
        </w:rPr>
        <w:t xml:space="preserve"> 11, </w:t>
      </w:r>
      <w:r w:rsidR="00122F80">
        <w:rPr>
          <w:lang w:val="pl-PL"/>
        </w:rPr>
        <w:t>oraz</w:t>
      </w:r>
      <w:r w:rsidRPr="00EF7CB3">
        <w:rPr>
          <w:lang w:val="pl-PL"/>
        </w:rPr>
        <w:t xml:space="preserve"> </w:t>
      </w:r>
      <w:r w:rsidR="00122F80">
        <w:rPr>
          <w:lang w:val="pl-PL"/>
        </w:rPr>
        <w:t>nr</w:t>
      </w:r>
      <w:r w:rsidRPr="00EF7CB3">
        <w:rPr>
          <w:lang w:val="pl-PL"/>
        </w:rPr>
        <w:t xml:space="preserve"> 29, </w:t>
      </w:r>
      <w:r>
        <w:rPr>
          <w:lang w:val="pl-PL"/>
        </w:rPr>
        <w:t>ust.</w:t>
      </w:r>
      <w:r w:rsidRPr="00EF7CB3">
        <w:rPr>
          <w:lang w:val="pl-PL"/>
        </w:rPr>
        <w:t xml:space="preserve"> 3, 12 </w:t>
      </w:r>
      <w:r w:rsidR="00122F80">
        <w:rPr>
          <w:lang w:val="pl-PL"/>
        </w:rPr>
        <w:t>i</w:t>
      </w:r>
      <w:r w:rsidRPr="00EF7CB3">
        <w:rPr>
          <w:lang w:val="pl-PL"/>
        </w:rPr>
        <w:t xml:space="preserve"> 16.</w:t>
      </w:r>
    </w:p>
  </w:footnote>
  <w:footnote w:id="187">
    <w:p w14:paraId="451232F8" w14:textId="70833494"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r>
      <w:r>
        <w:rPr>
          <w:lang w:val="pl-PL"/>
        </w:rPr>
        <w:t xml:space="preserve">Uwaga ogólna nr </w:t>
      </w:r>
      <w:r w:rsidRPr="00EF7CB3">
        <w:rPr>
          <w:lang w:val="pl-PL"/>
        </w:rPr>
        <w:t xml:space="preserve">29, </w:t>
      </w:r>
      <w:r>
        <w:rPr>
          <w:lang w:val="pl-PL"/>
        </w:rPr>
        <w:t>ust.</w:t>
      </w:r>
      <w:r w:rsidRPr="00EF7CB3">
        <w:rPr>
          <w:lang w:val="pl-PL"/>
        </w:rPr>
        <w:t xml:space="preserve"> 4–5. </w:t>
      </w:r>
      <w:r w:rsidR="00460844">
        <w:rPr>
          <w:lang w:val="pl-PL"/>
        </w:rPr>
        <w:t xml:space="preserve"> Jeśli konieczność uzasadniająca środki stanowiące odstępstwo wynika z udziału sił zbrojnych Państwa-strony w zagranicznej misji pokojowej, geograficzny i materialny zakres środków stanowiących odstępstwo musi być ograniczony potrzebami misji pokojowej.</w:t>
      </w:r>
      <w:r w:rsidRPr="00EF7CB3">
        <w:rPr>
          <w:lang w:val="pl-PL"/>
        </w:rPr>
        <w:t xml:space="preserve"> </w:t>
      </w:r>
    </w:p>
  </w:footnote>
  <w:footnote w:id="188">
    <w:p w14:paraId="663A3C18" w14:textId="231F7436" w:rsidR="00683B29" w:rsidRPr="00EF7CB3" w:rsidRDefault="00683B29" w:rsidP="00811D3A">
      <w:pPr>
        <w:pStyle w:val="Tekstprzypisudolnego"/>
        <w:rPr>
          <w:lang w:val="pl-PL"/>
        </w:rPr>
      </w:pPr>
      <w:r w:rsidRPr="00EF7CB3">
        <w:rPr>
          <w:lang w:val="pl-PL"/>
        </w:rPr>
        <w:tab/>
      </w:r>
      <w:r w:rsidRPr="00EF7CB3">
        <w:rPr>
          <w:rStyle w:val="Odwoanieprzypisudolnego"/>
          <w:lang w:val="pl-PL"/>
        </w:rPr>
        <w:footnoteRef/>
      </w:r>
      <w:r w:rsidRPr="00EF7CB3">
        <w:rPr>
          <w:lang w:val="pl-PL"/>
        </w:rPr>
        <w:tab/>
      </w:r>
      <w:r>
        <w:rPr>
          <w:lang w:val="pl-PL"/>
        </w:rPr>
        <w:t xml:space="preserve">Uwaga ogólna nr </w:t>
      </w:r>
      <w:r w:rsidRPr="00EF7CB3">
        <w:rPr>
          <w:lang w:val="pl-PL"/>
        </w:rPr>
        <w:t xml:space="preserve">29, </w:t>
      </w:r>
      <w:r>
        <w:rPr>
          <w:lang w:val="pl-PL"/>
        </w:rPr>
        <w:t>ust.</w:t>
      </w:r>
      <w:r w:rsidRPr="00EF7CB3">
        <w:rPr>
          <w:lang w:val="pl-PL"/>
        </w:rPr>
        <w:t> 8–9.</w:t>
      </w:r>
    </w:p>
  </w:footnote>
  <w:footnote w:id="189">
    <w:p w14:paraId="6320430D" w14:textId="5C0C5B26"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Ibid., </w:t>
      </w:r>
      <w:r>
        <w:rPr>
          <w:lang w:val="pl-PL"/>
        </w:rPr>
        <w:t>ust.</w:t>
      </w:r>
      <w:r w:rsidRPr="00EF7CB3">
        <w:rPr>
          <w:lang w:val="pl-PL"/>
        </w:rPr>
        <w:t> 13 (b).</w:t>
      </w:r>
    </w:p>
  </w:footnote>
  <w:footnote w:id="190">
    <w:p w14:paraId="67B93DDC" w14:textId="45A41A2A"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Ibid., </w:t>
      </w:r>
      <w:r>
        <w:rPr>
          <w:lang w:val="pl-PL"/>
        </w:rPr>
        <w:t>ust.</w:t>
      </w:r>
      <w:r w:rsidRPr="00EF7CB3">
        <w:rPr>
          <w:lang w:val="pl-PL"/>
        </w:rPr>
        <w:t xml:space="preserve"> 4 </w:t>
      </w:r>
      <w:r w:rsidR="00122F80">
        <w:rPr>
          <w:lang w:val="pl-PL"/>
        </w:rPr>
        <w:t>oraz</w:t>
      </w:r>
      <w:r w:rsidRPr="00EF7CB3">
        <w:rPr>
          <w:lang w:val="pl-PL"/>
        </w:rPr>
        <w:t xml:space="preserve"> 11.</w:t>
      </w:r>
    </w:p>
  </w:footnote>
  <w:footnote w:id="191">
    <w:p w14:paraId="48870F97" w14:textId="7DE4B7E7"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Ibid., </w:t>
      </w:r>
      <w:r>
        <w:rPr>
          <w:lang w:val="pl-PL"/>
        </w:rPr>
        <w:t>ust.</w:t>
      </w:r>
      <w:r w:rsidRPr="00EF7CB3">
        <w:rPr>
          <w:lang w:val="pl-PL"/>
        </w:rPr>
        <w:t> 3.</w:t>
      </w:r>
    </w:p>
  </w:footnote>
  <w:footnote w:id="192">
    <w:p w14:paraId="006DF890" w14:textId="475D6295"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Ibid., </w:t>
      </w:r>
      <w:r>
        <w:rPr>
          <w:lang w:val="pl-PL"/>
        </w:rPr>
        <w:t>ust.</w:t>
      </w:r>
      <w:r w:rsidRPr="00EF7CB3">
        <w:rPr>
          <w:lang w:val="pl-PL"/>
        </w:rPr>
        <w:t xml:space="preserve"> 4, 11 </w:t>
      </w:r>
      <w:r w:rsidR="00122F80">
        <w:rPr>
          <w:lang w:val="pl-PL"/>
        </w:rPr>
        <w:t>oraz</w:t>
      </w:r>
      <w:r w:rsidRPr="00EF7CB3">
        <w:rPr>
          <w:lang w:val="pl-PL"/>
        </w:rPr>
        <w:t xml:space="preserve"> 15.</w:t>
      </w:r>
    </w:p>
  </w:footnote>
  <w:footnote w:id="193">
    <w:p w14:paraId="15E56496" w14:textId="3003A1DC"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t xml:space="preserve">Ibid., </w:t>
      </w:r>
      <w:r>
        <w:rPr>
          <w:lang w:val="pl-PL"/>
        </w:rPr>
        <w:t>ust.</w:t>
      </w:r>
      <w:r w:rsidRPr="00EF7CB3">
        <w:rPr>
          <w:lang w:val="pl-PL"/>
        </w:rPr>
        <w:t xml:space="preserve"> 16; </w:t>
      </w:r>
      <w:r w:rsidR="00122F80">
        <w:rPr>
          <w:lang w:val="pl-PL"/>
        </w:rPr>
        <w:t xml:space="preserve">punkt </w:t>
      </w:r>
      <w:r w:rsidRPr="00EF7CB3">
        <w:rPr>
          <w:lang w:val="pl-PL"/>
        </w:rPr>
        <w:t xml:space="preserve">67 </w:t>
      </w:r>
      <w:r w:rsidR="00122F80">
        <w:rPr>
          <w:lang w:val="pl-PL"/>
        </w:rPr>
        <w:t>poniżej</w:t>
      </w:r>
      <w:r w:rsidRPr="00EF7CB3">
        <w:rPr>
          <w:lang w:val="pl-PL"/>
        </w:rPr>
        <w:t>.</w:t>
      </w:r>
    </w:p>
  </w:footnote>
  <w:footnote w:id="194">
    <w:p w14:paraId="1C5091C8" w14:textId="0442B63D"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r>
      <w:r>
        <w:rPr>
          <w:lang w:val="pl-PL"/>
        </w:rPr>
        <w:t xml:space="preserve">Uwaga ogólna nr </w:t>
      </w:r>
      <w:r w:rsidRPr="00EF7CB3">
        <w:rPr>
          <w:lang w:val="pl-PL"/>
        </w:rPr>
        <w:t xml:space="preserve">32, </w:t>
      </w:r>
      <w:r>
        <w:rPr>
          <w:lang w:val="pl-PL"/>
        </w:rPr>
        <w:t>ust.</w:t>
      </w:r>
      <w:r w:rsidRPr="00EF7CB3">
        <w:rPr>
          <w:lang w:val="pl-PL"/>
        </w:rPr>
        <w:t> 6.</w:t>
      </w:r>
    </w:p>
  </w:footnote>
  <w:footnote w:id="195">
    <w:p w14:paraId="59F568FA" w14:textId="1183EDFD"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r>
      <w:r>
        <w:rPr>
          <w:lang w:val="pl-PL"/>
        </w:rPr>
        <w:t xml:space="preserve">Uwaga ogólna nr </w:t>
      </w:r>
      <w:r w:rsidRPr="00EF7CB3">
        <w:rPr>
          <w:lang w:val="pl-PL"/>
        </w:rPr>
        <w:t xml:space="preserve">29, </w:t>
      </w:r>
      <w:r>
        <w:rPr>
          <w:lang w:val="pl-PL"/>
        </w:rPr>
        <w:t>ust.</w:t>
      </w:r>
      <w:r w:rsidRPr="00EF7CB3">
        <w:rPr>
          <w:lang w:val="pl-PL"/>
        </w:rPr>
        <w:t> 16.</w:t>
      </w:r>
    </w:p>
  </w:footnote>
  <w:footnote w:id="196">
    <w:p w14:paraId="36C933AC" w14:textId="779D39AE" w:rsidR="00683B29" w:rsidRPr="00EF7CB3" w:rsidRDefault="00683B29" w:rsidP="007814B2">
      <w:pPr>
        <w:pStyle w:val="Tekstprzypisudolnego"/>
        <w:rPr>
          <w:lang w:val="pl-PL"/>
        </w:rPr>
      </w:pPr>
      <w:r w:rsidRPr="00EF7CB3">
        <w:rPr>
          <w:lang w:val="pl-PL"/>
        </w:rPr>
        <w:tab/>
      </w:r>
      <w:r w:rsidRPr="00EF7CB3">
        <w:rPr>
          <w:rStyle w:val="Odwoanieprzypisudolnego"/>
          <w:lang w:val="pl-PL"/>
        </w:rPr>
        <w:footnoteRef/>
      </w:r>
      <w:r w:rsidRPr="00EF7CB3">
        <w:rPr>
          <w:lang w:val="pl-PL"/>
        </w:rPr>
        <w:tab/>
      </w:r>
      <w:r>
        <w:rPr>
          <w:lang w:val="pl-PL"/>
        </w:rPr>
        <w:t xml:space="preserve">Uwaga ogólna nr </w:t>
      </w:r>
      <w:r w:rsidRPr="00EF7CB3">
        <w:rPr>
          <w:lang w:val="pl-PL"/>
        </w:rPr>
        <w:t xml:space="preserve">24, </w:t>
      </w:r>
      <w:r>
        <w:rPr>
          <w:lang w:val="pl-PL"/>
        </w:rPr>
        <w:t>ust.</w:t>
      </w:r>
      <w:r w:rsidRPr="00EF7CB3">
        <w:rPr>
          <w:lang w:val="pl-PL"/>
        </w:rPr>
        <w:t>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F33C7" w14:textId="77777777" w:rsidR="00683B29" w:rsidRPr="00CC4EC6" w:rsidRDefault="00683B29">
    <w:pPr>
      <w:pStyle w:val="Nagwek"/>
      <w:rPr>
        <w:lang w:val="pl-PL"/>
      </w:rPr>
    </w:pPr>
    <w:r>
      <w:t>CCPR/C/GC/35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883B3" w14:textId="77777777" w:rsidR="00683B29" w:rsidRPr="00CC4EC6" w:rsidRDefault="00683B29" w:rsidP="00561CEF">
    <w:pPr>
      <w:pStyle w:val="Nagwek"/>
      <w:jc w:val="right"/>
      <w:rPr>
        <w:lang w:val="pl-PL"/>
      </w:rPr>
    </w:pPr>
    <w:r>
      <w:t>CCPR/C/GC/35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DBC40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D44A22"/>
    <w:multiLevelType w:val="hybridMultilevel"/>
    <w:tmpl w:val="34C6E5BE"/>
    <w:lvl w:ilvl="0" w:tplc="9288CD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81000AD"/>
    <w:multiLevelType w:val="hybridMultilevel"/>
    <w:tmpl w:val="2924D68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7F6341"/>
    <w:multiLevelType w:val="hybridMultilevel"/>
    <w:tmpl w:val="E2B00D52"/>
    <w:lvl w:ilvl="0" w:tplc="854A11DA">
      <w:start w:val="1"/>
      <w:numFmt w:val="decimal"/>
      <w:lvlText w:val="%1."/>
      <w:lvlJc w:val="left"/>
      <w:pPr>
        <w:ind w:left="1689" w:hanging="555"/>
      </w:pPr>
      <w:rPr>
        <w:rFonts w:hint="default"/>
        <w:b w:val="0"/>
        <w:bCs/>
        <w:i w:val="0"/>
        <w:iCs/>
        <w:vertAlign w:val="baseline"/>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1EC23B11"/>
    <w:multiLevelType w:val="hybridMultilevel"/>
    <w:tmpl w:val="C7F46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4729C4"/>
    <w:multiLevelType w:val="hybridMultilevel"/>
    <w:tmpl w:val="E508210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77750968"/>
    <w:multiLevelType w:val="hybridMultilevel"/>
    <w:tmpl w:val="207A3B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8A22C74"/>
    <w:multiLevelType w:val="hybridMultilevel"/>
    <w:tmpl w:val="C7F46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9"/>
  </w:num>
  <w:num w:numId="4">
    <w:abstractNumId w:val="5"/>
  </w:num>
  <w:num w:numId="5">
    <w:abstractNumId w:val="1"/>
  </w:num>
  <w:num w:numId="6">
    <w:abstractNumId w:val="3"/>
  </w:num>
  <w:num w:numId="7">
    <w:abstractNumId w:val="8"/>
  </w:num>
  <w:num w:numId="8">
    <w:abstractNumId w:val="6"/>
  </w:num>
  <w:num w:numId="9">
    <w:abstractNumId w:val="4"/>
  </w:num>
  <w:num w:numId="1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en-GB" w:vendorID="64" w:dllVersion="131077" w:nlCheck="1" w:checkStyle="1"/>
  <w:activeWritingStyle w:appName="MSWord" w:lang="en-GB" w:vendorID="64" w:dllVersion="131078" w:nlCheck="1" w:checkStyle="0"/>
  <w:activeWritingStyle w:appName="MSWord" w:lang="en-CA"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CEF"/>
    <w:rsid w:val="00004309"/>
    <w:rsid w:val="00005EE1"/>
    <w:rsid w:val="00010630"/>
    <w:rsid w:val="00011199"/>
    <w:rsid w:val="00011B62"/>
    <w:rsid w:val="00011E8C"/>
    <w:rsid w:val="0001202C"/>
    <w:rsid w:val="000164EE"/>
    <w:rsid w:val="000165F4"/>
    <w:rsid w:val="00016D74"/>
    <w:rsid w:val="00016F0D"/>
    <w:rsid w:val="00024033"/>
    <w:rsid w:val="000270CB"/>
    <w:rsid w:val="000272B3"/>
    <w:rsid w:val="00031FAA"/>
    <w:rsid w:val="00034932"/>
    <w:rsid w:val="00040AAD"/>
    <w:rsid w:val="000455BF"/>
    <w:rsid w:val="00045D7D"/>
    <w:rsid w:val="00046BE5"/>
    <w:rsid w:val="0004710A"/>
    <w:rsid w:val="0005055F"/>
    <w:rsid w:val="00050F6B"/>
    <w:rsid w:val="00052107"/>
    <w:rsid w:val="00053051"/>
    <w:rsid w:val="0005365D"/>
    <w:rsid w:val="00054F4D"/>
    <w:rsid w:val="00057E97"/>
    <w:rsid w:val="00060C3A"/>
    <w:rsid w:val="0006612C"/>
    <w:rsid w:val="00070F70"/>
    <w:rsid w:val="00072C8C"/>
    <w:rsid w:val="000733B5"/>
    <w:rsid w:val="00080DE3"/>
    <w:rsid w:val="00081815"/>
    <w:rsid w:val="000818E7"/>
    <w:rsid w:val="000828F9"/>
    <w:rsid w:val="00082EA6"/>
    <w:rsid w:val="00084841"/>
    <w:rsid w:val="00087C5C"/>
    <w:rsid w:val="00090FA0"/>
    <w:rsid w:val="0009255A"/>
    <w:rsid w:val="00092CDF"/>
    <w:rsid w:val="00092DC7"/>
    <w:rsid w:val="000931C0"/>
    <w:rsid w:val="00096458"/>
    <w:rsid w:val="000966B5"/>
    <w:rsid w:val="000A1EBF"/>
    <w:rsid w:val="000A6788"/>
    <w:rsid w:val="000A7CBF"/>
    <w:rsid w:val="000B175B"/>
    <w:rsid w:val="000B35DD"/>
    <w:rsid w:val="000B3A0F"/>
    <w:rsid w:val="000B4EF7"/>
    <w:rsid w:val="000B54F9"/>
    <w:rsid w:val="000B7E08"/>
    <w:rsid w:val="000C2C03"/>
    <w:rsid w:val="000C2D2E"/>
    <w:rsid w:val="000C716F"/>
    <w:rsid w:val="000C7E17"/>
    <w:rsid w:val="000D070E"/>
    <w:rsid w:val="000D494A"/>
    <w:rsid w:val="000D6DD6"/>
    <w:rsid w:val="000D7A15"/>
    <w:rsid w:val="000E0415"/>
    <w:rsid w:val="000E051B"/>
    <w:rsid w:val="000F0E28"/>
    <w:rsid w:val="000F27F7"/>
    <w:rsid w:val="000F6BE6"/>
    <w:rsid w:val="000F7A08"/>
    <w:rsid w:val="001043E4"/>
    <w:rsid w:val="00106189"/>
    <w:rsid w:val="001103AA"/>
    <w:rsid w:val="00115C6C"/>
    <w:rsid w:val="001171F9"/>
    <w:rsid w:val="00122F80"/>
    <w:rsid w:val="00126DC1"/>
    <w:rsid w:val="00127DA5"/>
    <w:rsid w:val="00137CDD"/>
    <w:rsid w:val="00141D94"/>
    <w:rsid w:val="00145AD9"/>
    <w:rsid w:val="00151454"/>
    <w:rsid w:val="00155B5A"/>
    <w:rsid w:val="00157BC6"/>
    <w:rsid w:val="00160889"/>
    <w:rsid w:val="001623A5"/>
    <w:rsid w:val="001640D2"/>
    <w:rsid w:val="00165F3A"/>
    <w:rsid w:val="00166393"/>
    <w:rsid w:val="00167012"/>
    <w:rsid w:val="001704CF"/>
    <w:rsid w:val="00170EE9"/>
    <w:rsid w:val="00171C25"/>
    <w:rsid w:val="001741CD"/>
    <w:rsid w:val="0017491F"/>
    <w:rsid w:val="00180E8F"/>
    <w:rsid w:val="00183968"/>
    <w:rsid w:val="00191C4B"/>
    <w:rsid w:val="0019403C"/>
    <w:rsid w:val="00194D50"/>
    <w:rsid w:val="00195177"/>
    <w:rsid w:val="00197D31"/>
    <w:rsid w:val="001A3539"/>
    <w:rsid w:val="001A63A2"/>
    <w:rsid w:val="001A6686"/>
    <w:rsid w:val="001A6C0A"/>
    <w:rsid w:val="001B3F28"/>
    <w:rsid w:val="001B4B04"/>
    <w:rsid w:val="001B5CD4"/>
    <w:rsid w:val="001C07AF"/>
    <w:rsid w:val="001C3D14"/>
    <w:rsid w:val="001C4A43"/>
    <w:rsid w:val="001C6269"/>
    <w:rsid w:val="001C6663"/>
    <w:rsid w:val="001C74EE"/>
    <w:rsid w:val="001C7895"/>
    <w:rsid w:val="001D0C8C"/>
    <w:rsid w:val="001D1FA8"/>
    <w:rsid w:val="001D26DF"/>
    <w:rsid w:val="001D3A03"/>
    <w:rsid w:val="001D558A"/>
    <w:rsid w:val="001D70FE"/>
    <w:rsid w:val="001E0F18"/>
    <w:rsid w:val="001E2928"/>
    <w:rsid w:val="001E4300"/>
    <w:rsid w:val="001E58CE"/>
    <w:rsid w:val="001F304F"/>
    <w:rsid w:val="001F4244"/>
    <w:rsid w:val="00201CC7"/>
    <w:rsid w:val="00202DA8"/>
    <w:rsid w:val="0020431C"/>
    <w:rsid w:val="00205BA1"/>
    <w:rsid w:val="00206778"/>
    <w:rsid w:val="0020769B"/>
    <w:rsid w:val="00210A20"/>
    <w:rsid w:val="00211A65"/>
    <w:rsid w:val="00211E0B"/>
    <w:rsid w:val="0021207D"/>
    <w:rsid w:val="00216F78"/>
    <w:rsid w:val="002200F6"/>
    <w:rsid w:val="00226677"/>
    <w:rsid w:val="0023210C"/>
    <w:rsid w:val="002338E7"/>
    <w:rsid w:val="002346F3"/>
    <w:rsid w:val="00237BB1"/>
    <w:rsid w:val="00237F30"/>
    <w:rsid w:val="00241655"/>
    <w:rsid w:val="00242C32"/>
    <w:rsid w:val="00251764"/>
    <w:rsid w:val="00254646"/>
    <w:rsid w:val="00261F68"/>
    <w:rsid w:val="00263E08"/>
    <w:rsid w:val="0026477E"/>
    <w:rsid w:val="00267A60"/>
    <w:rsid w:val="00267F5F"/>
    <w:rsid w:val="002715DE"/>
    <w:rsid w:val="00274E40"/>
    <w:rsid w:val="002765FF"/>
    <w:rsid w:val="0027698B"/>
    <w:rsid w:val="00277135"/>
    <w:rsid w:val="002775C3"/>
    <w:rsid w:val="00281B9E"/>
    <w:rsid w:val="00286B4D"/>
    <w:rsid w:val="00290296"/>
    <w:rsid w:val="00292430"/>
    <w:rsid w:val="002A3B8E"/>
    <w:rsid w:val="002A7882"/>
    <w:rsid w:val="002B00B8"/>
    <w:rsid w:val="002B0368"/>
    <w:rsid w:val="002B0B62"/>
    <w:rsid w:val="002B1B2D"/>
    <w:rsid w:val="002B458F"/>
    <w:rsid w:val="002D15B8"/>
    <w:rsid w:val="002D3AFE"/>
    <w:rsid w:val="002E0CAF"/>
    <w:rsid w:val="002E27C7"/>
    <w:rsid w:val="002E334A"/>
    <w:rsid w:val="002E50CF"/>
    <w:rsid w:val="002E6D48"/>
    <w:rsid w:val="002F0EB0"/>
    <w:rsid w:val="002F175C"/>
    <w:rsid w:val="002F1F8E"/>
    <w:rsid w:val="002F3837"/>
    <w:rsid w:val="002F41F7"/>
    <w:rsid w:val="002F74B3"/>
    <w:rsid w:val="00300137"/>
    <w:rsid w:val="00310B93"/>
    <w:rsid w:val="00310F31"/>
    <w:rsid w:val="003229D8"/>
    <w:rsid w:val="00324451"/>
    <w:rsid w:val="00332475"/>
    <w:rsid w:val="00340A56"/>
    <w:rsid w:val="00344038"/>
    <w:rsid w:val="003460E8"/>
    <w:rsid w:val="003478A0"/>
    <w:rsid w:val="00350327"/>
    <w:rsid w:val="00351D9B"/>
    <w:rsid w:val="00352709"/>
    <w:rsid w:val="003545D7"/>
    <w:rsid w:val="00354733"/>
    <w:rsid w:val="00355127"/>
    <w:rsid w:val="003565A0"/>
    <w:rsid w:val="00357712"/>
    <w:rsid w:val="003671BC"/>
    <w:rsid w:val="00367567"/>
    <w:rsid w:val="00371178"/>
    <w:rsid w:val="00371602"/>
    <w:rsid w:val="00372469"/>
    <w:rsid w:val="003728FE"/>
    <w:rsid w:val="003743EC"/>
    <w:rsid w:val="003750E6"/>
    <w:rsid w:val="00375D89"/>
    <w:rsid w:val="00377541"/>
    <w:rsid w:val="003818EF"/>
    <w:rsid w:val="00382F01"/>
    <w:rsid w:val="0038336C"/>
    <w:rsid w:val="00397632"/>
    <w:rsid w:val="003A15AC"/>
    <w:rsid w:val="003A1993"/>
    <w:rsid w:val="003A3C40"/>
    <w:rsid w:val="003A5690"/>
    <w:rsid w:val="003A5BB8"/>
    <w:rsid w:val="003A6810"/>
    <w:rsid w:val="003B04EE"/>
    <w:rsid w:val="003B2DCF"/>
    <w:rsid w:val="003B6767"/>
    <w:rsid w:val="003B7600"/>
    <w:rsid w:val="003C0FA9"/>
    <w:rsid w:val="003C1E05"/>
    <w:rsid w:val="003C2CC4"/>
    <w:rsid w:val="003C2DDC"/>
    <w:rsid w:val="003C453F"/>
    <w:rsid w:val="003D231E"/>
    <w:rsid w:val="003D287D"/>
    <w:rsid w:val="003D3060"/>
    <w:rsid w:val="003D3CA7"/>
    <w:rsid w:val="003D4B23"/>
    <w:rsid w:val="003D4E8B"/>
    <w:rsid w:val="003D50E9"/>
    <w:rsid w:val="003D595D"/>
    <w:rsid w:val="003D6080"/>
    <w:rsid w:val="003D6BA5"/>
    <w:rsid w:val="003E24A7"/>
    <w:rsid w:val="003E3A78"/>
    <w:rsid w:val="003E3D72"/>
    <w:rsid w:val="003E5B3D"/>
    <w:rsid w:val="003E6F12"/>
    <w:rsid w:val="003E75FE"/>
    <w:rsid w:val="003F20F4"/>
    <w:rsid w:val="003F29F3"/>
    <w:rsid w:val="003F4602"/>
    <w:rsid w:val="00406DF4"/>
    <w:rsid w:val="00406E09"/>
    <w:rsid w:val="00407383"/>
    <w:rsid w:val="00410C89"/>
    <w:rsid w:val="00412F37"/>
    <w:rsid w:val="004138A6"/>
    <w:rsid w:val="0041713E"/>
    <w:rsid w:val="00420B63"/>
    <w:rsid w:val="00422811"/>
    <w:rsid w:val="00422BBB"/>
    <w:rsid w:val="00426651"/>
    <w:rsid w:val="00426B9B"/>
    <w:rsid w:val="00427DF5"/>
    <w:rsid w:val="00427E58"/>
    <w:rsid w:val="004325CB"/>
    <w:rsid w:val="004325E1"/>
    <w:rsid w:val="00432712"/>
    <w:rsid w:val="00435BBC"/>
    <w:rsid w:val="00436B33"/>
    <w:rsid w:val="004420E6"/>
    <w:rsid w:val="004421B8"/>
    <w:rsid w:val="00442884"/>
    <w:rsid w:val="00442A83"/>
    <w:rsid w:val="00445610"/>
    <w:rsid w:val="00450A21"/>
    <w:rsid w:val="00450E7A"/>
    <w:rsid w:val="00453D5A"/>
    <w:rsid w:val="004545A2"/>
    <w:rsid w:val="0045495B"/>
    <w:rsid w:val="004554CF"/>
    <w:rsid w:val="00460844"/>
    <w:rsid w:val="004613EC"/>
    <w:rsid w:val="004655EE"/>
    <w:rsid w:val="004659D2"/>
    <w:rsid w:val="00466F16"/>
    <w:rsid w:val="00470B85"/>
    <w:rsid w:val="0047134E"/>
    <w:rsid w:val="00474154"/>
    <w:rsid w:val="00476CAB"/>
    <w:rsid w:val="00477577"/>
    <w:rsid w:val="00482E59"/>
    <w:rsid w:val="004832F4"/>
    <w:rsid w:val="00483CD7"/>
    <w:rsid w:val="00484D0B"/>
    <w:rsid w:val="00487488"/>
    <w:rsid w:val="00491E58"/>
    <w:rsid w:val="00493BC8"/>
    <w:rsid w:val="00496444"/>
    <w:rsid w:val="004A19FC"/>
    <w:rsid w:val="004A28F0"/>
    <w:rsid w:val="004A409C"/>
    <w:rsid w:val="004A7B4D"/>
    <w:rsid w:val="004A7D7C"/>
    <w:rsid w:val="004B097B"/>
    <w:rsid w:val="004B0F72"/>
    <w:rsid w:val="004B346B"/>
    <w:rsid w:val="004B6088"/>
    <w:rsid w:val="004C082C"/>
    <w:rsid w:val="004C3FF1"/>
    <w:rsid w:val="004D1FD6"/>
    <w:rsid w:val="004D31BE"/>
    <w:rsid w:val="004D51CE"/>
    <w:rsid w:val="004D699B"/>
    <w:rsid w:val="004D6FB4"/>
    <w:rsid w:val="004E25CF"/>
    <w:rsid w:val="004E4928"/>
    <w:rsid w:val="004E4966"/>
    <w:rsid w:val="004F4CBF"/>
    <w:rsid w:val="004F4D0C"/>
    <w:rsid w:val="004F4F4C"/>
    <w:rsid w:val="004F5E77"/>
    <w:rsid w:val="005013C8"/>
    <w:rsid w:val="00502181"/>
    <w:rsid w:val="00511777"/>
    <w:rsid w:val="005131E2"/>
    <w:rsid w:val="00513438"/>
    <w:rsid w:val="00513C8F"/>
    <w:rsid w:val="00513E99"/>
    <w:rsid w:val="005144CD"/>
    <w:rsid w:val="00516A99"/>
    <w:rsid w:val="00520ADD"/>
    <w:rsid w:val="0052136D"/>
    <w:rsid w:val="00521612"/>
    <w:rsid w:val="00522876"/>
    <w:rsid w:val="005233B3"/>
    <w:rsid w:val="005240F8"/>
    <w:rsid w:val="00525694"/>
    <w:rsid w:val="005262D5"/>
    <w:rsid w:val="0052775E"/>
    <w:rsid w:val="005304EC"/>
    <w:rsid w:val="00530E4F"/>
    <w:rsid w:val="00530FC7"/>
    <w:rsid w:val="005329D6"/>
    <w:rsid w:val="005333DF"/>
    <w:rsid w:val="00541811"/>
    <w:rsid w:val="005420F2"/>
    <w:rsid w:val="00542AEB"/>
    <w:rsid w:val="005538D9"/>
    <w:rsid w:val="00556310"/>
    <w:rsid w:val="00561602"/>
    <w:rsid w:val="00561CEF"/>
    <w:rsid w:val="005628B6"/>
    <w:rsid w:val="00563BA5"/>
    <w:rsid w:val="00564BED"/>
    <w:rsid w:val="00567D76"/>
    <w:rsid w:val="00573D9E"/>
    <w:rsid w:val="00575C33"/>
    <w:rsid w:val="00575E6D"/>
    <w:rsid w:val="00576B4B"/>
    <w:rsid w:val="005848B3"/>
    <w:rsid w:val="00585B5F"/>
    <w:rsid w:val="005870CA"/>
    <w:rsid w:val="00587C88"/>
    <w:rsid w:val="00590F87"/>
    <w:rsid w:val="00591944"/>
    <w:rsid w:val="00592C4A"/>
    <w:rsid w:val="005A0BEC"/>
    <w:rsid w:val="005A2A47"/>
    <w:rsid w:val="005A36F8"/>
    <w:rsid w:val="005A4266"/>
    <w:rsid w:val="005B19A2"/>
    <w:rsid w:val="005B23EE"/>
    <w:rsid w:val="005B3DB3"/>
    <w:rsid w:val="005B68BD"/>
    <w:rsid w:val="005C1A46"/>
    <w:rsid w:val="005D4E08"/>
    <w:rsid w:val="005D5B9B"/>
    <w:rsid w:val="005D5BBD"/>
    <w:rsid w:val="005E6506"/>
    <w:rsid w:val="005F1D70"/>
    <w:rsid w:val="005F27DA"/>
    <w:rsid w:val="005F465D"/>
    <w:rsid w:val="005F5EEF"/>
    <w:rsid w:val="005F5FF2"/>
    <w:rsid w:val="005F7717"/>
    <w:rsid w:val="005F7754"/>
    <w:rsid w:val="005F7B75"/>
    <w:rsid w:val="006001EE"/>
    <w:rsid w:val="006037A5"/>
    <w:rsid w:val="00604ACD"/>
    <w:rsid w:val="00605042"/>
    <w:rsid w:val="00605185"/>
    <w:rsid w:val="006057FD"/>
    <w:rsid w:val="00611FC4"/>
    <w:rsid w:val="00612880"/>
    <w:rsid w:val="006137D3"/>
    <w:rsid w:val="0061579C"/>
    <w:rsid w:val="006176FB"/>
    <w:rsid w:val="00624323"/>
    <w:rsid w:val="00626831"/>
    <w:rsid w:val="00627F43"/>
    <w:rsid w:val="00631455"/>
    <w:rsid w:val="006329FA"/>
    <w:rsid w:val="00637BCF"/>
    <w:rsid w:val="0064060F"/>
    <w:rsid w:val="00640B26"/>
    <w:rsid w:val="00645679"/>
    <w:rsid w:val="00652D0A"/>
    <w:rsid w:val="00657858"/>
    <w:rsid w:val="00662793"/>
    <w:rsid w:val="00662BB6"/>
    <w:rsid w:val="00664D6C"/>
    <w:rsid w:val="00665700"/>
    <w:rsid w:val="0066704C"/>
    <w:rsid w:val="00671A49"/>
    <w:rsid w:val="006764C9"/>
    <w:rsid w:val="00677648"/>
    <w:rsid w:val="006805AA"/>
    <w:rsid w:val="00683B29"/>
    <w:rsid w:val="00684C21"/>
    <w:rsid w:val="00692767"/>
    <w:rsid w:val="00692972"/>
    <w:rsid w:val="0069436B"/>
    <w:rsid w:val="006952F5"/>
    <w:rsid w:val="0069579B"/>
    <w:rsid w:val="006A1737"/>
    <w:rsid w:val="006A2AD5"/>
    <w:rsid w:val="006A516D"/>
    <w:rsid w:val="006A625E"/>
    <w:rsid w:val="006B02B2"/>
    <w:rsid w:val="006B3BDA"/>
    <w:rsid w:val="006B7E8B"/>
    <w:rsid w:val="006C2249"/>
    <w:rsid w:val="006C2402"/>
    <w:rsid w:val="006C7EA3"/>
    <w:rsid w:val="006D2537"/>
    <w:rsid w:val="006D2846"/>
    <w:rsid w:val="006D37AF"/>
    <w:rsid w:val="006D51D0"/>
    <w:rsid w:val="006D764A"/>
    <w:rsid w:val="006E0ABC"/>
    <w:rsid w:val="006E0ADA"/>
    <w:rsid w:val="006E1AF2"/>
    <w:rsid w:val="006E4E51"/>
    <w:rsid w:val="006E5526"/>
    <w:rsid w:val="006E564B"/>
    <w:rsid w:val="006E7191"/>
    <w:rsid w:val="006F13C3"/>
    <w:rsid w:val="006F162C"/>
    <w:rsid w:val="006F57BA"/>
    <w:rsid w:val="0070184B"/>
    <w:rsid w:val="00702709"/>
    <w:rsid w:val="00703577"/>
    <w:rsid w:val="00707CDC"/>
    <w:rsid w:val="00712DC4"/>
    <w:rsid w:val="007171F8"/>
    <w:rsid w:val="00717518"/>
    <w:rsid w:val="0072632A"/>
    <w:rsid w:val="007269A9"/>
    <w:rsid w:val="00730254"/>
    <w:rsid w:val="007327D5"/>
    <w:rsid w:val="00734BD4"/>
    <w:rsid w:val="007369FB"/>
    <w:rsid w:val="00736AE8"/>
    <w:rsid w:val="00740A08"/>
    <w:rsid w:val="00743528"/>
    <w:rsid w:val="00744093"/>
    <w:rsid w:val="00753220"/>
    <w:rsid w:val="0075322F"/>
    <w:rsid w:val="007629C8"/>
    <w:rsid w:val="00764160"/>
    <w:rsid w:val="00772CDD"/>
    <w:rsid w:val="00772D6D"/>
    <w:rsid w:val="007739C7"/>
    <w:rsid w:val="0078034F"/>
    <w:rsid w:val="007814B2"/>
    <w:rsid w:val="0078492D"/>
    <w:rsid w:val="00786AF6"/>
    <w:rsid w:val="00786FBA"/>
    <w:rsid w:val="007908A5"/>
    <w:rsid w:val="00790C59"/>
    <w:rsid w:val="00791030"/>
    <w:rsid w:val="00793C0A"/>
    <w:rsid w:val="007949AF"/>
    <w:rsid w:val="00795713"/>
    <w:rsid w:val="007959AB"/>
    <w:rsid w:val="00796D8F"/>
    <w:rsid w:val="00797589"/>
    <w:rsid w:val="007A7CFA"/>
    <w:rsid w:val="007B30B5"/>
    <w:rsid w:val="007B663C"/>
    <w:rsid w:val="007B6BA5"/>
    <w:rsid w:val="007C1BE1"/>
    <w:rsid w:val="007C1E5B"/>
    <w:rsid w:val="007C263A"/>
    <w:rsid w:val="007C2670"/>
    <w:rsid w:val="007C29FD"/>
    <w:rsid w:val="007C3390"/>
    <w:rsid w:val="007C4F4B"/>
    <w:rsid w:val="007C784F"/>
    <w:rsid w:val="007C7C5D"/>
    <w:rsid w:val="007D3C90"/>
    <w:rsid w:val="007D6294"/>
    <w:rsid w:val="007D6705"/>
    <w:rsid w:val="007D6867"/>
    <w:rsid w:val="007E0A92"/>
    <w:rsid w:val="007E0B2D"/>
    <w:rsid w:val="007E1AAB"/>
    <w:rsid w:val="007E1DE1"/>
    <w:rsid w:val="007E2527"/>
    <w:rsid w:val="007E2F8B"/>
    <w:rsid w:val="007E6DFC"/>
    <w:rsid w:val="007F0305"/>
    <w:rsid w:val="007F0430"/>
    <w:rsid w:val="007F6611"/>
    <w:rsid w:val="00800722"/>
    <w:rsid w:val="008011FF"/>
    <w:rsid w:val="0080164E"/>
    <w:rsid w:val="008032C0"/>
    <w:rsid w:val="00804FF2"/>
    <w:rsid w:val="008063A1"/>
    <w:rsid w:val="008105B8"/>
    <w:rsid w:val="008110D4"/>
    <w:rsid w:val="00811D3A"/>
    <w:rsid w:val="008123DD"/>
    <w:rsid w:val="0081465F"/>
    <w:rsid w:val="00815D04"/>
    <w:rsid w:val="00815E0F"/>
    <w:rsid w:val="00820649"/>
    <w:rsid w:val="008220D8"/>
    <w:rsid w:val="00823057"/>
    <w:rsid w:val="008242D7"/>
    <w:rsid w:val="008257B1"/>
    <w:rsid w:val="008257FA"/>
    <w:rsid w:val="00830C4D"/>
    <w:rsid w:val="00833A9D"/>
    <w:rsid w:val="00834951"/>
    <w:rsid w:val="00835591"/>
    <w:rsid w:val="00836AA3"/>
    <w:rsid w:val="00841A24"/>
    <w:rsid w:val="00843767"/>
    <w:rsid w:val="00843A74"/>
    <w:rsid w:val="00843DF2"/>
    <w:rsid w:val="00846E7C"/>
    <w:rsid w:val="0085575F"/>
    <w:rsid w:val="00860328"/>
    <w:rsid w:val="00862949"/>
    <w:rsid w:val="008679D9"/>
    <w:rsid w:val="00875D97"/>
    <w:rsid w:val="008761A4"/>
    <w:rsid w:val="00876B6B"/>
    <w:rsid w:val="00880156"/>
    <w:rsid w:val="00881365"/>
    <w:rsid w:val="00885089"/>
    <w:rsid w:val="00885A3F"/>
    <w:rsid w:val="00887493"/>
    <w:rsid w:val="00891C18"/>
    <w:rsid w:val="00893F31"/>
    <w:rsid w:val="00896950"/>
    <w:rsid w:val="008979B1"/>
    <w:rsid w:val="008A171D"/>
    <w:rsid w:val="008A1DB2"/>
    <w:rsid w:val="008A6B25"/>
    <w:rsid w:val="008A6C4F"/>
    <w:rsid w:val="008B11E6"/>
    <w:rsid w:val="008B1C84"/>
    <w:rsid w:val="008B1E1E"/>
    <w:rsid w:val="008B2267"/>
    <w:rsid w:val="008B2335"/>
    <w:rsid w:val="008B6153"/>
    <w:rsid w:val="008C2E3A"/>
    <w:rsid w:val="008C5F1F"/>
    <w:rsid w:val="008C7E3E"/>
    <w:rsid w:val="008D0701"/>
    <w:rsid w:val="008D3BFF"/>
    <w:rsid w:val="008E0678"/>
    <w:rsid w:val="008E337E"/>
    <w:rsid w:val="008E3587"/>
    <w:rsid w:val="008E794F"/>
    <w:rsid w:val="008F0C1A"/>
    <w:rsid w:val="008F1CAB"/>
    <w:rsid w:val="008F2E83"/>
    <w:rsid w:val="009008B8"/>
    <w:rsid w:val="0090114A"/>
    <w:rsid w:val="009067B1"/>
    <w:rsid w:val="00907087"/>
    <w:rsid w:val="00910F40"/>
    <w:rsid w:val="00912C08"/>
    <w:rsid w:val="00913062"/>
    <w:rsid w:val="00914C87"/>
    <w:rsid w:val="00914DC7"/>
    <w:rsid w:val="009223CA"/>
    <w:rsid w:val="00923F9A"/>
    <w:rsid w:val="009353CA"/>
    <w:rsid w:val="00940BE7"/>
    <w:rsid w:val="00940F93"/>
    <w:rsid w:val="00940FDB"/>
    <w:rsid w:val="00941AB7"/>
    <w:rsid w:val="00942A07"/>
    <w:rsid w:val="00950023"/>
    <w:rsid w:val="0095347F"/>
    <w:rsid w:val="00956D1B"/>
    <w:rsid w:val="00960090"/>
    <w:rsid w:val="009614CE"/>
    <w:rsid w:val="00964B5A"/>
    <w:rsid w:val="0096698D"/>
    <w:rsid w:val="00967E2C"/>
    <w:rsid w:val="009710A6"/>
    <w:rsid w:val="009760F3"/>
    <w:rsid w:val="0097799E"/>
    <w:rsid w:val="00980326"/>
    <w:rsid w:val="00981956"/>
    <w:rsid w:val="00983032"/>
    <w:rsid w:val="009909F5"/>
    <w:rsid w:val="00993FDC"/>
    <w:rsid w:val="00994EC4"/>
    <w:rsid w:val="009A0E8D"/>
    <w:rsid w:val="009A3E0D"/>
    <w:rsid w:val="009B10C5"/>
    <w:rsid w:val="009B13FA"/>
    <w:rsid w:val="009B26E7"/>
    <w:rsid w:val="009B6F01"/>
    <w:rsid w:val="009C2134"/>
    <w:rsid w:val="009C2F83"/>
    <w:rsid w:val="009C32CF"/>
    <w:rsid w:val="009D0245"/>
    <w:rsid w:val="009D37FD"/>
    <w:rsid w:val="009D5324"/>
    <w:rsid w:val="009E1AAC"/>
    <w:rsid w:val="009E1B44"/>
    <w:rsid w:val="009E2CFA"/>
    <w:rsid w:val="009E37A9"/>
    <w:rsid w:val="009E596D"/>
    <w:rsid w:val="009E6A2A"/>
    <w:rsid w:val="009E7C10"/>
    <w:rsid w:val="009E7C56"/>
    <w:rsid w:val="009F03F9"/>
    <w:rsid w:val="009F2A73"/>
    <w:rsid w:val="009F58D8"/>
    <w:rsid w:val="009F63C2"/>
    <w:rsid w:val="009F6DEC"/>
    <w:rsid w:val="00A00A3F"/>
    <w:rsid w:val="00A01489"/>
    <w:rsid w:val="00A014B9"/>
    <w:rsid w:val="00A03B96"/>
    <w:rsid w:val="00A10E70"/>
    <w:rsid w:val="00A21904"/>
    <w:rsid w:val="00A21E3E"/>
    <w:rsid w:val="00A23907"/>
    <w:rsid w:val="00A2704B"/>
    <w:rsid w:val="00A27A8A"/>
    <w:rsid w:val="00A320A5"/>
    <w:rsid w:val="00A326A0"/>
    <w:rsid w:val="00A3357A"/>
    <w:rsid w:val="00A338F1"/>
    <w:rsid w:val="00A33E17"/>
    <w:rsid w:val="00A360E0"/>
    <w:rsid w:val="00A42E86"/>
    <w:rsid w:val="00A437A2"/>
    <w:rsid w:val="00A44615"/>
    <w:rsid w:val="00A477CB"/>
    <w:rsid w:val="00A54661"/>
    <w:rsid w:val="00A5791F"/>
    <w:rsid w:val="00A610F4"/>
    <w:rsid w:val="00A62BD0"/>
    <w:rsid w:val="00A64664"/>
    <w:rsid w:val="00A654D5"/>
    <w:rsid w:val="00A71E38"/>
    <w:rsid w:val="00A72F22"/>
    <w:rsid w:val="00A7360F"/>
    <w:rsid w:val="00A73801"/>
    <w:rsid w:val="00A748A6"/>
    <w:rsid w:val="00A75635"/>
    <w:rsid w:val="00A760D9"/>
    <w:rsid w:val="00A769F4"/>
    <w:rsid w:val="00A776B4"/>
    <w:rsid w:val="00A8445E"/>
    <w:rsid w:val="00A84D26"/>
    <w:rsid w:val="00A84F4C"/>
    <w:rsid w:val="00A85133"/>
    <w:rsid w:val="00A87077"/>
    <w:rsid w:val="00A8787F"/>
    <w:rsid w:val="00A91894"/>
    <w:rsid w:val="00A91DED"/>
    <w:rsid w:val="00A925DD"/>
    <w:rsid w:val="00A93F52"/>
    <w:rsid w:val="00A942AA"/>
    <w:rsid w:val="00A94361"/>
    <w:rsid w:val="00A96B28"/>
    <w:rsid w:val="00AA1374"/>
    <w:rsid w:val="00AA1FBF"/>
    <w:rsid w:val="00AA293C"/>
    <w:rsid w:val="00AA41FD"/>
    <w:rsid w:val="00AA4A68"/>
    <w:rsid w:val="00AA6655"/>
    <w:rsid w:val="00AA6DAD"/>
    <w:rsid w:val="00AB1F31"/>
    <w:rsid w:val="00AB35BC"/>
    <w:rsid w:val="00AB4143"/>
    <w:rsid w:val="00AB4BA7"/>
    <w:rsid w:val="00AC0711"/>
    <w:rsid w:val="00AC499E"/>
    <w:rsid w:val="00AC4CF9"/>
    <w:rsid w:val="00AC750D"/>
    <w:rsid w:val="00AD231B"/>
    <w:rsid w:val="00AD2760"/>
    <w:rsid w:val="00AD318D"/>
    <w:rsid w:val="00AD41B6"/>
    <w:rsid w:val="00AD6C18"/>
    <w:rsid w:val="00AE078A"/>
    <w:rsid w:val="00AE21A0"/>
    <w:rsid w:val="00AE2351"/>
    <w:rsid w:val="00AE3F8E"/>
    <w:rsid w:val="00AE405A"/>
    <w:rsid w:val="00AE5D0A"/>
    <w:rsid w:val="00AE63FF"/>
    <w:rsid w:val="00AE791F"/>
    <w:rsid w:val="00B01CD0"/>
    <w:rsid w:val="00B07325"/>
    <w:rsid w:val="00B1195D"/>
    <w:rsid w:val="00B13468"/>
    <w:rsid w:val="00B13E9B"/>
    <w:rsid w:val="00B2472C"/>
    <w:rsid w:val="00B27E80"/>
    <w:rsid w:val="00B30179"/>
    <w:rsid w:val="00B30232"/>
    <w:rsid w:val="00B339A7"/>
    <w:rsid w:val="00B353EC"/>
    <w:rsid w:val="00B36371"/>
    <w:rsid w:val="00B37764"/>
    <w:rsid w:val="00B37942"/>
    <w:rsid w:val="00B465C9"/>
    <w:rsid w:val="00B51010"/>
    <w:rsid w:val="00B53328"/>
    <w:rsid w:val="00B53AC6"/>
    <w:rsid w:val="00B5408C"/>
    <w:rsid w:val="00B56D9A"/>
    <w:rsid w:val="00B56E4A"/>
    <w:rsid w:val="00B56E9C"/>
    <w:rsid w:val="00B61E2A"/>
    <w:rsid w:val="00B62294"/>
    <w:rsid w:val="00B6310B"/>
    <w:rsid w:val="00B63D65"/>
    <w:rsid w:val="00B63DD2"/>
    <w:rsid w:val="00B64919"/>
    <w:rsid w:val="00B64B1F"/>
    <w:rsid w:val="00B6553F"/>
    <w:rsid w:val="00B6604A"/>
    <w:rsid w:val="00B6672C"/>
    <w:rsid w:val="00B6697C"/>
    <w:rsid w:val="00B66E5E"/>
    <w:rsid w:val="00B74488"/>
    <w:rsid w:val="00B77D05"/>
    <w:rsid w:val="00B81206"/>
    <w:rsid w:val="00B81E12"/>
    <w:rsid w:val="00B84BD5"/>
    <w:rsid w:val="00B9067B"/>
    <w:rsid w:val="00B91E61"/>
    <w:rsid w:val="00B93A6C"/>
    <w:rsid w:val="00B94A92"/>
    <w:rsid w:val="00B95669"/>
    <w:rsid w:val="00B96B27"/>
    <w:rsid w:val="00B97D28"/>
    <w:rsid w:val="00BA35BD"/>
    <w:rsid w:val="00BA4531"/>
    <w:rsid w:val="00BA510A"/>
    <w:rsid w:val="00BB141B"/>
    <w:rsid w:val="00BB18C8"/>
    <w:rsid w:val="00BB51CD"/>
    <w:rsid w:val="00BB7266"/>
    <w:rsid w:val="00BC12C3"/>
    <w:rsid w:val="00BC14C3"/>
    <w:rsid w:val="00BC2C23"/>
    <w:rsid w:val="00BC3D4D"/>
    <w:rsid w:val="00BC3DC0"/>
    <w:rsid w:val="00BC74E9"/>
    <w:rsid w:val="00BD13BB"/>
    <w:rsid w:val="00BD3C18"/>
    <w:rsid w:val="00BD5DE5"/>
    <w:rsid w:val="00BD72A9"/>
    <w:rsid w:val="00BF04E4"/>
    <w:rsid w:val="00BF091B"/>
    <w:rsid w:val="00BF0F4A"/>
    <w:rsid w:val="00BF68A8"/>
    <w:rsid w:val="00BF69AF"/>
    <w:rsid w:val="00BF6F34"/>
    <w:rsid w:val="00C001AD"/>
    <w:rsid w:val="00C11274"/>
    <w:rsid w:val="00C11A03"/>
    <w:rsid w:val="00C1525C"/>
    <w:rsid w:val="00C15F23"/>
    <w:rsid w:val="00C16EC7"/>
    <w:rsid w:val="00C216E5"/>
    <w:rsid w:val="00C32FF5"/>
    <w:rsid w:val="00C4151B"/>
    <w:rsid w:val="00C41BA0"/>
    <w:rsid w:val="00C430AF"/>
    <w:rsid w:val="00C45498"/>
    <w:rsid w:val="00C463DD"/>
    <w:rsid w:val="00C468E2"/>
    <w:rsid w:val="00C4724C"/>
    <w:rsid w:val="00C47ABD"/>
    <w:rsid w:val="00C509BB"/>
    <w:rsid w:val="00C50DAA"/>
    <w:rsid w:val="00C56A0B"/>
    <w:rsid w:val="00C629A0"/>
    <w:rsid w:val="00C62EA3"/>
    <w:rsid w:val="00C62F08"/>
    <w:rsid w:val="00C64B24"/>
    <w:rsid w:val="00C65E93"/>
    <w:rsid w:val="00C66901"/>
    <w:rsid w:val="00C72AFB"/>
    <w:rsid w:val="00C745C3"/>
    <w:rsid w:val="00C76290"/>
    <w:rsid w:val="00C825CE"/>
    <w:rsid w:val="00C83B31"/>
    <w:rsid w:val="00C90946"/>
    <w:rsid w:val="00C96D75"/>
    <w:rsid w:val="00CA0088"/>
    <w:rsid w:val="00CA2064"/>
    <w:rsid w:val="00CA293B"/>
    <w:rsid w:val="00CA597E"/>
    <w:rsid w:val="00CA7304"/>
    <w:rsid w:val="00CB2D8B"/>
    <w:rsid w:val="00CB370B"/>
    <w:rsid w:val="00CB613B"/>
    <w:rsid w:val="00CB6971"/>
    <w:rsid w:val="00CC2771"/>
    <w:rsid w:val="00CC2941"/>
    <w:rsid w:val="00CC4904"/>
    <w:rsid w:val="00CC4EC6"/>
    <w:rsid w:val="00CC5C8A"/>
    <w:rsid w:val="00CC6326"/>
    <w:rsid w:val="00CD6784"/>
    <w:rsid w:val="00CE28BD"/>
    <w:rsid w:val="00CE33CC"/>
    <w:rsid w:val="00CE4A8F"/>
    <w:rsid w:val="00CE4F91"/>
    <w:rsid w:val="00CE508C"/>
    <w:rsid w:val="00CE65BB"/>
    <w:rsid w:val="00CE7B05"/>
    <w:rsid w:val="00CF0EC4"/>
    <w:rsid w:val="00CF20A0"/>
    <w:rsid w:val="00CF2CEA"/>
    <w:rsid w:val="00CF75D6"/>
    <w:rsid w:val="00D022D0"/>
    <w:rsid w:val="00D026A2"/>
    <w:rsid w:val="00D035D6"/>
    <w:rsid w:val="00D045F7"/>
    <w:rsid w:val="00D06F1C"/>
    <w:rsid w:val="00D073C3"/>
    <w:rsid w:val="00D07D03"/>
    <w:rsid w:val="00D12348"/>
    <w:rsid w:val="00D12F55"/>
    <w:rsid w:val="00D159F5"/>
    <w:rsid w:val="00D16D4E"/>
    <w:rsid w:val="00D2031B"/>
    <w:rsid w:val="00D22984"/>
    <w:rsid w:val="00D25FE2"/>
    <w:rsid w:val="00D26C93"/>
    <w:rsid w:val="00D30171"/>
    <w:rsid w:val="00D304BF"/>
    <w:rsid w:val="00D31189"/>
    <w:rsid w:val="00D40269"/>
    <w:rsid w:val="00D40C3F"/>
    <w:rsid w:val="00D4135C"/>
    <w:rsid w:val="00D43070"/>
    <w:rsid w:val="00D43252"/>
    <w:rsid w:val="00D46223"/>
    <w:rsid w:val="00D47EEA"/>
    <w:rsid w:val="00D56CFA"/>
    <w:rsid w:val="00D615B5"/>
    <w:rsid w:val="00D642A3"/>
    <w:rsid w:val="00D65FF8"/>
    <w:rsid w:val="00D73131"/>
    <w:rsid w:val="00D76636"/>
    <w:rsid w:val="00D8272F"/>
    <w:rsid w:val="00D8659E"/>
    <w:rsid w:val="00D912E6"/>
    <w:rsid w:val="00D91458"/>
    <w:rsid w:val="00D94E14"/>
    <w:rsid w:val="00D95303"/>
    <w:rsid w:val="00D95CCB"/>
    <w:rsid w:val="00D95CDB"/>
    <w:rsid w:val="00D978C6"/>
    <w:rsid w:val="00DA3111"/>
    <w:rsid w:val="00DA3C1C"/>
    <w:rsid w:val="00DA42AD"/>
    <w:rsid w:val="00DB0C79"/>
    <w:rsid w:val="00DC226C"/>
    <w:rsid w:val="00DC34B3"/>
    <w:rsid w:val="00DC4309"/>
    <w:rsid w:val="00DC4E5C"/>
    <w:rsid w:val="00DC6BA7"/>
    <w:rsid w:val="00DD0967"/>
    <w:rsid w:val="00DD322E"/>
    <w:rsid w:val="00DD455A"/>
    <w:rsid w:val="00DD78BE"/>
    <w:rsid w:val="00DE0BCC"/>
    <w:rsid w:val="00DE4DF4"/>
    <w:rsid w:val="00DE5B5F"/>
    <w:rsid w:val="00DE6531"/>
    <w:rsid w:val="00DE7D8F"/>
    <w:rsid w:val="00DF008D"/>
    <w:rsid w:val="00DF3722"/>
    <w:rsid w:val="00DF4D4A"/>
    <w:rsid w:val="00DF54F4"/>
    <w:rsid w:val="00E01066"/>
    <w:rsid w:val="00E0107F"/>
    <w:rsid w:val="00E11359"/>
    <w:rsid w:val="00E11B0B"/>
    <w:rsid w:val="00E12C45"/>
    <w:rsid w:val="00E12F2A"/>
    <w:rsid w:val="00E16EC8"/>
    <w:rsid w:val="00E1711C"/>
    <w:rsid w:val="00E179C3"/>
    <w:rsid w:val="00E231C9"/>
    <w:rsid w:val="00E24514"/>
    <w:rsid w:val="00E24D63"/>
    <w:rsid w:val="00E250A0"/>
    <w:rsid w:val="00E25588"/>
    <w:rsid w:val="00E27346"/>
    <w:rsid w:val="00E30A7B"/>
    <w:rsid w:val="00E31F4B"/>
    <w:rsid w:val="00E36E46"/>
    <w:rsid w:val="00E3725D"/>
    <w:rsid w:val="00E4123C"/>
    <w:rsid w:val="00E43298"/>
    <w:rsid w:val="00E443F6"/>
    <w:rsid w:val="00E44CF5"/>
    <w:rsid w:val="00E607D8"/>
    <w:rsid w:val="00E636B6"/>
    <w:rsid w:val="00E6462F"/>
    <w:rsid w:val="00E67DD1"/>
    <w:rsid w:val="00E70994"/>
    <w:rsid w:val="00E71BC8"/>
    <w:rsid w:val="00E7260F"/>
    <w:rsid w:val="00E7453C"/>
    <w:rsid w:val="00E779FC"/>
    <w:rsid w:val="00E82A8F"/>
    <w:rsid w:val="00E90C7D"/>
    <w:rsid w:val="00E92CBE"/>
    <w:rsid w:val="00E93898"/>
    <w:rsid w:val="00E9393D"/>
    <w:rsid w:val="00E95DB0"/>
    <w:rsid w:val="00E96630"/>
    <w:rsid w:val="00EA0B10"/>
    <w:rsid w:val="00EA3346"/>
    <w:rsid w:val="00EA5EFE"/>
    <w:rsid w:val="00EA7F45"/>
    <w:rsid w:val="00EB2581"/>
    <w:rsid w:val="00EB439E"/>
    <w:rsid w:val="00EB66D9"/>
    <w:rsid w:val="00EB7BA2"/>
    <w:rsid w:val="00EC0289"/>
    <w:rsid w:val="00EC1509"/>
    <w:rsid w:val="00EC2960"/>
    <w:rsid w:val="00EC318A"/>
    <w:rsid w:val="00ED131E"/>
    <w:rsid w:val="00ED291C"/>
    <w:rsid w:val="00ED5145"/>
    <w:rsid w:val="00ED5734"/>
    <w:rsid w:val="00ED7A2A"/>
    <w:rsid w:val="00EF0012"/>
    <w:rsid w:val="00EF1D7F"/>
    <w:rsid w:val="00EF1E52"/>
    <w:rsid w:val="00EF480A"/>
    <w:rsid w:val="00EF6C5B"/>
    <w:rsid w:val="00EF7CB3"/>
    <w:rsid w:val="00F028ED"/>
    <w:rsid w:val="00F02EEE"/>
    <w:rsid w:val="00F0682E"/>
    <w:rsid w:val="00F10BA0"/>
    <w:rsid w:val="00F10E0F"/>
    <w:rsid w:val="00F115CE"/>
    <w:rsid w:val="00F12588"/>
    <w:rsid w:val="00F12D5D"/>
    <w:rsid w:val="00F1676C"/>
    <w:rsid w:val="00F20C3D"/>
    <w:rsid w:val="00F221B3"/>
    <w:rsid w:val="00F312F1"/>
    <w:rsid w:val="00F33E67"/>
    <w:rsid w:val="00F35672"/>
    <w:rsid w:val="00F40B8F"/>
    <w:rsid w:val="00F4253B"/>
    <w:rsid w:val="00F43E9E"/>
    <w:rsid w:val="00F44737"/>
    <w:rsid w:val="00F500D9"/>
    <w:rsid w:val="00F55F64"/>
    <w:rsid w:val="00F568E1"/>
    <w:rsid w:val="00F611DE"/>
    <w:rsid w:val="00F64544"/>
    <w:rsid w:val="00F66C57"/>
    <w:rsid w:val="00F67272"/>
    <w:rsid w:val="00F6754B"/>
    <w:rsid w:val="00F67D1B"/>
    <w:rsid w:val="00F72F48"/>
    <w:rsid w:val="00F75277"/>
    <w:rsid w:val="00F779B7"/>
    <w:rsid w:val="00F80338"/>
    <w:rsid w:val="00F8038A"/>
    <w:rsid w:val="00F815E3"/>
    <w:rsid w:val="00F82D07"/>
    <w:rsid w:val="00F83680"/>
    <w:rsid w:val="00F9057C"/>
    <w:rsid w:val="00F906D7"/>
    <w:rsid w:val="00F908E4"/>
    <w:rsid w:val="00F922E9"/>
    <w:rsid w:val="00F93781"/>
    <w:rsid w:val="00F93A80"/>
    <w:rsid w:val="00F95221"/>
    <w:rsid w:val="00F9559C"/>
    <w:rsid w:val="00FA1695"/>
    <w:rsid w:val="00FA1737"/>
    <w:rsid w:val="00FA22C9"/>
    <w:rsid w:val="00FA79AB"/>
    <w:rsid w:val="00FB05BA"/>
    <w:rsid w:val="00FB2729"/>
    <w:rsid w:val="00FB3268"/>
    <w:rsid w:val="00FB461A"/>
    <w:rsid w:val="00FB613B"/>
    <w:rsid w:val="00FC3B92"/>
    <w:rsid w:val="00FC3DA1"/>
    <w:rsid w:val="00FC51F2"/>
    <w:rsid w:val="00FC68B7"/>
    <w:rsid w:val="00FC7E2E"/>
    <w:rsid w:val="00FD171B"/>
    <w:rsid w:val="00FD3A0F"/>
    <w:rsid w:val="00FE106A"/>
    <w:rsid w:val="00FE2C95"/>
    <w:rsid w:val="00FE3A4C"/>
    <w:rsid w:val="00FE4EA9"/>
    <w:rsid w:val="00FE57F5"/>
    <w:rsid w:val="00FE5EC0"/>
    <w:rsid w:val="00FF4FC1"/>
    <w:rsid w:val="00FF5EB9"/>
    <w:rsid w:val="00FF7D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D7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semiHidden="1" w:unhideWhenUsed="1" w:qFormat="1"/>
    <w:lsdException w:name="footnote reference" w:qFormat="1"/>
    <w:lsdException w:name="endnote reference" w:uiPriority="99"/>
    <w:lsdException w:name="endnote text"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272B3"/>
    <w:pPr>
      <w:suppressAutoHyphens/>
      <w:spacing w:line="240" w:lineRule="atLeast"/>
    </w:pPr>
    <w:rPr>
      <w:lang w:val="en-GB" w:eastAsia="en-US"/>
    </w:rPr>
  </w:style>
  <w:style w:type="paragraph" w:styleId="Nagwek1">
    <w:name w:val="heading 1"/>
    <w:aliases w:val="Table_G"/>
    <w:basedOn w:val="SingleTxtG"/>
    <w:next w:val="SingleTxtG"/>
    <w:qFormat/>
    <w:rsid w:val="000272B3"/>
    <w:pPr>
      <w:spacing w:after="0" w:line="240" w:lineRule="auto"/>
      <w:ind w:right="0"/>
      <w:jc w:val="left"/>
      <w:outlineLvl w:val="0"/>
    </w:pPr>
  </w:style>
  <w:style w:type="paragraph" w:styleId="Nagwek2">
    <w:name w:val="heading 2"/>
    <w:basedOn w:val="Normalny"/>
    <w:next w:val="Normalny"/>
    <w:qFormat/>
    <w:rsid w:val="000272B3"/>
    <w:pPr>
      <w:spacing w:line="240" w:lineRule="auto"/>
      <w:outlineLvl w:val="1"/>
    </w:pPr>
  </w:style>
  <w:style w:type="paragraph" w:styleId="Nagwek3">
    <w:name w:val="heading 3"/>
    <w:basedOn w:val="Normalny"/>
    <w:next w:val="Normalny"/>
    <w:qFormat/>
    <w:rsid w:val="000272B3"/>
    <w:pPr>
      <w:spacing w:line="240" w:lineRule="auto"/>
      <w:outlineLvl w:val="2"/>
    </w:pPr>
  </w:style>
  <w:style w:type="paragraph" w:styleId="Nagwek4">
    <w:name w:val="heading 4"/>
    <w:basedOn w:val="Normalny"/>
    <w:next w:val="Normalny"/>
    <w:qFormat/>
    <w:rsid w:val="000272B3"/>
    <w:pPr>
      <w:spacing w:line="240" w:lineRule="auto"/>
      <w:outlineLvl w:val="3"/>
    </w:pPr>
  </w:style>
  <w:style w:type="paragraph" w:styleId="Nagwek5">
    <w:name w:val="heading 5"/>
    <w:basedOn w:val="Normalny"/>
    <w:next w:val="Normalny"/>
    <w:qFormat/>
    <w:rsid w:val="000272B3"/>
    <w:pPr>
      <w:spacing w:line="240" w:lineRule="auto"/>
      <w:outlineLvl w:val="4"/>
    </w:pPr>
  </w:style>
  <w:style w:type="paragraph" w:styleId="Nagwek6">
    <w:name w:val="heading 6"/>
    <w:basedOn w:val="Normalny"/>
    <w:next w:val="Normalny"/>
    <w:qFormat/>
    <w:rsid w:val="000272B3"/>
    <w:pPr>
      <w:spacing w:line="240" w:lineRule="auto"/>
      <w:outlineLvl w:val="5"/>
    </w:pPr>
  </w:style>
  <w:style w:type="paragraph" w:styleId="Nagwek7">
    <w:name w:val="heading 7"/>
    <w:basedOn w:val="Normalny"/>
    <w:next w:val="Normalny"/>
    <w:qFormat/>
    <w:rsid w:val="000272B3"/>
    <w:pPr>
      <w:spacing w:line="240" w:lineRule="auto"/>
      <w:outlineLvl w:val="6"/>
    </w:pPr>
  </w:style>
  <w:style w:type="paragraph" w:styleId="Nagwek8">
    <w:name w:val="heading 8"/>
    <w:basedOn w:val="Normalny"/>
    <w:next w:val="Normalny"/>
    <w:qFormat/>
    <w:rsid w:val="000272B3"/>
    <w:pPr>
      <w:spacing w:line="240" w:lineRule="auto"/>
      <w:outlineLvl w:val="7"/>
    </w:pPr>
  </w:style>
  <w:style w:type="paragraph" w:styleId="Nagwek9">
    <w:name w:val="heading 9"/>
    <w:basedOn w:val="Normalny"/>
    <w:next w:val="Normalny"/>
    <w:qFormat/>
    <w:rsid w:val="000272B3"/>
    <w:pPr>
      <w:spacing w:line="240" w:lineRule="auto"/>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ingleTxtG">
    <w:name w:val="_ Single Txt_G"/>
    <w:basedOn w:val="Normalny"/>
    <w:link w:val="SingleTxtGChar"/>
    <w:rsid w:val="000272B3"/>
    <w:pPr>
      <w:spacing w:after="120"/>
      <w:ind w:left="1134" w:right="1134"/>
      <w:jc w:val="both"/>
    </w:pPr>
    <w:rPr>
      <w:lang w:val="x-none"/>
    </w:rPr>
  </w:style>
  <w:style w:type="paragraph" w:customStyle="1" w:styleId="HMG">
    <w:name w:val="_ H __M_G"/>
    <w:basedOn w:val="Normalny"/>
    <w:next w:val="Normalny"/>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ny"/>
    <w:next w:val="Normalny"/>
    <w:rsid w:val="000272B3"/>
    <w:pPr>
      <w:keepNext/>
      <w:keepLines/>
      <w:tabs>
        <w:tab w:val="right" w:pos="851"/>
      </w:tabs>
      <w:spacing w:before="360" w:after="240" w:line="300" w:lineRule="exact"/>
      <w:ind w:left="1134" w:right="1134" w:hanging="1134"/>
    </w:pPr>
    <w:rPr>
      <w:b/>
      <w:sz w:val="28"/>
    </w:rPr>
  </w:style>
  <w:style w:type="paragraph" w:styleId="Nagwek">
    <w:name w:val="header"/>
    <w:aliases w:val="6_G"/>
    <w:basedOn w:val="Normalny"/>
    <w:link w:val="NagwekZnak"/>
    <w:uiPriority w:val="99"/>
    <w:rsid w:val="000272B3"/>
    <w:pPr>
      <w:pBdr>
        <w:bottom w:val="single" w:sz="4" w:space="4" w:color="auto"/>
      </w:pBdr>
      <w:spacing w:line="240" w:lineRule="auto"/>
    </w:pPr>
    <w:rPr>
      <w:b/>
      <w:sz w:val="18"/>
      <w:lang w:val="x-none"/>
    </w:rPr>
  </w:style>
  <w:style w:type="table" w:styleId="Tabela-Siatka">
    <w:name w:val="Table Grid"/>
    <w:basedOn w:val="Standardowy"/>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ipercze">
    <w:name w:val="Hyperlink"/>
    <w:semiHidden/>
    <w:rsid w:val="000272B3"/>
    <w:rPr>
      <w:color w:val="auto"/>
      <w:u w:val="none"/>
    </w:rPr>
  </w:style>
  <w:style w:type="character" w:styleId="UyteHipercze">
    <w:name w:val="FollowedHyperlink"/>
    <w:semiHidden/>
    <w:rsid w:val="000272B3"/>
    <w:rPr>
      <w:color w:val="auto"/>
      <w:u w:val="none"/>
    </w:rPr>
  </w:style>
  <w:style w:type="paragraph" w:styleId="Tekstprzypisudolnego">
    <w:name w:val="footnote text"/>
    <w:aliases w:val="5_G"/>
    <w:basedOn w:val="Normalny"/>
    <w:link w:val="TekstprzypisudolnegoZnak"/>
    <w:qFormat/>
    <w:rsid w:val="00677648"/>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Tekstprzypisukocowego">
    <w:name w:val="endnote text"/>
    <w:aliases w:val="2_G"/>
    <w:basedOn w:val="Tekstprzypisudolnego"/>
    <w:link w:val="TekstprzypisukocowegoZnak"/>
    <w:uiPriority w:val="99"/>
    <w:rsid w:val="000272B3"/>
  </w:style>
  <w:style w:type="paragraph" w:customStyle="1" w:styleId="SMG">
    <w:name w:val="__S_M_G"/>
    <w:basedOn w:val="Normalny"/>
    <w:next w:val="Normalny"/>
    <w:rsid w:val="000272B3"/>
    <w:pPr>
      <w:keepNext/>
      <w:keepLines/>
      <w:spacing w:before="240" w:after="240" w:line="420" w:lineRule="exact"/>
      <w:ind w:left="1134" w:right="1134"/>
    </w:pPr>
    <w:rPr>
      <w:b/>
      <w:sz w:val="40"/>
    </w:rPr>
  </w:style>
  <w:style w:type="paragraph" w:customStyle="1" w:styleId="SLG">
    <w:name w:val="__S_L_G"/>
    <w:basedOn w:val="Normalny"/>
    <w:next w:val="Normalny"/>
    <w:rsid w:val="000272B3"/>
    <w:pPr>
      <w:keepNext/>
      <w:keepLines/>
      <w:spacing w:before="240" w:after="240" w:line="580" w:lineRule="exact"/>
      <w:ind w:left="1134" w:right="1134"/>
    </w:pPr>
    <w:rPr>
      <w:b/>
      <w:sz w:val="56"/>
    </w:rPr>
  </w:style>
  <w:style w:type="paragraph" w:customStyle="1" w:styleId="SSG">
    <w:name w:val="__S_S_G"/>
    <w:basedOn w:val="Normalny"/>
    <w:next w:val="Normalny"/>
    <w:rsid w:val="000272B3"/>
    <w:pPr>
      <w:keepNext/>
      <w:keepLines/>
      <w:spacing w:before="240" w:after="240" w:line="300" w:lineRule="exact"/>
      <w:ind w:left="1134" w:right="1134"/>
    </w:pPr>
    <w:rPr>
      <w:b/>
      <w:sz w:val="28"/>
    </w:rPr>
  </w:style>
  <w:style w:type="character" w:styleId="Odwoanieprzypisukocowego">
    <w:name w:val="endnote reference"/>
    <w:aliases w:val="1_G"/>
    <w:uiPriority w:val="99"/>
    <w:rsid w:val="000272B3"/>
    <w:rPr>
      <w:rFonts w:ascii="Times New Roman" w:hAnsi="Times New Roman"/>
      <w:sz w:val="18"/>
      <w:vertAlign w:val="superscript"/>
    </w:rPr>
  </w:style>
  <w:style w:type="character" w:styleId="Odwoanieprzypisudolnego">
    <w:name w:val="footnote reference"/>
    <w:aliases w:val="4_G"/>
    <w:qFormat/>
    <w:rsid w:val="00677648"/>
    <w:rPr>
      <w:rFonts w:ascii="Times New Roman" w:hAnsi="Times New Roman"/>
      <w:sz w:val="18"/>
      <w:vertAlign w:val="superscript"/>
    </w:rPr>
  </w:style>
  <w:style w:type="character" w:styleId="Numerstrony">
    <w:name w:val="page number"/>
    <w:aliases w:val="7_G"/>
    <w:rsid w:val="000272B3"/>
    <w:rPr>
      <w:rFonts w:ascii="Times New Roman" w:hAnsi="Times New Roman"/>
      <w:b/>
      <w:sz w:val="18"/>
    </w:rPr>
  </w:style>
  <w:style w:type="paragraph" w:customStyle="1" w:styleId="XLargeG">
    <w:name w:val="__XLarge_G"/>
    <w:basedOn w:val="Normalny"/>
    <w:next w:val="Normalny"/>
    <w:rsid w:val="000272B3"/>
    <w:pPr>
      <w:keepNext/>
      <w:keepLines/>
      <w:spacing w:before="240" w:after="240" w:line="420" w:lineRule="exact"/>
      <w:ind w:left="1134" w:right="1134"/>
    </w:pPr>
    <w:rPr>
      <w:b/>
      <w:sz w:val="40"/>
    </w:rPr>
  </w:style>
  <w:style w:type="paragraph" w:customStyle="1" w:styleId="Bullet1G">
    <w:name w:val="_Bullet 1_G"/>
    <w:basedOn w:val="Normalny"/>
    <w:rsid w:val="000272B3"/>
    <w:pPr>
      <w:numPr>
        <w:numId w:val="1"/>
      </w:numPr>
      <w:spacing w:after="120"/>
      <w:ind w:right="1134"/>
      <w:jc w:val="both"/>
    </w:pPr>
  </w:style>
  <w:style w:type="paragraph" w:styleId="Stopka">
    <w:name w:val="footer"/>
    <w:aliases w:val="3_G"/>
    <w:basedOn w:val="Normalny"/>
    <w:link w:val="StopkaZnak"/>
    <w:uiPriority w:val="99"/>
    <w:rsid w:val="000272B3"/>
    <w:pPr>
      <w:spacing w:line="240" w:lineRule="auto"/>
    </w:pPr>
    <w:rPr>
      <w:sz w:val="16"/>
      <w:lang w:val="x-none"/>
    </w:rPr>
  </w:style>
  <w:style w:type="paragraph" w:customStyle="1" w:styleId="Bullet2G">
    <w:name w:val="_Bullet 2_G"/>
    <w:basedOn w:val="Normalny"/>
    <w:rsid w:val="000272B3"/>
    <w:pPr>
      <w:numPr>
        <w:numId w:val="2"/>
      </w:numPr>
      <w:spacing w:after="120"/>
      <w:ind w:right="1134"/>
      <w:jc w:val="both"/>
    </w:pPr>
  </w:style>
  <w:style w:type="paragraph" w:customStyle="1" w:styleId="H1G">
    <w:name w:val="_ H_1_G"/>
    <w:basedOn w:val="Normalny"/>
    <w:next w:val="Normalny"/>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ny"/>
    <w:next w:val="Normalny"/>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ny"/>
    <w:next w:val="Normalny"/>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ny"/>
    <w:next w:val="Normalny"/>
    <w:rsid w:val="000272B3"/>
    <w:pPr>
      <w:keepNext/>
      <w:keepLines/>
      <w:tabs>
        <w:tab w:val="right" w:pos="851"/>
      </w:tabs>
      <w:spacing w:before="240" w:after="120" w:line="240" w:lineRule="exact"/>
      <w:ind w:left="1134" w:right="1134" w:hanging="1134"/>
    </w:pPr>
  </w:style>
  <w:style w:type="paragraph" w:styleId="Akapitzlist">
    <w:name w:val="List Paragraph"/>
    <w:basedOn w:val="Normalny"/>
    <w:uiPriority w:val="34"/>
    <w:qFormat/>
    <w:rsid w:val="00561CEF"/>
    <w:pPr>
      <w:suppressAutoHyphens w:val="0"/>
      <w:spacing w:after="200" w:line="276" w:lineRule="auto"/>
      <w:ind w:left="720"/>
      <w:contextualSpacing/>
    </w:pPr>
    <w:rPr>
      <w:rFonts w:eastAsia="Calibri"/>
      <w:sz w:val="24"/>
      <w:szCs w:val="22"/>
      <w:lang w:val="en-US"/>
    </w:rPr>
  </w:style>
  <w:style w:type="character" w:customStyle="1" w:styleId="TekstprzypisudolnegoZnak">
    <w:name w:val="Tekst przypisu dolnego Znak"/>
    <w:aliases w:val="5_G Znak"/>
    <w:link w:val="Tekstprzypisudolnego"/>
    <w:rsid w:val="00561CEF"/>
    <w:rPr>
      <w:rFonts w:eastAsia="SimSun"/>
      <w:sz w:val="18"/>
      <w:lang w:val="en-GB"/>
    </w:rPr>
  </w:style>
  <w:style w:type="character" w:customStyle="1" w:styleId="TekstprzypisukocowegoZnak">
    <w:name w:val="Tekst przypisu końcowego Znak"/>
    <w:aliases w:val="2_G Znak"/>
    <w:link w:val="Tekstprzypisukocowego"/>
    <w:uiPriority w:val="99"/>
    <w:rsid w:val="00561CEF"/>
    <w:rPr>
      <w:sz w:val="18"/>
      <w:lang w:eastAsia="en-US"/>
    </w:rPr>
  </w:style>
  <w:style w:type="character" w:customStyle="1" w:styleId="SingleTxtGChar">
    <w:name w:val="_ Single Txt_G Char"/>
    <w:link w:val="SingleTxtG"/>
    <w:rsid w:val="00561CEF"/>
    <w:rPr>
      <w:lang w:eastAsia="en-US"/>
    </w:rPr>
  </w:style>
  <w:style w:type="character" w:customStyle="1" w:styleId="FootnoteTextChar2">
    <w:name w:val="Footnote Text Char2"/>
    <w:aliases w:val="5_G Char2,Footnote Text Char Char Char Char Char Char2,Footnote Text Char Char Char Char Char5,Footnote reference Char2,FA Fu Char2,Footnote Text Char Char Char Char1, Char Char,Footnote Reference1 Char1"/>
    <w:locked/>
    <w:rsid w:val="00561CEF"/>
    <w:rPr>
      <w:sz w:val="18"/>
      <w:lang w:val="en-GB"/>
    </w:rPr>
  </w:style>
  <w:style w:type="character" w:customStyle="1" w:styleId="NagwekZnak">
    <w:name w:val="Nagłówek Znak"/>
    <w:aliases w:val="6_G Znak"/>
    <w:link w:val="Nagwek"/>
    <w:uiPriority w:val="99"/>
    <w:rsid w:val="00561CEF"/>
    <w:rPr>
      <w:b/>
      <w:sz w:val="18"/>
      <w:lang w:eastAsia="en-US"/>
    </w:rPr>
  </w:style>
  <w:style w:type="character" w:customStyle="1" w:styleId="StopkaZnak">
    <w:name w:val="Stopka Znak"/>
    <w:aliases w:val="3_G Znak"/>
    <w:link w:val="Stopka"/>
    <w:uiPriority w:val="99"/>
    <w:rsid w:val="00561CEF"/>
    <w:rPr>
      <w:sz w:val="16"/>
      <w:lang w:eastAsia="en-US"/>
    </w:rPr>
  </w:style>
  <w:style w:type="paragraph" w:styleId="Tekstdymka">
    <w:name w:val="Balloon Text"/>
    <w:basedOn w:val="Normalny"/>
    <w:link w:val="TekstdymkaZnak"/>
    <w:rsid w:val="00B13468"/>
    <w:pPr>
      <w:spacing w:line="240" w:lineRule="auto"/>
    </w:pPr>
    <w:rPr>
      <w:rFonts w:ascii="Tahoma" w:hAnsi="Tahoma"/>
      <w:sz w:val="16"/>
      <w:szCs w:val="16"/>
      <w:lang w:val="x-none"/>
    </w:rPr>
  </w:style>
  <w:style w:type="character" w:customStyle="1" w:styleId="TekstdymkaZnak">
    <w:name w:val="Tekst dymka Znak"/>
    <w:link w:val="Tekstdymka"/>
    <w:rsid w:val="00B13468"/>
    <w:rPr>
      <w:rFonts w:ascii="Tahoma" w:hAnsi="Tahoma" w:cs="Tahoma"/>
      <w:sz w:val="16"/>
      <w:szCs w:val="16"/>
      <w:lang w:eastAsia="en-US"/>
    </w:rPr>
  </w:style>
  <w:style w:type="character" w:styleId="Odwoaniedokomentarza">
    <w:name w:val="annotation reference"/>
    <w:rsid w:val="00C50DAA"/>
    <w:rPr>
      <w:sz w:val="16"/>
      <w:szCs w:val="16"/>
    </w:rPr>
  </w:style>
  <w:style w:type="paragraph" w:styleId="Tekstkomentarza">
    <w:name w:val="annotation text"/>
    <w:basedOn w:val="Normalny"/>
    <w:link w:val="TekstkomentarzaZnak"/>
    <w:rsid w:val="00C50DAA"/>
    <w:rPr>
      <w:lang w:val="x-none"/>
    </w:rPr>
  </w:style>
  <w:style w:type="character" w:customStyle="1" w:styleId="TekstkomentarzaZnak">
    <w:name w:val="Tekst komentarza Znak"/>
    <w:link w:val="Tekstkomentarza"/>
    <w:rsid w:val="00C50DAA"/>
    <w:rPr>
      <w:lang w:eastAsia="en-US"/>
    </w:rPr>
  </w:style>
  <w:style w:type="paragraph" w:styleId="Tematkomentarza">
    <w:name w:val="annotation subject"/>
    <w:basedOn w:val="Tekstkomentarza"/>
    <w:next w:val="Tekstkomentarza"/>
    <w:link w:val="TematkomentarzaZnak"/>
    <w:rsid w:val="00C50DAA"/>
    <w:rPr>
      <w:b/>
      <w:bCs/>
    </w:rPr>
  </w:style>
  <w:style w:type="character" w:customStyle="1" w:styleId="TematkomentarzaZnak">
    <w:name w:val="Temat komentarza Znak"/>
    <w:link w:val="Tematkomentarza"/>
    <w:rsid w:val="00C50DAA"/>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semiHidden="1" w:unhideWhenUsed="1" w:qFormat="1"/>
    <w:lsdException w:name="footnote reference" w:qFormat="1"/>
    <w:lsdException w:name="endnote reference" w:uiPriority="99"/>
    <w:lsdException w:name="endnote text"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272B3"/>
    <w:pPr>
      <w:suppressAutoHyphens/>
      <w:spacing w:line="240" w:lineRule="atLeast"/>
    </w:pPr>
    <w:rPr>
      <w:lang w:val="en-GB" w:eastAsia="en-US"/>
    </w:rPr>
  </w:style>
  <w:style w:type="paragraph" w:styleId="Nagwek1">
    <w:name w:val="heading 1"/>
    <w:aliases w:val="Table_G"/>
    <w:basedOn w:val="SingleTxtG"/>
    <w:next w:val="SingleTxtG"/>
    <w:qFormat/>
    <w:rsid w:val="000272B3"/>
    <w:pPr>
      <w:spacing w:after="0" w:line="240" w:lineRule="auto"/>
      <w:ind w:right="0"/>
      <w:jc w:val="left"/>
      <w:outlineLvl w:val="0"/>
    </w:pPr>
  </w:style>
  <w:style w:type="paragraph" w:styleId="Nagwek2">
    <w:name w:val="heading 2"/>
    <w:basedOn w:val="Normalny"/>
    <w:next w:val="Normalny"/>
    <w:qFormat/>
    <w:rsid w:val="000272B3"/>
    <w:pPr>
      <w:spacing w:line="240" w:lineRule="auto"/>
      <w:outlineLvl w:val="1"/>
    </w:pPr>
  </w:style>
  <w:style w:type="paragraph" w:styleId="Nagwek3">
    <w:name w:val="heading 3"/>
    <w:basedOn w:val="Normalny"/>
    <w:next w:val="Normalny"/>
    <w:qFormat/>
    <w:rsid w:val="000272B3"/>
    <w:pPr>
      <w:spacing w:line="240" w:lineRule="auto"/>
      <w:outlineLvl w:val="2"/>
    </w:pPr>
  </w:style>
  <w:style w:type="paragraph" w:styleId="Nagwek4">
    <w:name w:val="heading 4"/>
    <w:basedOn w:val="Normalny"/>
    <w:next w:val="Normalny"/>
    <w:qFormat/>
    <w:rsid w:val="000272B3"/>
    <w:pPr>
      <w:spacing w:line="240" w:lineRule="auto"/>
      <w:outlineLvl w:val="3"/>
    </w:pPr>
  </w:style>
  <w:style w:type="paragraph" w:styleId="Nagwek5">
    <w:name w:val="heading 5"/>
    <w:basedOn w:val="Normalny"/>
    <w:next w:val="Normalny"/>
    <w:qFormat/>
    <w:rsid w:val="000272B3"/>
    <w:pPr>
      <w:spacing w:line="240" w:lineRule="auto"/>
      <w:outlineLvl w:val="4"/>
    </w:pPr>
  </w:style>
  <w:style w:type="paragraph" w:styleId="Nagwek6">
    <w:name w:val="heading 6"/>
    <w:basedOn w:val="Normalny"/>
    <w:next w:val="Normalny"/>
    <w:qFormat/>
    <w:rsid w:val="000272B3"/>
    <w:pPr>
      <w:spacing w:line="240" w:lineRule="auto"/>
      <w:outlineLvl w:val="5"/>
    </w:pPr>
  </w:style>
  <w:style w:type="paragraph" w:styleId="Nagwek7">
    <w:name w:val="heading 7"/>
    <w:basedOn w:val="Normalny"/>
    <w:next w:val="Normalny"/>
    <w:qFormat/>
    <w:rsid w:val="000272B3"/>
    <w:pPr>
      <w:spacing w:line="240" w:lineRule="auto"/>
      <w:outlineLvl w:val="6"/>
    </w:pPr>
  </w:style>
  <w:style w:type="paragraph" w:styleId="Nagwek8">
    <w:name w:val="heading 8"/>
    <w:basedOn w:val="Normalny"/>
    <w:next w:val="Normalny"/>
    <w:qFormat/>
    <w:rsid w:val="000272B3"/>
    <w:pPr>
      <w:spacing w:line="240" w:lineRule="auto"/>
      <w:outlineLvl w:val="7"/>
    </w:pPr>
  </w:style>
  <w:style w:type="paragraph" w:styleId="Nagwek9">
    <w:name w:val="heading 9"/>
    <w:basedOn w:val="Normalny"/>
    <w:next w:val="Normalny"/>
    <w:qFormat/>
    <w:rsid w:val="000272B3"/>
    <w:pPr>
      <w:spacing w:line="240" w:lineRule="auto"/>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ingleTxtG">
    <w:name w:val="_ Single Txt_G"/>
    <w:basedOn w:val="Normalny"/>
    <w:link w:val="SingleTxtGChar"/>
    <w:rsid w:val="000272B3"/>
    <w:pPr>
      <w:spacing w:after="120"/>
      <w:ind w:left="1134" w:right="1134"/>
      <w:jc w:val="both"/>
    </w:pPr>
    <w:rPr>
      <w:lang w:val="x-none"/>
    </w:rPr>
  </w:style>
  <w:style w:type="paragraph" w:customStyle="1" w:styleId="HMG">
    <w:name w:val="_ H __M_G"/>
    <w:basedOn w:val="Normalny"/>
    <w:next w:val="Normalny"/>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ny"/>
    <w:next w:val="Normalny"/>
    <w:rsid w:val="000272B3"/>
    <w:pPr>
      <w:keepNext/>
      <w:keepLines/>
      <w:tabs>
        <w:tab w:val="right" w:pos="851"/>
      </w:tabs>
      <w:spacing w:before="360" w:after="240" w:line="300" w:lineRule="exact"/>
      <w:ind w:left="1134" w:right="1134" w:hanging="1134"/>
    </w:pPr>
    <w:rPr>
      <w:b/>
      <w:sz w:val="28"/>
    </w:rPr>
  </w:style>
  <w:style w:type="paragraph" w:styleId="Nagwek">
    <w:name w:val="header"/>
    <w:aliases w:val="6_G"/>
    <w:basedOn w:val="Normalny"/>
    <w:link w:val="NagwekZnak"/>
    <w:uiPriority w:val="99"/>
    <w:rsid w:val="000272B3"/>
    <w:pPr>
      <w:pBdr>
        <w:bottom w:val="single" w:sz="4" w:space="4" w:color="auto"/>
      </w:pBdr>
      <w:spacing w:line="240" w:lineRule="auto"/>
    </w:pPr>
    <w:rPr>
      <w:b/>
      <w:sz w:val="18"/>
      <w:lang w:val="x-none"/>
    </w:rPr>
  </w:style>
  <w:style w:type="table" w:styleId="Tabela-Siatka">
    <w:name w:val="Table Grid"/>
    <w:basedOn w:val="Standardowy"/>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ipercze">
    <w:name w:val="Hyperlink"/>
    <w:semiHidden/>
    <w:rsid w:val="000272B3"/>
    <w:rPr>
      <w:color w:val="auto"/>
      <w:u w:val="none"/>
    </w:rPr>
  </w:style>
  <w:style w:type="character" w:styleId="UyteHipercze">
    <w:name w:val="FollowedHyperlink"/>
    <w:semiHidden/>
    <w:rsid w:val="000272B3"/>
    <w:rPr>
      <w:color w:val="auto"/>
      <w:u w:val="none"/>
    </w:rPr>
  </w:style>
  <w:style w:type="paragraph" w:styleId="Tekstprzypisudolnego">
    <w:name w:val="footnote text"/>
    <w:aliases w:val="5_G"/>
    <w:basedOn w:val="Normalny"/>
    <w:link w:val="TekstprzypisudolnegoZnak"/>
    <w:qFormat/>
    <w:rsid w:val="00677648"/>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Tekstprzypisukocowego">
    <w:name w:val="endnote text"/>
    <w:aliases w:val="2_G"/>
    <w:basedOn w:val="Tekstprzypisudolnego"/>
    <w:link w:val="TekstprzypisukocowegoZnak"/>
    <w:uiPriority w:val="99"/>
    <w:rsid w:val="000272B3"/>
  </w:style>
  <w:style w:type="paragraph" w:customStyle="1" w:styleId="SMG">
    <w:name w:val="__S_M_G"/>
    <w:basedOn w:val="Normalny"/>
    <w:next w:val="Normalny"/>
    <w:rsid w:val="000272B3"/>
    <w:pPr>
      <w:keepNext/>
      <w:keepLines/>
      <w:spacing w:before="240" w:after="240" w:line="420" w:lineRule="exact"/>
      <w:ind w:left="1134" w:right="1134"/>
    </w:pPr>
    <w:rPr>
      <w:b/>
      <w:sz w:val="40"/>
    </w:rPr>
  </w:style>
  <w:style w:type="paragraph" w:customStyle="1" w:styleId="SLG">
    <w:name w:val="__S_L_G"/>
    <w:basedOn w:val="Normalny"/>
    <w:next w:val="Normalny"/>
    <w:rsid w:val="000272B3"/>
    <w:pPr>
      <w:keepNext/>
      <w:keepLines/>
      <w:spacing w:before="240" w:after="240" w:line="580" w:lineRule="exact"/>
      <w:ind w:left="1134" w:right="1134"/>
    </w:pPr>
    <w:rPr>
      <w:b/>
      <w:sz w:val="56"/>
    </w:rPr>
  </w:style>
  <w:style w:type="paragraph" w:customStyle="1" w:styleId="SSG">
    <w:name w:val="__S_S_G"/>
    <w:basedOn w:val="Normalny"/>
    <w:next w:val="Normalny"/>
    <w:rsid w:val="000272B3"/>
    <w:pPr>
      <w:keepNext/>
      <w:keepLines/>
      <w:spacing w:before="240" w:after="240" w:line="300" w:lineRule="exact"/>
      <w:ind w:left="1134" w:right="1134"/>
    </w:pPr>
    <w:rPr>
      <w:b/>
      <w:sz w:val="28"/>
    </w:rPr>
  </w:style>
  <w:style w:type="character" w:styleId="Odwoanieprzypisukocowego">
    <w:name w:val="endnote reference"/>
    <w:aliases w:val="1_G"/>
    <w:uiPriority w:val="99"/>
    <w:rsid w:val="000272B3"/>
    <w:rPr>
      <w:rFonts w:ascii="Times New Roman" w:hAnsi="Times New Roman"/>
      <w:sz w:val="18"/>
      <w:vertAlign w:val="superscript"/>
    </w:rPr>
  </w:style>
  <w:style w:type="character" w:styleId="Odwoanieprzypisudolnego">
    <w:name w:val="footnote reference"/>
    <w:aliases w:val="4_G"/>
    <w:qFormat/>
    <w:rsid w:val="00677648"/>
    <w:rPr>
      <w:rFonts w:ascii="Times New Roman" w:hAnsi="Times New Roman"/>
      <w:sz w:val="18"/>
      <w:vertAlign w:val="superscript"/>
    </w:rPr>
  </w:style>
  <w:style w:type="character" w:styleId="Numerstrony">
    <w:name w:val="page number"/>
    <w:aliases w:val="7_G"/>
    <w:rsid w:val="000272B3"/>
    <w:rPr>
      <w:rFonts w:ascii="Times New Roman" w:hAnsi="Times New Roman"/>
      <w:b/>
      <w:sz w:val="18"/>
    </w:rPr>
  </w:style>
  <w:style w:type="paragraph" w:customStyle="1" w:styleId="XLargeG">
    <w:name w:val="__XLarge_G"/>
    <w:basedOn w:val="Normalny"/>
    <w:next w:val="Normalny"/>
    <w:rsid w:val="000272B3"/>
    <w:pPr>
      <w:keepNext/>
      <w:keepLines/>
      <w:spacing w:before="240" w:after="240" w:line="420" w:lineRule="exact"/>
      <w:ind w:left="1134" w:right="1134"/>
    </w:pPr>
    <w:rPr>
      <w:b/>
      <w:sz w:val="40"/>
    </w:rPr>
  </w:style>
  <w:style w:type="paragraph" w:customStyle="1" w:styleId="Bullet1G">
    <w:name w:val="_Bullet 1_G"/>
    <w:basedOn w:val="Normalny"/>
    <w:rsid w:val="000272B3"/>
    <w:pPr>
      <w:numPr>
        <w:numId w:val="1"/>
      </w:numPr>
      <w:spacing w:after="120"/>
      <w:ind w:right="1134"/>
      <w:jc w:val="both"/>
    </w:pPr>
  </w:style>
  <w:style w:type="paragraph" w:styleId="Stopka">
    <w:name w:val="footer"/>
    <w:aliases w:val="3_G"/>
    <w:basedOn w:val="Normalny"/>
    <w:link w:val="StopkaZnak"/>
    <w:uiPriority w:val="99"/>
    <w:rsid w:val="000272B3"/>
    <w:pPr>
      <w:spacing w:line="240" w:lineRule="auto"/>
    </w:pPr>
    <w:rPr>
      <w:sz w:val="16"/>
      <w:lang w:val="x-none"/>
    </w:rPr>
  </w:style>
  <w:style w:type="paragraph" w:customStyle="1" w:styleId="Bullet2G">
    <w:name w:val="_Bullet 2_G"/>
    <w:basedOn w:val="Normalny"/>
    <w:rsid w:val="000272B3"/>
    <w:pPr>
      <w:numPr>
        <w:numId w:val="2"/>
      </w:numPr>
      <w:spacing w:after="120"/>
      <w:ind w:right="1134"/>
      <w:jc w:val="both"/>
    </w:pPr>
  </w:style>
  <w:style w:type="paragraph" w:customStyle="1" w:styleId="H1G">
    <w:name w:val="_ H_1_G"/>
    <w:basedOn w:val="Normalny"/>
    <w:next w:val="Normalny"/>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ny"/>
    <w:next w:val="Normalny"/>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ny"/>
    <w:next w:val="Normalny"/>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ny"/>
    <w:next w:val="Normalny"/>
    <w:rsid w:val="000272B3"/>
    <w:pPr>
      <w:keepNext/>
      <w:keepLines/>
      <w:tabs>
        <w:tab w:val="right" w:pos="851"/>
      </w:tabs>
      <w:spacing w:before="240" w:after="120" w:line="240" w:lineRule="exact"/>
      <w:ind w:left="1134" w:right="1134" w:hanging="1134"/>
    </w:pPr>
  </w:style>
  <w:style w:type="paragraph" w:styleId="Akapitzlist">
    <w:name w:val="List Paragraph"/>
    <w:basedOn w:val="Normalny"/>
    <w:uiPriority w:val="34"/>
    <w:qFormat/>
    <w:rsid w:val="00561CEF"/>
    <w:pPr>
      <w:suppressAutoHyphens w:val="0"/>
      <w:spacing w:after="200" w:line="276" w:lineRule="auto"/>
      <w:ind w:left="720"/>
      <w:contextualSpacing/>
    </w:pPr>
    <w:rPr>
      <w:rFonts w:eastAsia="Calibri"/>
      <w:sz w:val="24"/>
      <w:szCs w:val="22"/>
      <w:lang w:val="en-US"/>
    </w:rPr>
  </w:style>
  <w:style w:type="character" w:customStyle="1" w:styleId="TekstprzypisudolnegoZnak">
    <w:name w:val="Tekst przypisu dolnego Znak"/>
    <w:aliases w:val="5_G Znak"/>
    <w:link w:val="Tekstprzypisudolnego"/>
    <w:rsid w:val="00561CEF"/>
    <w:rPr>
      <w:rFonts w:eastAsia="SimSun"/>
      <w:sz w:val="18"/>
      <w:lang w:val="en-GB"/>
    </w:rPr>
  </w:style>
  <w:style w:type="character" w:customStyle="1" w:styleId="TekstprzypisukocowegoZnak">
    <w:name w:val="Tekst przypisu końcowego Znak"/>
    <w:aliases w:val="2_G Znak"/>
    <w:link w:val="Tekstprzypisukocowego"/>
    <w:uiPriority w:val="99"/>
    <w:rsid w:val="00561CEF"/>
    <w:rPr>
      <w:sz w:val="18"/>
      <w:lang w:eastAsia="en-US"/>
    </w:rPr>
  </w:style>
  <w:style w:type="character" w:customStyle="1" w:styleId="SingleTxtGChar">
    <w:name w:val="_ Single Txt_G Char"/>
    <w:link w:val="SingleTxtG"/>
    <w:rsid w:val="00561CEF"/>
    <w:rPr>
      <w:lang w:eastAsia="en-US"/>
    </w:rPr>
  </w:style>
  <w:style w:type="character" w:customStyle="1" w:styleId="FootnoteTextChar2">
    <w:name w:val="Footnote Text Char2"/>
    <w:aliases w:val="5_G Char2,Footnote Text Char Char Char Char Char Char2,Footnote Text Char Char Char Char Char5,Footnote reference Char2,FA Fu Char2,Footnote Text Char Char Char Char1, Char Char,Footnote Reference1 Char1"/>
    <w:locked/>
    <w:rsid w:val="00561CEF"/>
    <w:rPr>
      <w:sz w:val="18"/>
      <w:lang w:val="en-GB"/>
    </w:rPr>
  </w:style>
  <w:style w:type="character" w:customStyle="1" w:styleId="NagwekZnak">
    <w:name w:val="Nagłówek Znak"/>
    <w:aliases w:val="6_G Znak"/>
    <w:link w:val="Nagwek"/>
    <w:uiPriority w:val="99"/>
    <w:rsid w:val="00561CEF"/>
    <w:rPr>
      <w:b/>
      <w:sz w:val="18"/>
      <w:lang w:eastAsia="en-US"/>
    </w:rPr>
  </w:style>
  <w:style w:type="character" w:customStyle="1" w:styleId="StopkaZnak">
    <w:name w:val="Stopka Znak"/>
    <w:aliases w:val="3_G Znak"/>
    <w:link w:val="Stopka"/>
    <w:uiPriority w:val="99"/>
    <w:rsid w:val="00561CEF"/>
    <w:rPr>
      <w:sz w:val="16"/>
      <w:lang w:eastAsia="en-US"/>
    </w:rPr>
  </w:style>
  <w:style w:type="paragraph" w:styleId="Tekstdymka">
    <w:name w:val="Balloon Text"/>
    <w:basedOn w:val="Normalny"/>
    <w:link w:val="TekstdymkaZnak"/>
    <w:rsid w:val="00B13468"/>
    <w:pPr>
      <w:spacing w:line="240" w:lineRule="auto"/>
    </w:pPr>
    <w:rPr>
      <w:rFonts w:ascii="Tahoma" w:hAnsi="Tahoma"/>
      <w:sz w:val="16"/>
      <w:szCs w:val="16"/>
      <w:lang w:val="x-none"/>
    </w:rPr>
  </w:style>
  <w:style w:type="character" w:customStyle="1" w:styleId="TekstdymkaZnak">
    <w:name w:val="Tekst dymka Znak"/>
    <w:link w:val="Tekstdymka"/>
    <w:rsid w:val="00B13468"/>
    <w:rPr>
      <w:rFonts w:ascii="Tahoma" w:hAnsi="Tahoma" w:cs="Tahoma"/>
      <w:sz w:val="16"/>
      <w:szCs w:val="16"/>
      <w:lang w:eastAsia="en-US"/>
    </w:rPr>
  </w:style>
  <w:style w:type="character" w:styleId="Odwoaniedokomentarza">
    <w:name w:val="annotation reference"/>
    <w:rsid w:val="00C50DAA"/>
    <w:rPr>
      <w:sz w:val="16"/>
      <w:szCs w:val="16"/>
    </w:rPr>
  </w:style>
  <w:style w:type="paragraph" w:styleId="Tekstkomentarza">
    <w:name w:val="annotation text"/>
    <w:basedOn w:val="Normalny"/>
    <w:link w:val="TekstkomentarzaZnak"/>
    <w:rsid w:val="00C50DAA"/>
    <w:rPr>
      <w:lang w:val="x-none"/>
    </w:rPr>
  </w:style>
  <w:style w:type="character" w:customStyle="1" w:styleId="TekstkomentarzaZnak">
    <w:name w:val="Tekst komentarza Znak"/>
    <w:link w:val="Tekstkomentarza"/>
    <w:rsid w:val="00C50DAA"/>
    <w:rPr>
      <w:lang w:eastAsia="en-US"/>
    </w:rPr>
  </w:style>
  <w:style w:type="paragraph" w:styleId="Tematkomentarza">
    <w:name w:val="annotation subject"/>
    <w:basedOn w:val="Tekstkomentarza"/>
    <w:next w:val="Tekstkomentarza"/>
    <w:link w:val="TematkomentarzaZnak"/>
    <w:rsid w:val="00C50DAA"/>
    <w:rPr>
      <w:b/>
      <w:bCs/>
    </w:rPr>
  </w:style>
  <w:style w:type="character" w:customStyle="1" w:styleId="TematkomentarzaZnak">
    <w:name w:val="Temat komentarza Znak"/>
    <w:link w:val="Tematkomentarza"/>
    <w:rsid w:val="00C50DA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BB946-B67C-4E0D-A177-84F21A3C5E57}">
  <ds:schemaRefs>
    <ds:schemaRef ds:uri="http://schemas.openxmlformats.org/officeDocument/2006/bibliography"/>
  </ds:schemaRefs>
</ds:datastoreItem>
</file>

<file path=customXml/itemProps2.xml><?xml version="1.0" encoding="utf-8"?>
<ds:datastoreItem xmlns:ds="http://schemas.openxmlformats.org/officeDocument/2006/customXml" ds:itemID="{DEA683E6-9E19-490B-8461-BA0BA81A9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CCPR_E.dotm</Template>
  <TotalTime>0</TotalTime>
  <Pages>21</Pages>
  <Words>7342</Words>
  <Characters>44053</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United Nations</vt:lpstr>
    </vt:vector>
  </TitlesOfParts>
  <Company>CSD</Company>
  <LinksUpToDate>false</LinksUpToDate>
  <CharactersWithSpaces>51293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Thodiyil Sindu</dc:creator>
  <cp:lastModifiedBy>Marcin Mazur</cp:lastModifiedBy>
  <cp:revision>2</cp:revision>
  <cp:lastPrinted>2014-12-16T13:52:00Z</cp:lastPrinted>
  <dcterms:created xsi:type="dcterms:W3CDTF">2015-12-14T12:53:00Z</dcterms:created>
  <dcterms:modified xsi:type="dcterms:W3CDTF">2015-12-14T12:53:00Z</dcterms:modified>
</cp:coreProperties>
</file>