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A3" w:rsidRDefault="00F061A3" w:rsidP="00F061A3">
      <w:pPr>
        <w:jc w:val="center"/>
      </w:pPr>
    </w:p>
    <w:p w:rsidR="00F061A3" w:rsidRDefault="00F061A3" w:rsidP="00F061A3">
      <w:pPr>
        <w:jc w:val="center"/>
      </w:pPr>
    </w:p>
    <w:p w:rsidR="00F061A3" w:rsidRPr="00815BFB" w:rsidRDefault="00F061A3" w:rsidP="00F061A3">
      <w:pPr>
        <w:jc w:val="center"/>
      </w:pPr>
    </w:p>
    <w:p w:rsidR="00F061A3" w:rsidRPr="005F12B3" w:rsidRDefault="001E654E" w:rsidP="00F061A3">
      <w:pPr>
        <w:jc w:val="center"/>
        <w:rPr>
          <w:lang w:val="pl-PL"/>
        </w:rPr>
      </w:pPr>
      <w:r w:rsidRPr="001E654E">
        <w:rPr>
          <w:lang w:val="pl-PL"/>
        </w:rPr>
        <w:t>CZWARTA</w:t>
      </w:r>
      <w:r w:rsidR="002C7C50">
        <w:rPr>
          <w:lang w:val="pl-PL"/>
        </w:rPr>
        <w:t xml:space="preserve"> </w:t>
      </w:r>
      <w:r w:rsidRPr="001E654E">
        <w:rPr>
          <w:lang w:val="pl-PL"/>
        </w:rPr>
        <w:t>SEKCJA</w:t>
      </w:r>
    </w:p>
    <w:p w:rsidR="00F061A3" w:rsidRPr="005F12B3" w:rsidRDefault="00F061A3" w:rsidP="00F061A3">
      <w:pPr>
        <w:jc w:val="center"/>
        <w:rPr>
          <w:lang w:val="pl-PL"/>
        </w:rPr>
      </w:pPr>
    </w:p>
    <w:p w:rsidR="00F061A3" w:rsidRPr="005F12B3" w:rsidRDefault="00F061A3" w:rsidP="00F061A3">
      <w:pPr>
        <w:jc w:val="center"/>
        <w:rPr>
          <w:lang w:val="pl-PL"/>
        </w:rPr>
      </w:pPr>
    </w:p>
    <w:p w:rsidR="00F061A3" w:rsidRPr="005F12B3" w:rsidRDefault="00F061A3" w:rsidP="00F061A3">
      <w:pPr>
        <w:jc w:val="center"/>
        <w:rPr>
          <w:lang w:val="pl-PL"/>
        </w:rPr>
      </w:pPr>
    </w:p>
    <w:p w:rsidR="00F061A3" w:rsidRPr="005F12B3" w:rsidRDefault="00F061A3" w:rsidP="00F061A3">
      <w:pPr>
        <w:jc w:val="center"/>
        <w:rPr>
          <w:lang w:val="pl-PL"/>
        </w:rPr>
      </w:pPr>
    </w:p>
    <w:p w:rsidR="00F061A3" w:rsidRPr="005F12B3" w:rsidRDefault="00F061A3" w:rsidP="00F061A3">
      <w:pPr>
        <w:jc w:val="center"/>
        <w:rPr>
          <w:lang w:val="pl-PL"/>
        </w:rPr>
      </w:pPr>
    </w:p>
    <w:p w:rsidR="00F061A3" w:rsidRPr="001E654E" w:rsidRDefault="001E654E" w:rsidP="00F061A3">
      <w:pPr>
        <w:jc w:val="center"/>
        <w:rPr>
          <w:b/>
          <w:lang w:val="pl-PL"/>
        </w:rPr>
      </w:pPr>
      <w:r w:rsidRPr="001E654E">
        <w:rPr>
          <w:b/>
          <w:lang w:val="pl-PL"/>
        </w:rPr>
        <w:t>SPRAWA TOMASZEWSCY P. POLSCE</w:t>
      </w:r>
    </w:p>
    <w:p w:rsidR="00F061A3" w:rsidRPr="001E654E" w:rsidRDefault="00F061A3" w:rsidP="00F061A3">
      <w:pPr>
        <w:jc w:val="center"/>
        <w:rPr>
          <w:lang w:val="pl-PL"/>
        </w:rPr>
      </w:pPr>
    </w:p>
    <w:p w:rsidR="00F061A3" w:rsidRPr="001E654E" w:rsidRDefault="00F061A3" w:rsidP="00F061A3">
      <w:pPr>
        <w:jc w:val="center"/>
        <w:rPr>
          <w:szCs w:val="24"/>
          <w:lang w:val="pl-PL"/>
        </w:rPr>
      </w:pPr>
      <w:r w:rsidRPr="001E654E">
        <w:rPr>
          <w:i/>
          <w:lang w:val="pl-PL"/>
        </w:rPr>
        <w:t>(</w:t>
      </w:r>
      <w:r w:rsidR="001E654E">
        <w:rPr>
          <w:i/>
          <w:lang w:val="pl-PL"/>
        </w:rPr>
        <w:t>Skar</w:t>
      </w:r>
      <w:r w:rsidR="001E654E" w:rsidRPr="001E654E">
        <w:rPr>
          <w:i/>
          <w:lang w:val="pl-PL"/>
        </w:rPr>
        <w:t>ga nr</w:t>
      </w:r>
      <w:r w:rsidRPr="001E654E">
        <w:rPr>
          <w:i/>
          <w:lang w:val="pl-PL"/>
        </w:rPr>
        <w:t xml:space="preserve"> 8933/05)</w:t>
      </w:r>
    </w:p>
    <w:p w:rsidR="00F061A3" w:rsidRPr="001E654E" w:rsidRDefault="00F061A3" w:rsidP="00F061A3">
      <w:pPr>
        <w:jc w:val="center"/>
        <w:rPr>
          <w:szCs w:val="24"/>
          <w:u w:val="single"/>
          <w:lang w:val="pl-PL"/>
        </w:rPr>
      </w:pPr>
    </w:p>
    <w:p w:rsidR="00F061A3" w:rsidRPr="001E654E" w:rsidRDefault="00F061A3" w:rsidP="00F061A3">
      <w:pPr>
        <w:jc w:val="center"/>
        <w:rPr>
          <w:szCs w:val="24"/>
          <w:u w:val="single"/>
          <w:lang w:val="pl-PL"/>
        </w:rPr>
      </w:pPr>
    </w:p>
    <w:p w:rsidR="00F061A3" w:rsidRPr="001E654E" w:rsidRDefault="00F061A3" w:rsidP="00F061A3">
      <w:pPr>
        <w:jc w:val="center"/>
        <w:rPr>
          <w:szCs w:val="24"/>
          <w:u w:val="single"/>
          <w:lang w:val="pl-PL"/>
        </w:rPr>
      </w:pPr>
    </w:p>
    <w:p w:rsidR="00F061A3" w:rsidRPr="001E654E" w:rsidRDefault="00F061A3" w:rsidP="00F061A3">
      <w:pPr>
        <w:jc w:val="center"/>
        <w:rPr>
          <w:szCs w:val="24"/>
          <w:u w:val="single"/>
          <w:lang w:val="pl-PL"/>
        </w:rPr>
      </w:pPr>
    </w:p>
    <w:p w:rsidR="00F061A3" w:rsidRPr="001E654E" w:rsidRDefault="00F061A3" w:rsidP="00F061A3">
      <w:pPr>
        <w:jc w:val="center"/>
        <w:rPr>
          <w:szCs w:val="24"/>
          <w:u w:val="single"/>
          <w:lang w:val="pl-PL"/>
        </w:rPr>
      </w:pPr>
    </w:p>
    <w:p w:rsidR="00F061A3" w:rsidRPr="001E654E" w:rsidRDefault="00F061A3" w:rsidP="00F061A3">
      <w:pPr>
        <w:jc w:val="center"/>
        <w:rPr>
          <w:szCs w:val="24"/>
          <w:u w:val="single"/>
          <w:lang w:val="pl-PL"/>
        </w:rPr>
      </w:pPr>
    </w:p>
    <w:p w:rsidR="00F061A3" w:rsidRPr="001E654E" w:rsidRDefault="00F061A3" w:rsidP="00F061A3">
      <w:pPr>
        <w:jc w:val="center"/>
        <w:rPr>
          <w:szCs w:val="24"/>
          <w:u w:val="single"/>
          <w:lang w:val="pl-PL"/>
        </w:rPr>
      </w:pPr>
    </w:p>
    <w:p w:rsidR="00F061A3" w:rsidRPr="005F12B3" w:rsidRDefault="001E654E" w:rsidP="00F061A3">
      <w:pPr>
        <w:jc w:val="center"/>
        <w:rPr>
          <w:szCs w:val="24"/>
          <w:lang w:val="pl-PL"/>
        </w:rPr>
      </w:pPr>
      <w:r w:rsidRPr="005F12B3">
        <w:rPr>
          <w:szCs w:val="24"/>
          <w:lang w:val="pl-PL"/>
        </w:rPr>
        <w:t>WYROK</w:t>
      </w:r>
    </w:p>
    <w:p w:rsidR="00F061A3" w:rsidRPr="005F12B3" w:rsidRDefault="00F061A3" w:rsidP="00F061A3">
      <w:pPr>
        <w:jc w:val="center"/>
        <w:rPr>
          <w:szCs w:val="24"/>
          <w:lang w:val="pl-PL"/>
        </w:rPr>
      </w:pPr>
    </w:p>
    <w:p w:rsidR="00F061A3" w:rsidRPr="005F12B3" w:rsidRDefault="00F061A3" w:rsidP="00F061A3">
      <w:pPr>
        <w:jc w:val="center"/>
        <w:rPr>
          <w:szCs w:val="24"/>
          <w:lang w:val="pl-PL"/>
        </w:rPr>
      </w:pPr>
    </w:p>
    <w:p w:rsidR="00F061A3" w:rsidRPr="005F12B3" w:rsidRDefault="001E654E" w:rsidP="00F061A3">
      <w:pPr>
        <w:suppressAutoHyphens w:val="0"/>
        <w:jc w:val="center"/>
        <w:rPr>
          <w:lang w:val="pl-PL"/>
        </w:rPr>
      </w:pPr>
      <w:r w:rsidRPr="001E654E">
        <w:rPr>
          <w:lang w:val="pl-PL"/>
        </w:rPr>
        <w:t>STRASB</w:t>
      </w:r>
      <w:r w:rsidR="00F061A3" w:rsidRPr="001E654E">
        <w:rPr>
          <w:lang w:val="pl-PL"/>
        </w:rPr>
        <w:t>URG</w:t>
      </w:r>
    </w:p>
    <w:p w:rsidR="00F061A3" w:rsidRPr="005F12B3" w:rsidRDefault="00F061A3" w:rsidP="00F061A3">
      <w:pPr>
        <w:suppressAutoHyphens w:val="0"/>
        <w:jc w:val="center"/>
        <w:rPr>
          <w:lang w:val="pl-PL"/>
        </w:rPr>
      </w:pPr>
    </w:p>
    <w:p w:rsidR="00F061A3" w:rsidRPr="001E654E" w:rsidRDefault="001E654E" w:rsidP="00F061A3">
      <w:pPr>
        <w:suppressAutoHyphens w:val="0"/>
        <w:jc w:val="center"/>
        <w:rPr>
          <w:lang w:val="pl-PL"/>
        </w:rPr>
      </w:pPr>
      <w:r w:rsidRPr="001E654E">
        <w:rPr>
          <w:lang w:val="pl-PL"/>
        </w:rPr>
        <w:t>d</w:t>
      </w:r>
      <w:r>
        <w:rPr>
          <w:lang w:val="pl-PL"/>
        </w:rPr>
        <w:t>nia</w:t>
      </w:r>
      <w:r w:rsidRPr="001E654E">
        <w:rPr>
          <w:lang w:val="pl-PL"/>
        </w:rPr>
        <w:t xml:space="preserve"> 15 kwietnia</w:t>
      </w:r>
      <w:r w:rsidR="00F061A3" w:rsidRPr="001E654E">
        <w:rPr>
          <w:lang w:val="pl-PL"/>
        </w:rPr>
        <w:t xml:space="preserve"> 2014</w:t>
      </w:r>
      <w:r w:rsidRPr="001E654E">
        <w:rPr>
          <w:lang w:val="pl-PL"/>
        </w:rPr>
        <w:t xml:space="preserve"> r.</w:t>
      </w:r>
    </w:p>
    <w:p w:rsidR="00F061A3" w:rsidRPr="001E654E" w:rsidRDefault="00F061A3" w:rsidP="00F061A3">
      <w:pPr>
        <w:suppressAutoHyphens w:val="0"/>
        <w:jc w:val="center"/>
        <w:rPr>
          <w:lang w:val="pl-PL"/>
        </w:rPr>
      </w:pPr>
    </w:p>
    <w:p w:rsidR="00F061A3" w:rsidRPr="001E654E" w:rsidRDefault="00F061A3" w:rsidP="00F061A3">
      <w:pPr>
        <w:suppressAutoHyphens w:val="0"/>
        <w:jc w:val="center"/>
        <w:rPr>
          <w:lang w:val="pl-PL"/>
        </w:rPr>
      </w:pPr>
    </w:p>
    <w:p w:rsidR="00F061A3" w:rsidRPr="001E654E" w:rsidRDefault="00F061A3" w:rsidP="00F061A3">
      <w:pPr>
        <w:suppressAutoHyphens w:val="0"/>
        <w:jc w:val="center"/>
        <w:rPr>
          <w:lang w:val="pl-PL"/>
        </w:rPr>
      </w:pPr>
    </w:p>
    <w:p w:rsidR="00F061A3" w:rsidRPr="001E654E" w:rsidRDefault="00F061A3" w:rsidP="00F061A3">
      <w:pPr>
        <w:suppressAutoHyphens w:val="0"/>
        <w:jc w:val="center"/>
        <w:rPr>
          <w:lang w:val="pl-PL"/>
        </w:rPr>
      </w:pPr>
    </w:p>
    <w:p w:rsidR="00F061A3" w:rsidRPr="001E654E" w:rsidRDefault="00F061A3" w:rsidP="00F061A3">
      <w:pPr>
        <w:suppressAutoHyphens w:val="0"/>
        <w:jc w:val="center"/>
        <w:rPr>
          <w:lang w:val="pl-PL"/>
        </w:rPr>
      </w:pPr>
    </w:p>
    <w:p w:rsidR="001E654E" w:rsidRPr="00B9782C" w:rsidRDefault="001E654E" w:rsidP="001E654E">
      <w:pPr>
        <w:pStyle w:val="JuPara"/>
        <w:ind w:firstLine="0"/>
        <w:jc w:val="left"/>
        <w:rPr>
          <w:lang w:val="pl-PL" w:eastAsia="en-US"/>
        </w:rPr>
        <w:sectPr w:rsidR="001E654E" w:rsidRPr="00B9782C" w:rsidSect="001E654E">
          <w:headerReference w:type="default" r:id="rId9"/>
          <w:headerReference w:type="first" r:id="rId10"/>
          <w:footerReference w:type="first" r:id="rId11"/>
          <w:pgSz w:w="11906" w:h="16838" w:code="9"/>
          <w:pgMar w:top="2274" w:right="2274" w:bottom="2274" w:left="2274" w:header="1701" w:footer="708" w:gutter="0"/>
          <w:pgNumType w:start="1"/>
          <w:cols w:space="708"/>
          <w:titlePg/>
          <w:docGrid w:linePitch="326"/>
        </w:sectPr>
      </w:pPr>
      <w:r w:rsidRPr="00B9782C">
        <w:rPr>
          <w:i/>
          <w:sz w:val="22"/>
          <w:szCs w:val="22"/>
          <w:lang w:val="pl-PL"/>
        </w:rPr>
        <w:t xml:space="preserve">Wyrok stanie się prawomocny zgodnie z warunkami określonymi w artykule 44 </w:t>
      </w:r>
      <w:r w:rsidRPr="00B9782C">
        <w:rPr>
          <w:rStyle w:val="FontStyle38"/>
          <w:i/>
          <w:noProof/>
          <w:lang w:val="pl-PL"/>
        </w:rPr>
        <w:t>§ 2 Konwencji. Wyrok ten podlega korekcie wydawniczej przed jej opublikowaniem      w ostatecznej wersji</w:t>
      </w:r>
      <w:r>
        <w:rPr>
          <w:i/>
          <w:sz w:val="22"/>
          <w:lang w:val="pl-PL" w:eastAsia="en-US"/>
        </w:rPr>
        <w:t>.</w:t>
      </w:r>
    </w:p>
    <w:p w:rsidR="00F061A3" w:rsidRPr="001E654E" w:rsidRDefault="001E654E" w:rsidP="00F061A3">
      <w:pPr>
        <w:suppressAutoHyphens w:val="0"/>
        <w:ind w:firstLine="284"/>
        <w:jc w:val="both"/>
        <w:rPr>
          <w:b/>
          <w:lang w:val="pl-PL"/>
        </w:rPr>
      </w:pPr>
      <w:r w:rsidRPr="001E654E">
        <w:rPr>
          <w:b/>
          <w:lang w:val="pl-PL"/>
        </w:rPr>
        <w:lastRenderedPageBreak/>
        <w:t>W sprawie Tomaszewscy p. Polsce</w:t>
      </w:r>
      <w:r w:rsidR="00F061A3" w:rsidRPr="001E654E">
        <w:rPr>
          <w:b/>
          <w:lang w:val="pl-PL"/>
        </w:rPr>
        <w:t>,</w:t>
      </w:r>
    </w:p>
    <w:p w:rsidR="001E654E" w:rsidRPr="00B9782C" w:rsidRDefault="001E654E" w:rsidP="001E654E">
      <w:pPr>
        <w:pStyle w:val="JuPara"/>
        <w:rPr>
          <w:lang w:val="pl-PL"/>
        </w:rPr>
      </w:pPr>
      <w:r w:rsidRPr="00B9782C">
        <w:rPr>
          <w:lang w:val="pl-PL"/>
        </w:rPr>
        <w:t xml:space="preserve">Europejski Trybunał Praw Człowieka (czwarta sekcja), jako izba składająca się z następujących sędziów : </w:t>
      </w:r>
    </w:p>
    <w:p w:rsidR="00F061A3" w:rsidRPr="005F12B3" w:rsidRDefault="00F061A3" w:rsidP="00F061A3">
      <w:pPr>
        <w:pStyle w:val="JuPara"/>
        <w:ind w:firstLine="706"/>
        <w:rPr>
          <w:lang w:val="pl-PL"/>
        </w:rPr>
      </w:pPr>
      <w:proofErr w:type="spellStart"/>
      <w:r w:rsidRPr="005F12B3">
        <w:rPr>
          <w:lang w:val="pl-PL"/>
        </w:rPr>
        <w:t>Ineta</w:t>
      </w:r>
      <w:proofErr w:type="spellEnd"/>
      <w:r w:rsidR="008C0219">
        <w:rPr>
          <w:lang w:val="pl-PL"/>
        </w:rPr>
        <w:t xml:space="preserve"> </w:t>
      </w:r>
      <w:proofErr w:type="spellStart"/>
      <w:r w:rsidRPr="005F12B3">
        <w:rPr>
          <w:lang w:val="pl-PL"/>
        </w:rPr>
        <w:t>Ziemele</w:t>
      </w:r>
      <w:proofErr w:type="spellEnd"/>
      <w:r w:rsidRPr="005F12B3">
        <w:rPr>
          <w:lang w:val="pl-PL"/>
        </w:rPr>
        <w:t xml:space="preserve">, </w:t>
      </w:r>
      <w:r w:rsidR="001E654E" w:rsidRPr="005F12B3">
        <w:rPr>
          <w:i/>
          <w:lang w:val="pl-PL"/>
        </w:rPr>
        <w:t>przewodnicząca</w:t>
      </w:r>
      <w:r w:rsidRPr="005F12B3">
        <w:rPr>
          <w:lang w:val="pl-PL"/>
        </w:rPr>
        <w:t>,</w:t>
      </w:r>
    </w:p>
    <w:p w:rsidR="00F061A3" w:rsidRPr="005F12B3" w:rsidRDefault="00F061A3" w:rsidP="00F061A3">
      <w:pPr>
        <w:pStyle w:val="JuPara"/>
        <w:rPr>
          <w:lang w:val="pl-PL"/>
        </w:rPr>
      </w:pPr>
      <w:r w:rsidRPr="005F12B3">
        <w:rPr>
          <w:lang w:val="pl-PL"/>
        </w:rPr>
        <w:tab/>
      </w:r>
      <w:proofErr w:type="spellStart"/>
      <w:r w:rsidRPr="005F12B3">
        <w:rPr>
          <w:lang w:val="pl-PL"/>
        </w:rPr>
        <w:t>Päivi</w:t>
      </w:r>
      <w:proofErr w:type="spellEnd"/>
      <w:r w:rsidR="008C0219">
        <w:rPr>
          <w:lang w:val="pl-PL"/>
        </w:rPr>
        <w:t xml:space="preserve"> </w:t>
      </w:r>
      <w:proofErr w:type="spellStart"/>
      <w:r w:rsidRPr="005F12B3">
        <w:rPr>
          <w:lang w:val="pl-PL"/>
        </w:rPr>
        <w:t>Hirvelä</w:t>
      </w:r>
      <w:proofErr w:type="spellEnd"/>
      <w:r w:rsidRPr="005F12B3">
        <w:rPr>
          <w:lang w:val="pl-PL"/>
        </w:rPr>
        <w:t>,</w:t>
      </w:r>
    </w:p>
    <w:p w:rsidR="00F061A3" w:rsidRPr="005F12B3" w:rsidRDefault="00F061A3" w:rsidP="00F061A3">
      <w:pPr>
        <w:pStyle w:val="JuPara"/>
        <w:rPr>
          <w:lang w:val="pl-PL"/>
        </w:rPr>
      </w:pPr>
      <w:r w:rsidRPr="005F12B3">
        <w:rPr>
          <w:lang w:val="pl-PL"/>
        </w:rPr>
        <w:tab/>
        <w:t xml:space="preserve">George </w:t>
      </w:r>
      <w:proofErr w:type="spellStart"/>
      <w:r w:rsidRPr="005F12B3">
        <w:rPr>
          <w:lang w:val="pl-PL"/>
        </w:rPr>
        <w:t>Nicolaou</w:t>
      </w:r>
      <w:proofErr w:type="spellEnd"/>
      <w:r w:rsidRPr="005F12B3">
        <w:rPr>
          <w:lang w:val="pl-PL"/>
        </w:rPr>
        <w:t>,</w:t>
      </w:r>
    </w:p>
    <w:p w:rsidR="00F061A3" w:rsidRPr="005F12B3" w:rsidRDefault="00F061A3" w:rsidP="00F061A3">
      <w:pPr>
        <w:pStyle w:val="JuPara"/>
        <w:rPr>
          <w:lang w:val="pl-PL"/>
        </w:rPr>
      </w:pPr>
      <w:r w:rsidRPr="005F12B3">
        <w:rPr>
          <w:lang w:val="pl-PL"/>
        </w:rPr>
        <w:tab/>
      </w:r>
      <w:proofErr w:type="spellStart"/>
      <w:r w:rsidRPr="005F12B3">
        <w:rPr>
          <w:lang w:val="pl-PL"/>
        </w:rPr>
        <w:t>Ledi</w:t>
      </w:r>
      <w:proofErr w:type="spellEnd"/>
      <w:r w:rsidR="008C0219">
        <w:rPr>
          <w:lang w:val="pl-PL"/>
        </w:rPr>
        <w:t xml:space="preserve"> </w:t>
      </w:r>
      <w:proofErr w:type="spellStart"/>
      <w:r w:rsidRPr="005F12B3">
        <w:rPr>
          <w:lang w:val="pl-PL"/>
        </w:rPr>
        <w:t>Bianku</w:t>
      </w:r>
      <w:proofErr w:type="spellEnd"/>
      <w:r w:rsidRPr="005F12B3">
        <w:rPr>
          <w:lang w:val="pl-PL"/>
        </w:rPr>
        <w:t>,</w:t>
      </w:r>
    </w:p>
    <w:p w:rsidR="00F061A3" w:rsidRPr="005F12B3" w:rsidRDefault="00F061A3" w:rsidP="00F061A3">
      <w:pPr>
        <w:pStyle w:val="JuPara"/>
        <w:rPr>
          <w:lang w:val="pl-PL"/>
        </w:rPr>
      </w:pPr>
      <w:r w:rsidRPr="005F12B3">
        <w:rPr>
          <w:lang w:val="pl-PL"/>
        </w:rPr>
        <w:tab/>
      </w:r>
      <w:proofErr w:type="spellStart"/>
      <w:r w:rsidRPr="005F12B3">
        <w:rPr>
          <w:lang w:val="pl-PL"/>
        </w:rPr>
        <w:t>Zdravka</w:t>
      </w:r>
      <w:proofErr w:type="spellEnd"/>
      <w:r w:rsidR="008C0219">
        <w:rPr>
          <w:lang w:val="pl-PL"/>
        </w:rPr>
        <w:t xml:space="preserve"> </w:t>
      </w:r>
      <w:proofErr w:type="spellStart"/>
      <w:r w:rsidRPr="005F12B3">
        <w:rPr>
          <w:lang w:val="pl-PL"/>
        </w:rPr>
        <w:t>Kalaydjieva</w:t>
      </w:r>
      <w:proofErr w:type="spellEnd"/>
      <w:r w:rsidRPr="005F12B3">
        <w:rPr>
          <w:lang w:val="pl-PL"/>
        </w:rPr>
        <w:t>,</w:t>
      </w:r>
    </w:p>
    <w:p w:rsidR="00F061A3" w:rsidRPr="005F12B3" w:rsidRDefault="00F061A3" w:rsidP="00F061A3">
      <w:pPr>
        <w:pStyle w:val="JuPara"/>
        <w:rPr>
          <w:lang w:val="pl-PL"/>
        </w:rPr>
      </w:pPr>
      <w:r w:rsidRPr="005F12B3">
        <w:rPr>
          <w:lang w:val="pl-PL"/>
        </w:rPr>
        <w:tab/>
        <w:t xml:space="preserve">Krzysztof </w:t>
      </w:r>
      <w:proofErr w:type="spellStart"/>
      <w:r w:rsidRPr="005F12B3">
        <w:rPr>
          <w:lang w:val="pl-PL"/>
        </w:rPr>
        <w:t>Wojtyczek</w:t>
      </w:r>
      <w:proofErr w:type="spellEnd"/>
      <w:r w:rsidRPr="005F12B3">
        <w:rPr>
          <w:lang w:val="pl-PL"/>
        </w:rPr>
        <w:t>,</w:t>
      </w:r>
    </w:p>
    <w:p w:rsidR="00F061A3" w:rsidRPr="005F12B3" w:rsidRDefault="00DB2760" w:rsidP="00F061A3">
      <w:pPr>
        <w:pStyle w:val="JuJudges"/>
        <w:rPr>
          <w:lang w:val="pl-PL"/>
        </w:rPr>
      </w:pPr>
      <w:r w:rsidRPr="005F12B3">
        <w:rPr>
          <w:lang w:val="pl-PL"/>
        </w:rPr>
        <w:tab/>
      </w:r>
      <w:proofErr w:type="spellStart"/>
      <w:r w:rsidRPr="005F12B3">
        <w:rPr>
          <w:lang w:val="pl-PL"/>
        </w:rPr>
        <w:t>Faris</w:t>
      </w:r>
      <w:proofErr w:type="spellEnd"/>
      <w:r w:rsidR="008C0219">
        <w:rPr>
          <w:lang w:val="pl-PL"/>
        </w:rPr>
        <w:t xml:space="preserve"> </w:t>
      </w:r>
      <w:proofErr w:type="spellStart"/>
      <w:r w:rsidRPr="005F12B3">
        <w:rPr>
          <w:lang w:val="pl-PL"/>
        </w:rPr>
        <w:t>Vehabović</w:t>
      </w:r>
      <w:proofErr w:type="spellEnd"/>
      <w:r w:rsidRPr="005F12B3">
        <w:rPr>
          <w:lang w:val="pl-PL"/>
        </w:rPr>
        <w:t>,</w:t>
      </w:r>
    </w:p>
    <w:p w:rsidR="00F061A3" w:rsidRPr="00DB2760" w:rsidRDefault="008C0219" w:rsidP="00F061A3">
      <w:pPr>
        <w:pStyle w:val="JuJudges"/>
        <w:rPr>
          <w:lang w:val="pl-PL"/>
        </w:rPr>
      </w:pPr>
      <w:r>
        <w:rPr>
          <w:lang w:val="pl-PL"/>
        </w:rPr>
        <w:t>o</w:t>
      </w:r>
      <w:r w:rsidR="00DB2760" w:rsidRPr="00DB2760">
        <w:rPr>
          <w:lang w:val="pl-PL"/>
        </w:rPr>
        <w:t>raz</w:t>
      </w:r>
      <w:r>
        <w:rPr>
          <w:lang w:val="pl-PL"/>
        </w:rPr>
        <w:t xml:space="preserve"> </w:t>
      </w:r>
      <w:proofErr w:type="spellStart"/>
      <w:r w:rsidR="00F061A3" w:rsidRPr="00DB2760">
        <w:rPr>
          <w:lang w:val="pl-PL"/>
        </w:rPr>
        <w:t>Fatoş</w:t>
      </w:r>
      <w:proofErr w:type="spellEnd"/>
      <w:r>
        <w:rPr>
          <w:lang w:val="pl-PL"/>
        </w:rPr>
        <w:t xml:space="preserve"> </w:t>
      </w:r>
      <w:proofErr w:type="spellStart"/>
      <w:r w:rsidR="00F061A3" w:rsidRPr="00DB2760">
        <w:rPr>
          <w:lang w:val="pl-PL"/>
        </w:rPr>
        <w:t>Aracı</w:t>
      </w:r>
      <w:proofErr w:type="spellEnd"/>
      <w:r w:rsidR="00F061A3" w:rsidRPr="00DB2760">
        <w:rPr>
          <w:lang w:val="pl-PL"/>
        </w:rPr>
        <w:t xml:space="preserve">, </w:t>
      </w:r>
      <w:r w:rsidR="00DB2760" w:rsidRPr="00DB2760">
        <w:rPr>
          <w:i/>
          <w:lang w:val="pl-PL"/>
        </w:rPr>
        <w:t>zastępca kanclerza sekcji</w:t>
      </w:r>
      <w:r w:rsidR="00F061A3" w:rsidRPr="00DB2760">
        <w:rPr>
          <w:i/>
          <w:lang w:val="pl-PL"/>
        </w:rPr>
        <w:t>,</w:t>
      </w:r>
    </w:p>
    <w:p w:rsidR="00DB2760" w:rsidRPr="00B9782C" w:rsidRDefault="00C56CFA" w:rsidP="00DB2760">
      <w:pPr>
        <w:pStyle w:val="JuPara"/>
        <w:rPr>
          <w:lang w:val="pl-PL"/>
        </w:rPr>
      </w:pPr>
      <w:r>
        <w:rPr>
          <w:lang w:val="pl-PL"/>
        </w:rPr>
        <w:t>o</w:t>
      </w:r>
      <w:r w:rsidR="00DB2760" w:rsidRPr="00B9782C">
        <w:rPr>
          <w:lang w:val="pl-PL"/>
        </w:rPr>
        <w:t xml:space="preserve">bradując na posiedzeniu niejawnym w dniu </w:t>
      </w:r>
      <w:r w:rsidR="00DB2760">
        <w:rPr>
          <w:lang w:val="pl-PL"/>
        </w:rPr>
        <w:t>18 marca 2014</w:t>
      </w:r>
      <w:r w:rsidR="00DB2760" w:rsidRPr="00B9782C">
        <w:rPr>
          <w:lang w:val="pl-PL"/>
        </w:rPr>
        <w:t xml:space="preserve"> r.,</w:t>
      </w:r>
    </w:p>
    <w:p w:rsidR="00DB2760" w:rsidRPr="00B9782C" w:rsidRDefault="00DB2760" w:rsidP="00DB2760">
      <w:pPr>
        <w:pStyle w:val="JuPara"/>
        <w:rPr>
          <w:lang w:val="pl-PL"/>
        </w:rPr>
      </w:pPr>
      <w:r w:rsidRPr="00B9782C">
        <w:rPr>
          <w:lang w:val="pl-PL"/>
        </w:rPr>
        <w:t>wydaje następujący wyrok, który został przyjęty w tym dniu :</w:t>
      </w:r>
    </w:p>
    <w:p w:rsidR="00F061A3" w:rsidRPr="005F12B3" w:rsidRDefault="00DB2760" w:rsidP="00F061A3">
      <w:pPr>
        <w:pStyle w:val="JuHHead"/>
        <w:rPr>
          <w:lang w:val="pl-PL"/>
        </w:rPr>
      </w:pPr>
      <w:r w:rsidRPr="005F12B3">
        <w:rPr>
          <w:lang w:val="pl-PL"/>
        </w:rPr>
        <w:t>POSTĘPOWANIE</w:t>
      </w:r>
    </w:p>
    <w:p w:rsidR="00DB2760" w:rsidRDefault="003001A7" w:rsidP="00DB2760">
      <w:pPr>
        <w:pStyle w:val="JuPara"/>
        <w:rPr>
          <w:lang w:val="pl-PL"/>
        </w:rPr>
      </w:pPr>
      <w:r w:rsidRPr="00815BFB">
        <w:fldChar w:fldCharType="begin"/>
      </w:r>
      <w:r w:rsidR="00F061A3" w:rsidRPr="005F12B3">
        <w:rPr>
          <w:lang w:val="pl-PL"/>
        </w:rPr>
        <w:instrText xml:space="preserve"> SEQ level0 \*arabic </w:instrText>
      </w:r>
      <w:r w:rsidRPr="00815BFB">
        <w:fldChar w:fldCharType="separate"/>
      </w:r>
      <w:r w:rsidR="004E0BEB">
        <w:rPr>
          <w:noProof/>
          <w:lang w:val="pl-PL"/>
        </w:rPr>
        <w:t>1</w:t>
      </w:r>
      <w:r w:rsidRPr="00815BFB">
        <w:fldChar w:fldCharType="end"/>
      </w:r>
      <w:r w:rsidR="00F061A3" w:rsidRPr="005F12B3">
        <w:rPr>
          <w:lang w:val="pl-PL"/>
        </w:rPr>
        <w:t>.  </w:t>
      </w:r>
      <w:r w:rsidR="00DB2760" w:rsidRPr="00F31D94">
        <w:rPr>
          <w:lang w:val="pl-PL"/>
        </w:rPr>
        <w:t>Sprawa wywodzi się ze skargi (nr</w:t>
      </w:r>
      <w:r w:rsidR="005607DB">
        <w:rPr>
          <w:lang w:val="pl-PL"/>
        </w:rPr>
        <w:t xml:space="preserve"> 8933/05</w:t>
      </w:r>
      <w:r w:rsidR="00DB2760" w:rsidRPr="00F31D94">
        <w:rPr>
          <w:lang w:val="pl-PL"/>
        </w:rPr>
        <w:t xml:space="preserve">) wniesionej w dniu </w:t>
      </w:r>
      <w:r w:rsidR="005607DB">
        <w:rPr>
          <w:lang w:val="pl-PL"/>
        </w:rPr>
        <w:t>14 lutego 2005</w:t>
      </w:r>
      <w:r w:rsidR="00DB2760" w:rsidRPr="00F31D94">
        <w:rPr>
          <w:lang w:val="pl-PL"/>
        </w:rPr>
        <w:t xml:space="preserve"> roku przeciwko Rzeczpospolitej Polskiej do Europejskiego Trybunału Praw Człowieka na </w:t>
      </w:r>
      <w:r w:rsidR="00DB2760">
        <w:rPr>
          <w:lang w:val="pl-PL"/>
        </w:rPr>
        <w:t xml:space="preserve">podstawie artykułu 34 Konwencji </w:t>
      </w:r>
      <w:r w:rsidR="00DB2760" w:rsidRPr="00F31D94">
        <w:rPr>
          <w:lang w:val="pl-PL"/>
        </w:rPr>
        <w:t xml:space="preserve">o Ochronie Praw Człowieka i Podstawowych Wolności („Konwencja”) przez </w:t>
      </w:r>
      <w:r w:rsidR="005607DB">
        <w:rPr>
          <w:lang w:val="pl-PL"/>
        </w:rPr>
        <w:t xml:space="preserve">trzech </w:t>
      </w:r>
      <w:r w:rsidR="00DB2760">
        <w:rPr>
          <w:lang w:val="pl-PL"/>
        </w:rPr>
        <w:t>ob</w:t>
      </w:r>
      <w:r w:rsidR="005607DB">
        <w:rPr>
          <w:lang w:val="pl-PL"/>
        </w:rPr>
        <w:t>ywateli polskich</w:t>
      </w:r>
      <w:r w:rsidR="008C0219">
        <w:rPr>
          <w:lang w:val="pl-PL"/>
        </w:rPr>
        <w:t xml:space="preserve"> </w:t>
      </w:r>
      <w:r w:rsidR="005607DB">
        <w:rPr>
          <w:lang w:val="pl-PL"/>
        </w:rPr>
        <w:t>Panią Bożenę Tomaszewską oraz Panów Sebastiana i Artura Tomaszewskich</w:t>
      </w:r>
      <w:r w:rsidR="00DB2760" w:rsidRPr="00F31D94">
        <w:rPr>
          <w:lang w:val="pl-PL"/>
        </w:rPr>
        <w:t xml:space="preserve"> („skarżący</w:t>
      </w:r>
      <w:r w:rsidR="00AB6590">
        <w:rPr>
          <w:lang w:val="pl-PL"/>
        </w:rPr>
        <w:t>”</w:t>
      </w:r>
      <w:r w:rsidR="00DB2760" w:rsidRPr="00F31D94">
        <w:rPr>
          <w:lang w:val="pl-PL"/>
        </w:rPr>
        <w:t>).</w:t>
      </w:r>
    </w:p>
    <w:p w:rsidR="005607DB" w:rsidRPr="00F31D94" w:rsidRDefault="003001A7" w:rsidP="005607DB">
      <w:pPr>
        <w:pStyle w:val="JuPara"/>
        <w:rPr>
          <w:lang w:val="pl-PL"/>
        </w:rPr>
      </w:pPr>
      <w:r w:rsidRPr="00815BFB">
        <w:fldChar w:fldCharType="begin"/>
      </w:r>
      <w:r w:rsidR="00F061A3" w:rsidRPr="005607DB">
        <w:rPr>
          <w:lang w:val="pl-PL"/>
        </w:rPr>
        <w:instrText xml:space="preserve"> SEQ level0 \*arabic </w:instrText>
      </w:r>
      <w:r w:rsidRPr="00815BFB">
        <w:fldChar w:fldCharType="separate"/>
      </w:r>
      <w:r w:rsidR="004E0BEB">
        <w:rPr>
          <w:noProof/>
          <w:lang w:val="pl-PL"/>
        </w:rPr>
        <w:t>2</w:t>
      </w:r>
      <w:r w:rsidRPr="00815BFB">
        <w:fldChar w:fldCharType="end"/>
      </w:r>
      <w:r w:rsidR="00F061A3" w:rsidRPr="005607DB">
        <w:rPr>
          <w:lang w:val="pl-PL"/>
        </w:rPr>
        <w:t>.  </w:t>
      </w:r>
      <w:r w:rsidR="005607DB" w:rsidRPr="005607DB">
        <w:rPr>
          <w:lang w:val="pl-PL"/>
        </w:rPr>
        <w:t xml:space="preserve">Korzystający z pomocy prawnej skarżący byli reprezentowani przez mecenasa S. </w:t>
      </w:r>
      <w:r w:rsidR="005607DB">
        <w:rPr>
          <w:lang w:val="pl-PL"/>
        </w:rPr>
        <w:t>Trojanowskiego, adwokata praktykującego w Olsztynie</w:t>
      </w:r>
      <w:r w:rsidR="00F061A3" w:rsidRPr="005607DB">
        <w:rPr>
          <w:lang w:val="pl-PL"/>
        </w:rPr>
        <w:t xml:space="preserve">. </w:t>
      </w:r>
      <w:r w:rsidR="005607DB" w:rsidRPr="00F31D94">
        <w:rPr>
          <w:lang w:val="pl-PL"/>
        </w:rPr>
        <w:t xml:space="preserve">Rząd polski („Rząd”) był reprezentowany przez jego pełnomocnika Pana Jakuba </w:t>
      </w:r>
      <w:proofErr w:type="spellStart"/>
      <w:r w:rsidR="005607DB" w:rsidRPr="00F31D94">
        <w:rPr>
          <w:lang w:val="pl-PL"/>
        </w:rPr>
        <w:t>Wołąsiewicza</w:t>
      </w:r>
      <w:proofErr w:type="spellEnd"/>
      <w:r w:rsidR="005607DB" w:rsidRPr="00F31D94">
        <w:rPr>
          <w:lang w:val="pl-PL"/>
        </w:rPr>
        <w:t xml:space="preserve">, </w:t>
      </w:r>
      <w:r w:rsidR="005607DB">
        <w:rPr>
          <w:lang w:val="pl-PL"/>
        </w:rPr>
        <w:t>a następnie przez</w:t>
      </w:r>
      <w:r w:rsidR="005607DB" w:rsidRPr="00F31D94">
        <w:rPr>
          <w:lang w:val="pl-PL"/>
        </w:rPr>
        <w:t xml:space="preserve"> Panią Justynę Chrzanowską z Ministerstwa Spraw Zagranicznych.</w:t>
      </w:r>
    </w:p>
    <w:p w:rsidR="00F061A3" w:rsidRPr="002523D2" w:rsidRDefault="003001A7" w:rsidP="00F061A3">
      <w:pPr>
        <w:pStyle w:val="JuPara"/>
        <w:rPr>
          <w:i/>
          <w:lang w:val="pl-PL"/>
        </w:rPr>
      </w:pPr>
      <w:r w:rsidRPr="00815BFB">
        <w:fldChar w:fldCharType="begin"/>
      </w:r>
      <w:r w:rsidR="00F061A3" w:rsidRPr="002523D2">
        <w:rPr>
          <w:lang w:val="pl-PL"/>
        </w:rPr>
        <w:instrText xml:space="preserve"> SEQ level0 \*arabic </w:instrText>
      </w:r>
      <w:r w:rsidRPr="00815BFB">
        <w:fldChar w:fldCharType="separate"/>
      </w:r>
      <w:r w:rsidR="004E0BEB">
        <w:rPr>
          <w:noProof/>
          <w:lang w:val="pl-PL"/>
        </w:rPr>
        <w:t>3</w:t>
      </w:r>
      <w:r w:rsidRPr="00815BFB">
        <w:fldChar w:fldCharType="end"/>
      </w:r>
      <w:r w:rsidR="00F061A3" w:rsidRPr="002523D2">
        <w:rPr>
          <w:lang w:val="pl-PL"/>
        </w:rPr>
        <w:t>.  </w:t>
      </w:r>
      <w:r w:rsidR="005607DB" w:rsidRPr="002523D2">
        <w:rPr>
          <w:lang w:val="pl-PL"/>
        </w:rPr>
        <w:t>Skarżący w szczególności zarzucają</w:t>
      </w:r>
      <w:r w:rsidR="002523D2">
        <w:rPr>
          <w:lang w:val="pl-PL"/>
        </w:rPr>
        <w:t>, że</w:t>
      </w:r>
      <w:r w:rsidR="002523D2" w:rsidRPr="002523D2">
        <w:rPr>
          <w:lang w:val="pl-PL"/>
        </w:rPr>
        <w:t xml:space="preserve"> pozbawienie wolno</w:t>
      </w:r>
      <w:r w:rsidR="002523D2">
        <w:rPr>
          <w:lang w:val="pl-PL"/>
        </w:rPr>
        <w:t xml:space="preserve">ści będące wynikiem </w:t>
      </w:r>
      <w:r w:rsidR="00DF3623">
        <w:rPr>
          <w:lang w:val="pl-PL"/>
        </w:rPr>
        <w:t>zatrzymania przez P</w:t>
      </w:r>
      <w:r w:rsidR="002523D2">
        <w:rPr>
          <w:lang w:val="pl-PL"/>
        </w:rPr>
        <w:t xml:space="preserve">olicję i przetrzymywaniem </w:t>
      </w:r>
      <w:r w:rsidR="00DF3623">
        <w:rPr>
          <w:lang w:val="pl-PL"/>
        </w:rPr>
        <w:t>w</w:t>
      </w:r>
      <w:r w:rsidR="002523D2">
        <w:rPr>
          <w:lang w:val="pl-PL"/>
        </w:rPr>
        <w:t xml:space="preserve"> komisariacie Sebastiana i Artura Tomaszewskiego oraz ich brata Zbigniewa Tomaszewskiego było niezgodne z prawem. Nadto, skarżący zarzucają</w:t>
      </w:r>
      <w:r w:rsidR="00137E9F">
        <w:rPr>
          <w:lang w:val="pl-PL"/>
        </w:rPr>
        <w:t xml:space="preserve">, brak możliwości </w:t>
      </w:r>
      <w:r w:rsidR="002523D2">
        <w:rPr>
          <w:lang w:val="pl-PL"/>
        </w:rPr>
        <w:t xml:space="preserve">uzyskania odszkodowania za poniesioną </w:t>
      </w:r>
      <w:r w:rsidR="00137E9F">
        <w:rPr>
          <w:lang w:val="pl-PL"/>
        </w:rPr>
        <w:t xml:space="preserve">szkodę na skutek </w:t>
      </w:r>
      <w:r w:rsidR="002523D2">
        <w:rPr>
          <w:lang w:val="pl-PL"/>
        </w:rPr>
        <w:t>pozbawienia wolności</w:t>
      </w:r>
      <w:r w:rsidR="00137E9F">
        <w:rPr>
          <w:lang w:val="pl-PL"/>
        </w:rPr>
        <w:t xml:space="preserve">, które </w:t>
      </w:r>
      <w:r w:rsidR="00DF3623">
        <w:rPr>
          <w:lang w:val="pl-PL"/>
        </w:rPr>
        <w:t>było bezprawne w rozumieniu artykułu</w:t>
      </w:r>
      <w:r w:rsidR="00B64C14">
        <w:rPr>
          <w:lang w:val="pl-PL"/>
        </w:rPr>
        <w:t xml:space="preserve"> </w:t>
      </w:r>
      <w:r w:rsidR="00137E9F" w:rsidRPr="002523D2">
        <w:rPr>
          <w:lang w:val="pl-PL"/>
        </w:rPr>
        <w:t xml:space="preserve">5 § 1 </w:t>
      </w:r>
      <w:r w:rsidR="00137E9F">
        <w:rPr>
          <w:lang w:val="pl-PL"/>
        </w:rPr>
        <w:t>Konwencji</w:t>
      </w:r>
      <w:r w:rsidR="00F061A3" w:rsidRPr="002523D2">
        <w:rPr>
          <w:lang w:val="pl-PL"/>
        </w:rPr>
        <w:t>.</w:t>
      </w:r>
    </w:p>
    <w:p w:rsidR="00137E9F" w:rsidRPr="00137E9F" w:rsidRDefault="003001A7" w:rsidP="00F061A3">
      <w:pPr>
        <w:suppressAutoHyphens w:val="0"/>
        <w:ind w:firstLine="284"/>
        <w:jc w:val="both"/>
        <w:rPr>
          <w:szCs w:val="24"/>
          <w:lang w:val="pl-PL"/>
        </w:rPr>
      </w:pPr>
      <w:r w:rsidRPr="00815BFB">
        <w:fldChar w:fldCharType="begin"/>
      </w:r>
      <w:r w:rsidR="00F061A3" w:rsidRPr="005F12B3">
        <w:rPr>
          <w:lang w:val="pl-PL"/>
        </w:rPr>
        <w:instrText xml:space="preserve"> SEQ level0 \*arabic </w:instrText>
      </w:r>
      <w:r w:rsidRPr="00815BFB">
        <w:fldChar w:fldCharType="separate"/>
      </w:r>
      <w:r w:rsidR="004E0BEB">
        <w:rPr>
          <w:noProof/>
          <w:lang w:val="pl-PL"/>
        </w:rPr>
        <w:t>4</w:t>
      </w:r>
      <w:r w:rsidRPr="00815BFB">
        <w:fldChar w:fldCharType="end"/>
      </w:r>
      <w:r w:rsidR="00F061A3" w:rsidRPr="005F12B3">
        <w:rPr>
          <w:lang w:val="pl-PL"/>
        </w:rPr>
        <w:t>.  </w:t>
      </w:r>
      <w:r w:rsidR="00137E9F">
        <w:rPr>
          <w:szCs w:val="24"/>
          <w:lang w:val="pl-PL"/>
        </w:rPr>
        <w:t>W dniu 20 marca 2007 roku Trybunał</w:t>
      </w:r>
      <w:r w:rsidR="00137E9F" w:rsidRPr="00092CA7">
        <w:rPr>
          <w:szCs w:val="24"/>
          <w:lang w:val="pl-PL"/>
        </w:rPr>
        <w:t xml:space="preserve"> podją</w:t>
      </w:r>
      <w:r w:rsidR="00137E9F">
        <w:rPr>
          <w:szCs w:val="24"/>
          <w:lang w:val="pl-PL"/>
        </w:rPr>
        <w:t xml:space="preserve">ł decyzję </w:t>
      </w:r>
      <w:r w:rsidR="00137E9F" w:rsidRPr="00092CA7">
        <w:rPr>
          <w:szCs w:val="24"/>
          <w:lang w:val="pl-PL"/>
        </w:rPr>
        <w:t>o powiadomi</w:t>
      </w:r>
      <w:r w:rsidR="00137E9F">
        <w:rPr>
          <w:szCs w:val="24"/>
          <w:lang w:val="pl-PL"/>
        </w:rPr>
        <w:t xml:space="preserve">eniu Rządu o wpłynięciu skargi. Nadto </w:t>
      </w:r>
      <w:r w:rsidR="00137E9F" w:rsidRPr="00092CA7">
        <w:rPr>
          <w:szCs w:val="24"/>
          <w:lang w:val="pl-PL"/>
        </w:rPr>
        <w:t xml:space="preserve">na mocy artykułu </w:t>
      </w:r>
      <w:r w:rsidR="00137E9F">
        <w:rPr>
          <w:rStyle w:val="FontStyle38"/>
          <w:szCs w:val="24"/>
          <w:lang w:val="pl-PL"/>
        </w:rPr>
        <w:t>29 § 1</w:t>
      </w:r>
      <w:r w:rsidR="00B64C14">
        <w:rPr>
          <w:rStyle w:val="FontStyle38"/>
          <w:szCs w:val="24"/>
          <w:lang w:val="pl-PL"/>
        </w:rPr>
        <w:t xml:space="preserve"> </w:t>
      </w:r>
      <w:r w:rsidR="00137E9F" w:rsidRPr="00137E9F">
        <w:rPr>
          <w:rStyle w:val="FontStyle38"/>
          <w:sz w:val="24"/>
          <w:szCs w:val="24"/>
          <w:lang w:val="pl-PL"/>
        </w:rPr>
        <w:t>Konwencji przyjęto, że sprawa zostanie rozpatrzona przez izbę</w:t>
      </w:r>
      <w:r w:rsidR="002C7C50">
        <w:rPr>
          <w:rStyle w:val="FontStyle38"/>
          <w:sz w:val="24"/>
          <w:szCs w:val="24"/>
          <w:lang w:val="pl-PL"/>
        </w:rPr>
        <w:t xml:space="preserve"> </w:t>
      </w:r>
      <w:r w:rsidR="00137E9F" w:rsidRPr="00137E9F">
        <w:rPr>
          <w:rStyle w:val="FontStyle38"/>
          <w:sz w:val="24"/>
          <w:szCs w:val="24"/>
          <w:lang w:val="pl-PL"/>
        </w:rPr>
        <w:t>w tym samym czasie zarówno co do dopuszczalności, jak i co do meritum</w:t>
      </w:r>
      <w:r w:rsidR="00137E9F" w:rsidRPr="00137E9F">
        <w:rPr>
          <w:szCs w:val="24"/>
          <w:lang w:val="pl-PL"/>
        </w:rPr>
        <w:t xml:space="preserve">. </w:t>
      </w:r>
    </w:p>
    <w:p w:rsidR="00F061A3" w:rsidRPr="005F12B3" w:rsidRDefault="00137E9F" w:rsidP="00F061A3">
      <w:pPr>
        <w:pStyle w:val="JuHHead"/>
        <w:tabs>
          <w:tab w:val="left" w:pos="5387"/>
        </w:tabs>
        <w:rPr>
          <w:lang w:val="pl-PL"/>
        </w:rPr>
      </w:pPr>
      <w:r w:rsidRPr="005F12B3">
        <w:rPr>
          <w:lang w:val="pl-PL"/>
        </w:rPr>
        <w:lastRenderedPageBreak/>
        <w:t xml:space="preserve">STAN </w:t>
      </w:r>
      <w:r w:rsidRPr="00137E9F">
        <w:rPr>
          <w:lang w:val="pl-PL"/>
        </w:rPr>
        <w:t>FAKTYCZNY</w:t>
      </w:r>
    </w:p>
    <w:p w:rsidR="00F061A3" w:rsidRPr="005F12B3" w:rsidRDefault="00F061A3" w:rsidP="00F061A3">
      <w:pPr>
        <w:pStyle w:val="JuHIRoman"/>
        <w:outlineLvl w:val="0"/>
        <w:rPr>
          <w:lang w:val="pl-PL"/>
        </w:rPr>
      </w:pPr>
      <w:r w:rsidRPr="005F12B3">
        <w:rPr>
          <w:lang w:val="pl-PL"/>
        </w:rPr>
        <w:t>I.  </w:t>
      </w:r>
      <w:r w:rsidR="00137E9F" w:rsidRPr="00137E9F">
        <w:rPr>
          <w:lang w:val="pl-PL"/>
        </w:rPr>
        <w:t>OKOLICZNOŚCI</w:t>
      </w:r>
      <w:r w:rsidR="00B64C14">
        <w:rPr>
          <w:lang w:val="pl-PL"/>
        </w:rPr>
        <w:t xml:space="preserve"> </w:t>
      </w:r>
      <w:r w:rsidR="00137E9F" w:rsidRPr="00137E9F">
        <w:rPr>
          <w:lang w:val="pl-PL"/>
        </w:rPr>
        <w:t>SPRAWY</w:t>
      </w:r>
    </w:p>
    <w:p w:rsidR="00F061A3" w:rsidRPr="00E514DE" w:rsidRDefault="003001A7" w:rsidP="00F061A3">
      <w:pPr>
        <w:pStyle w:val="JuPara"/>
        <w:rPr>
          <w:lang w:val="pl-PL"/>
        </w:rPr>
      </w:pPr>
      <w:r w:rsidRPr="00815BFB">
        <w:fldChar w:fldCharType="begin"/>
      </w:r>
      <w:r w:rsidR="00F061A3" w:rsidRPr="005F12B3">
        <w:rPr>
          <w:lang w:val="pl-PL"/>
        </w:rPr>
        <w:instrText xml:space="preserve"> SEQ level0 \*arabic </w:instrText>
      </w:r>
      <w:r w:rsidRPr="00815BFB">
        <w:fldChar w:fldCharType="separate"/>
      </w:r>
      <w:r w:rsidR="004E0BEB">
        <w:rPr>
          <w:noProof/>
          <w:lang w:val="pl-PL"/>
        </w:rPr>
        <w:t>5</w:t>
      </w:r>
      <w:r w:rsidRPr="00815BFB">
        <w:fldChar w:fldCharType="end"/>
      </w:r>
      <w:r w:rsidR="00F061A3" w:rsidRPr="005F12B3">
        <w:rPr>
          <w:lang w:val="pl-PL"/>
        </w:rPr>
        <w:t>.  </w:t>
      </w:r>
      <w:r w:rsidR="00E514DE" w:rsidRPr="00E514DE">
        <w:rPr>
          <w:lang w:val="pl-PL"/>
        </w:rPr>
        <w:t>Skarżący,</w:t>
      </w:r>
      <w:r w:rsidR="00353895">
        <w:rPr>
          <w:lang w:val="pl-PL"/>
        </w:rPr>
        <w:t xml:space="preserve"> Pan Sebastian Tomaszewski (urodzony</w:t>
      </w:r>
      <w:r w:rsidR="008C0219">
        <w:rPr>
          <w:lang w:val="pl-PL"/>
        </w:rPr>
        <w:t xml:space="preserve"> </w:t>
      </w:r>
      <w:r w:rsidR="00E514DE">
        <w:rPr>
          <w:lang w:val="pl-PL"/>
        </w:rPr>
        <w:t>w 1981 roku), Pan Artur Tomaszewski (urodzony w 1983 roku) oraz Pani Bożena Tomaszewska, matka wymienionych wyżej skarżących oraz ich brata Zbigniewa Tomaszewskiego (urodzonego w 1989 roku, a zmarłego w 2004 roku) są obywatelami polskimi zamieszkującymi w Ostródzie</w:t>
      </w:r>
      <w:r w:rsidR="00F061A3" w:rsidRPr="00E514DE">
        <w:rPr>
          <w:lang w:val="pl-PL"/>
        </w:rPr>
        <w:t>.</w:t>
      </w:r>
    </w:p>
    <w:p w:rsidR="00F061A3" w:rsidRPr="005F12B3" w:rsidRDefault="00F061A3" w:rsidP="00F061A3">
      <w:pPr>
        <w:pStyle w:val="JuHA"/>
        <w:rPr>
          <w:lang w:val="pl-PL"/>
        </w:rPr>
      </w:pPr>
      <w:r w:rsidRPr="005F12B3">
        <w:rPr>
          <w:lang w:val="pl-PL"/>
        </w:rPr>
        <w:t>A.  </w:t>
      </w:r>
      <w:r w:rsidR="00E514DE" w:rsidRPr="00E514DE">
        <w:rPr>
          <w:lang w:val="pl-PL"/>
        </w:rPr>
        <w:t>Okoliczności</w:t>
      </w:r>
      <w:r w:rsidR="008C0219">
        <w:rPr>
          <w:lang w:val="pl-PL"/>
        </w:rPr>
        <w:t xml:space="preserve"> </w:t>
      </w:r>
      <w:r w:rsidR="00E514DE" w:rsidRPr="00E514DE">
        <w:rPr>
          <w:lang w:val="pl-PL"/>
        </w:rPr>
        <w:t>sprawy</w:t>
      </w:r>
    </w:p>
    <w:p w:rsidR="00F061A3" w:rsidRPr="005F12B3" w:rsidRDefault="003001A7" w:rsidP="00F061A3">
      <w:pPr>
        <w:pStyle w:val="JuPara"/>
        <w:rPr>
          <w:lang w:val="pl-PL"/>
        </w:rPr>
      </w:pPr>
      <w:r>
        <w:fldChar w:fldCharType="begin"/>
      </w:r>
      <w:r w:rsidR="00F061A3" w:rsidRPr="005F12B3">
        <w:rPr>
          <w:lang w:val="pl-PL"/>
        </w:rPr>
        <w:instrText xml:space="preserve"> SEQ level0 \*arabic </w:instrText>
      </w:r>
      <w:r>
        <w:fldChar w:fldCharType="separate"/>
      </w:r>
      <w:r w:rsidR="004E0BEB">
        <w:rPr>
          <w:noProof/>
          <w:lang w:val="pl-PL"/>
        </w:rPr>
        <w:t>6</w:t>
      </w:r>
      <w:r>
        <w:fldChar w:fldCharType="end"/>
      </w:r>
      <w:r w:rsidR="00F061A3" w:rsidRPr="005F12B3">
        <w:rPr>
          <w:lang w:val="pl-PL"/>
        </w:rPr>
        <w:t>.  </w:t>
      </w:r>
      <w:r w:rsidR="005F12B3" w:rsidRPr="005F12B3">
        <w:rPr>
          <w:lang w:val="pl-PL"/>
        </w:rPr>
        <w:t>Stan faktyczny sprawy przedstawiony przez strony można streścić jak następuje.</w:t>
      </w:r>
    </w:p>
    <w:p w:rsidR="00F061A3" w:rsidRPr="005F12B3" w:rsidRDefault="00F061A3" w:rsidP="00F061A3">
      <w:pPr>
        <w:pStyle w:val="JuH1"/>
        <w:rPr>
          <w:lang w:val="pl-PL"/>
        </w:rPr>
      </w:pPr>
      <w:r w:rsidRPr="005F12B3">
        <w:rPr>
          <w:lang w:val="pl-PL"/>
        </w:rPr>
        <w:t>1.  </w:t>
      </w:r>
      <w:r w:rsidR="005F12B3" w:rsidRPr="005F12B3">
        <w:rPr>
          <w:lang w:val="pl-PL"/>
        </w:rPr>
        <w:t>Wersja stanu faktycznego przedstawiona przez skarżących</w:t>
      </w:r>
    </w:p>
    <w:p w:rsidR="00F061A3" w:rsidRPr="005F12B3" w:rsidRDefault="003001A7" w:rsidP="00F061A3">
      <w:pPr>
        <w:pStyle w:val="JuPara"/>
        <w:rPr>
          <w:lang w:val="pl-PL"/>
        </w:rPr>
      </w:pPr>
      <w:r>
        <w:fldChar w:fldCharType="begin"/>
      </w:r>
      <w:r w:rsidR="00F061A3" w:rsidRPr="005F12B3">
        <w:rPr>
          <w:lang w:val="pl-PL"/>
        </w:rPr>
        <w:instrText xml:space="preserve"> SEQ level0 \*arabic </w:instrText>
      </w:r>
      <w:r>
        <w:fldChar w:fldCharType="separate"/>
      </w:r>
      <w:r w:rsidR="004E0BEB">
        <w:rPr>
          <w:noProof/>
          <w:lang w:val="pl-PL"/>
        </w:rPr>
        <w:t>7</w:t>
      </w:r>
      <w:r>
        <w:fldChar w:fldCharType="end"/>
      </w:r>
      <w:r w:rsidR="00F061A3" w:rsidRPr="005F12B3">
        <w:rPr>
          <w:lang w:val="pl-PL"/>
        </w:rPr>
        <w:t>.  </w:t>
      </w:r>
      <w:r w:rsidR="005F12B3" w:rsidRPr="005F12B3">
        <w:rPr>
          <w:lang w:val="pl-PL"/>
        </w:rPr>
        <w:t>W nocy z 30 na 31 sierpnia 2003 roku sk</w:t>
      </w:r>
      <w:r w:rsidR="005F12B3">
        <w:rPr>
          <w:lang w:val="pl-PL"/>
        </w:rPr>
        <w:t>a</w:t>
      </w:r>
      <w:r w:rsidR="005F12B3" w:rsidRPr="005F12B3">
        <w:rPr>
          <w:lang w:val="pl-PL"/>
        </w:rPr>
        <w:t xml:space="preserve">rżący wraz z M.K., ich przyjacielem </w:t>
      </w:r>
      <w:r w:rsidR="005F12B3">
        <w:rPr>
          <w:lang w:val="pl-PL"/>
        </w:rPr>
        <w:t>znajdowali się</w:t>
      </w:r>
      <w:r w:rsidR="005F12B3" w:rsidRPr="005F12B3">
        <w:rPr>
          <w:lang w:val="pl-PL"/>
        </w:rPr>
        <w:t xml:space="preserve"> w dyskotece </w:t>
      </w:r>
      <w:r w:rsidR="001F7BFA">
        <w:rPr>
          <w:lang w:val="pl-PL"/>
        </w:rPr>
        <w:t>w okolicznym</w:t>
      </w:r>
      <w:r w:rsidR="00F648AB">
        <w:rPr>
          <w:lang w:val="pl-PL"/>
        </w:rPr>
        <w:t xml:space="preserve"> </w:t>
      </w:r>
      <w:r w:rsidR="001F7BFA">
        <w:rPr>
          <w:lang w:val="pl-PL"/>
        </w:rPr>
        <w:t>barze</w:t>
      </w:r>
      <w:r w:rsidR="005F12B3">
        <w:rPr>
          <w:lang w:val="pl-PL"/>
        </w:rPr>
        <w:t>. Przebywali tam od godziny 22</w:t>
      </w:r>
      <w:r w:rsidR="005C4B60">
        <w:rPr>
          <w:lang w:val="pl-PL"/>
        </w:rPr>
        <w:t>.00</w:t>
      </w:r>
      <w:r w:rsidR="00B64C14">
        <w:rPr>
          <w:lang w:val="pl-PL"/>
        </w:rPr>
        <w:t xml:space="preserve"> </w:t>
      </w:r>
      <w:r w:rsidR="005F12B3">
        <w:rPr>
          <w:lang w:val="pl-PL"/>
        </w:rPr>
        <w:t>do 4</w:t>
      </w:r>
      <w:r w:rsidR="005C4B60">
        <w:rPr>
          <w:lang w:val="pl-PL"/>
        </w:rPr>
        <w:t>.00</w:t>
      </w:r>
      <w:r w:rsidR="00F648AB">
        <w:rPr>
          <w:lang w:val="pl-PL"/>
        </w:rPr>
        <w:t xml:space="preserve"> </w:t>
      </w:r>
      <w:r w:rsidR="005F12B3">
        <w:rPr>
          <w:lang w:val="pl-PL"/>
        </w:rPr>
        <w:t xml:space="preserve">nad ranem i nie wychodzili poza jego teren.  </w:t>
      </w:r>
    </w:p>
    <w:p w:rsidR="00F061A3" w:rsidRPr="005F12B3" w:rsidRDefault="003001A7" w:rsidP="00F061A3">
      <w:pPr>
        <w:pStyle w:val="JuPara"/>
        <w:rPr>
          <w:lang w:val="pl-PL"/>
        </w:rPr>
      </w:pPr>
      <w:r>
        <w:fldChar w:fldCharType="begin"/>
      </w:r>
      <w:r w:rsidR="00F061A3" w:rsidRPr="005F12B3">
        <w:rPr>
          <w:lang w:val="pl-PL"/>
        </w:rPr>
        <w:instrText xml:space="preserve"> SEQ level0 \*arabic </w:instrText>
      </w:r>
      <w:r>
        <w:fldChar w:fldCharType="separate"/>
      </w:r>
      <w:r w:rsidR="004E0BEB">
        <w:rPr>
          <w:noProof/>
          <w:lang w:val="pl-PL"/>
        </w:rPr>
        <w:t>8</w:t>
      </w:r>
      <w:r>
        <w:fldChar w:fldCharType="end"/>
      </w:r>
      <w:r w:rsidR="00F061A3" w:rsidRPr="005F12B3">
        <w:rPr>
          <w:lang w:val="pl-PL"/>
        </w:rPr>
        <w:t>.  </w:t>
      </w:r>
      <w:r w:rsidR="005F12B3">
        <w:rPr>
          <w:lang w:val="pl-PL"/>
        </w:rPr>
        <w:t>Około czwartej skarżący zadzwonili po taksówkę. W drodze do domu, około 4.15 zostali zatrzymani przez patrolujących teren policjantów, którzy wyciągnęli ich z taksówki, przeszukali i założyli im kajdanki, nie podając powodu zatrzymania, ani</w:t>
      </w:r>
      <w:r w:rsidR="00B64C14">
        <w:rPr>
          <w:lang w:val="pl-PL"/>
        </w:rPr>
        <w:t xml:space="preserve"> kontroli</w:t>
      </w:r>
      <w:r w:rsidR="00DF3623">
        <w:rPr>
          <w:lang w:val="pl-PL"/>
        </w:rPr>
        <w:t xml:space="preserve"> ich</w:t>
      </w:r>
      <w:r w:rsidR="005F12B3">
        <w:rPr>
          <w:lang w:val="pl-PL"/>
        </w:rPr>
        <w:t xml:space="preserve"> tożsam</w:t>
      </w:r>
      <w:r w:rsidR="00B64C14">
        <w:rPr>
          <w:lang w:val="pl-PL"/>
        </w:rPr>
        <w:t>ości</w:t>
      </w:r>
      <w:r w:rsidR="005F12B3">
        <w:rPr>
          <w:lang w:val="pl-PL"/>
        </w:rPr>
        <w:t>. Skarżący</w:t>
      </w:r>
      <w:r w:rsidR="00DF3623">
        <w:rPr>
          <w:lang w:val="pl-PL"/>
        </w:rPr>
        <w:t>ch</w:t>
      </w:r>
      <w:r w:rsidR="00F648AB">
        <w:rPr>
          <w:lang w:val="pl-PL"/>
        </w:rPr>
        <w:t xml:space="preserve"> </w:t>
      </w:r>
      <w:r w:rsidR="0096300A">
        <w:rPr>
          <w:lang w:val="pl-PL"/>
        </w:rPr>
        <w:t>zawieziono na posterunek w Ostródzie, a M.K. został odwieziony do domu.</w:t>
      </w:r>
    </w:p>
    <w:p w:rsidR="00C55065" w:rsidRDefault="003001A7" w:rsidP="00F061A3">
      <w:pPr>
        <w:pStyle w:val="JuPara"/>
        <w:rPr>
          <w:lang w:val="pl-PL"/>
        </w:rPr>
      </w:pPr>
      <w:r>
        <w:fldChar w:fldCharType="begin"/>
      </w:r>
      <w:r w:rsidR="00F061A3" w:rsidRPr="0096300A">
        <w:rPr>
          <w:lang w:val="pl-PL"/>
        </w:rPr>
        <w:instrText xml:space="preserve"> SEQ level0 \*arabic </w:instrText>
      </w:r>
      <w:r>
        <w:fldChar w:fldCharType="separate"/>
      </w:r>
      <w:r w:rsidR="004E0BEB">
        <w:rPr>
          <w:noProof/>
          <w:lang w:val="pl-PL"/>
        </w:rPr>
        <w:t>9</w:t>
      </w:r>
      <w:r>
        <w:fldChar w:fldCharType="end"/>
      </w:r>
      <w:r w:rsidR="0096300A" w:rsidRPr="0096300A">
        <w:rPr>
          <w:lang w:val="pl-PL"/>
        </w:rPr>
        <w:t>. Na posterunku skarżącym k</w:t>
      </w:r>
      <w:r w:rsidR="0096300A">
        <w:rPr>
          <w:lang w:val="pl-PL"/>
        </w:rPr>
        <w:t>a</w:t>
      </w:r>
      <w:r w:rsidR="0096300A" w:rsidRPr="0096300A">
        <w:rPr>
          <w:lang w:val="pl-PL"/>
        </w:rPr>
        <w:t xml:space="preserve">zano się rozebrać i zostali poddani </w:t>
      </w:r>
      <w:r w:rsidR="00A56F6B">
        <w:rPr>
          <w:lang w:val="pl-PL"/>
        </w:rPr>
        <w:t>kontroli</w:t>
      </w:r>
      <w:r w:rsidR="00F648AB">
        <w:rPr>
          <w:lang w:val="pl-PL"/>
        </w:rPr>
        <w:t xml:space="preserve"> </w:t>
      </w:r>
      <w:r w:rsidR="0096300A" w:rsidRPr="0096300A">
        <w:rPr>
          <w:lang w:val="pl-PL"/>
        </w:rPr>
        <w:t>osobistej.</w:t>
      </w:r>
      <w:r w:rsidR="00F648AB">
        <w:rPr>
          <w:lang w:val="pl-PL"/>
        </w:rPr>
        <w:t xml:space="preserve"> </w:t>
      </w:r>
      <w:r w:rsidR="0096300A" w:rsidRPr="0096300A">
        <w:rPr>
          <w:lang w:val="pl-PL"/>
        </w:rPr>
        <w:t>Kopano ich, uderzano pałką i zadano im ciosy pięścią. Najmłodszy z nich czternastolatek był również bity ; jeden z funkcjonariuszy</w:t>
      </w:r>
      <w:r w:rsidR="0096300A">
        <w:rPr>
          <w:lang w:val="pl-PL"/>
        </w:rPr>
        <w:t xml:space="preserve"> zadał mu cios pięścią w twarz</w:t>
      </w:r>
      <w:r w:rsidR="00DF3623">
        <w:rPr>
          <w:lang w:val="pl-PL"/>
        </w:rPr>
        <w:t>, w wyniku czego zaczęła</w:t>
      </w:r>
      <w:r w:rsidR="00C55065">
        <w:rPr>
          <w:lang w:val="pl-PL"/>
        </w:rPr>
        <w:t xml:space="preserve"> mu lecieć krew z nosa i upadł na ziemię. Jego braci, Sebastiana i Artura spotkał podobny los na skutek ciosów zadanych przez innego funkcjonariusz</w:t>
      </w:r>
      <w:r w:rsidR="005C4B60">
        <w:rPr>
          <w:lang w:val="pl-PL"/>
        </w:rPr>
        <w:t>a</w:t>
      </w:r>
      <w:r w:rsidR="00C55065">
        <w:rPr>
          <w:lang w:val="pl-PL"/>
        </w:rPr>
        <w:t xml:space="preserve"> w twarz i </w:t>
      </w:r>
      <w:r w:rsidR="005C4B60">
        <w:rPr>
          <w:lang w:val="pl-PL"/>
        </w:rPr>
        <w:t>w kostki</w:t>
      </w:r>
      <w:r w:rsidR="00C55065">
        <w:rPr>
          <w:lang w:val="pl-PL"/>
        </w:rPr>
        <w:t>. Następnie czterej funkcjonariusze</w:t>
      </w:r>
      <w:r w:rsidR="00BD4853">
        <w:rPr>
          <w:lang w:val="pl-PL"/>
        </w:rPr>
        <w:t xml:space="preserve"> wyszl</w:t>
      </w:r>
      <w:r w:rsidR="00C55065">
        <w:rPr>
          <w:lang w:val="pl-PL"/>
        </w:rPr>
        <w:t>i na pół godziny na papierosa.</w:t>
      </w:r>
    </w:p>
    <w:p w:rsidR="00F061A3" w:rsidRPr="00C55065" w:rsidRDefault="003001A7" w:rsidP="00F061A3">
      <w:pPr>
        <w:pStyle w:val="JuPara"/>
        <w:rPr>
          <w:lang w:val="pl-PL"/>
        </w:rPr>
      </w:pPr>
      <w:r>
        <w:fldChar w:fldCharType="begin"/>
      </w:r>
      <w:r w:rsidR="00F061A3" w:rsidRPr="00C55065">
        <w:rPr>
          <w:lang w:val="pl-PL"/>
        </w:rPr>
        <w:instrText xml:space="preserve"> SEQ level0 \*arabic </w:instrText>
      </w:r>
      <w:r>
        <w:fldChar w:fldCharType="separate"/>
      </w:r>
      <w:r w:rsidR="004E0BEB">
        <w:rPr>
          <w:noProof/>
          <w:lang w:val="pl-PL"/>
        </w:rPr>
        <w:t>10</w:t>
      </w:r>
      <w:r>
        <w:fldChar w:fldCharType="end"/>
      </w:r>
      <w:r w:rsidR="00F061A3" w:rsidRPr="00C55065">
        <w:rPr>
          <w:lang w:val="pl-PL"/>
        </w:rPr>
        <w:t>.  </w:t>
      </w:r>
      <w:r w:rsidR="00C55065" w:rsidRPr="00C55065">
        <w:rPr>
          <w:lang w:val="pl-PL"/>
        </w:rPr>
        <w:t xml:space="preserve">Około </w:t>
      </w:r>
      <w:r w:rsidR="00B64C14">
        <w:rPr>
          <w:lang w:val="pl-PL"/>
        </w:rPr>
        <w:t xml:space="preserve">godz. </w:t>
      </w:r>
      <w:r w:rsidR="00C55065" w:rsidRPr="00C55065">
        <w:rPr>
          <w:lang w:val="pl-PL"/>
        </w:rPr>
        <w:t xml:space="preserve">5.00, </w:t>
      </w:r>
      <w:r w:rsidR="00A0540F">
        <w:rPr>
          <w:lang w:val="pl-PL"/>
        </w:rPr>
        <w:t xml:space="preserve">rodzice skarżących, którzy zostali </w:t>
      </w:r>
      <w:r w:rsidR="00DA113D">
        <w:rPr>
          <w:lang w:val="pl-PL"/>
        </w:rPr>
        <w:t>poinformowani</w:t>
      </w:r>
      <w:r w:rsidR="00A0540F">
        <w:rPr>
          <w:lang w:val="pl-PL"/>
        </w:rPr>
        <w:t xml:space="preserve"> o zatrzymaniu przez M.K.</w:t>
      </w:r>
      <w:r w:rsidR="00C55065" w:rsidRPr="00C55065">
        <w:rPr>
          <w:lang w:val="pl-PL"/>
        </w:rPr>
        <w:t xml:space="preserve">, przybyli na </w:t>
      </w:r>
      <w:r w:rsidR="00BD4853">
        <w:rPr>
          <w:lang w:val="pl-PL"/>
        </w:rPr>
        <w:t>posterunek</w:t>
      </w:r>
      <w:r w:rsidR="008C32A9">
        <w:rPr>
          <w:lang w:val="pl-PL"/>
        </w:rPr>
        <w:t>, ale nie otrzymali zezwolenia</w:t>
      </w:r>
      <w:r w:rsidR="00C55065" w:rsidRPr="00C55065">
        <w:rPr>
          <w:lang w:val="pl-PL"/>
        </w:rPr>
        <w:t xml:space="preserve"> na wejście.</w:t>
      </w:r>
    </w:p>
    <w:p w:rsidR="00F061A3" w:rsidRPr="00B4740E" w:rsidRDefault="003001A7" w:rsidP="0015727B">
      <w:pPr>
        <w:pStyle w:val="Nagwek5"/>
        <w:jc w:val="both"/>
        <w:rPr>
          <w:rFonts w:ascii="Times New Roman" w:hAnsi="Times New Roman"/>
          <w:lang w:val="pl-PL"/>
        </w:rPr>
      </w:pPr>
      <w:r w:rsidRPr="0015727B">
        <w:rPr>
          <w:rFonts w:ascii="Times New Roman" w:hAnsi="Times New Roman"/>
        </w:rPr>
        <w:fldChar w:fldCharType="begin"/>
      </w:r>
      <w:r w:rsidR="00F061A3" w:rsidRPr="006A31CF">
        <w:rPr>
          <w:rFonts w:ascii="Times New Roman" w:hAnsi="Times New Roman"/>
          <w:lang w:val="pl-PL"/>
        </w:rPr>
        <w:instrText xml:space="preserve"> SEQ level0 \*arabic </w:instrText>
      </w:r>
      <w:r w:rsidRPr="0015727B">
        <w:rPr>
          <w:rFonts w:ascii="Times New Roman" w:hAnsi="Times New Roman"/>
        </w:rPr>
        <w:fldChar w:fldCharType="separate"/>
      </w:r>
      <w:r w:rsidR="004E0BEB">
        <w:rPr>
          <w:rFonts w:ascii="Times New Roman" w:hAnsi="Times New Roman"/>
          <w:noProof/>
          <w:lang w:val="pl-PL"/>
        </w:rPr>
        <w:t>11</w:t>
      </w:r>
      <w:r w:rsidRPr="0015727B">
        <w:rPr>
          <w:rFonts w:ascii="Times New Roman" w:hAnsi="Times New Roman"/>
        </w:rPr>
        <w:fldChar w:fldCharType="end"/>
      </w:r>
      <w:r w:rsidR="00F061A3" w:rsidRPr="006A31CF">
        <w:rPr>
          <w:rFonts w:ascii="Times New Roman" w:hAnsi="Times New Roman"/>
          <w:lang w:val="pl-PL"/>
        </w:rPr>
        <w:t>.  </w:t>
      </w:r>
      <w:r w:rsidR="00C55065" w:rsidRPr="006A31CF">
        <w:rPr>
          <w:rFonts w:ascii="Times New Roman" w:hAnsi="Times New Roman"/>
          <w:lang w:val="pl-PL"/>
        </w:rPr>
        <w:t>Skarżący</w:t>
      </w:r>
      <w:r w:rsidR="00DF3623">
        <w:rPr>
          <w:rFonts w:ascii="Times New Roman" w:hAnsi="Times New Roman"/>
          <w:lang w:val="pl-PL"/>
        </w:rPr>
        <w:t>m</w:t>
      </w:r>
      <w:r w:rsidR="00C55065" w:rsidRPr="006A31CF">
        <w:rPr>
          <w:rFonts w:ascii="Times New Roman" w:hAnsi="Times New Roman"/>
          <w:lang w:val="pl-PL"/>
        </w:rPr>
        <w:t xml:space="preserve"> zdję</w:t>
      </w:r>
      <w:r w:rsidR="00DF3623">
        <w:rPr>
          <w:rFonts w:ascii="Times New Roman" w:hAnsi="Times New Roman"/>
          <w:lang w:val="pl-PL"/>
        </w:rPr>
        <w:t>to kajdanki i zbadano zawartość alkoholu w organizmie</w:t>
      </w:r>
      <w:r w:rsidR="00C55065" w:rsidRPr="006A31CF">
        <w:rPr>
          <w:rFonts w:ascii="Times New Roman" w:hAnsi="Times New Roman"/>
          <w:lang w:val="pl-PL"/>
        </w:rPr>
        <w:t>. Niedługo potem zostali zwolnieni</w:t>
      </w:r>
      <w:r w:rsidR="00DF3623">
        <w:rPr>
          <w:rFonts w:ascii="Times New Roman" w:hAnsi="Times New Roman"/>
          <w:lang w:val="pl-PL"/>
        </w:rPr>
        <w:t>,</w:t>
      </w:r>
      <w:r w:rsidR="00C55065" w:rsidRPr="006A31CF">
        <w:rPr>
          <w:rFonts w:ascii="Times New Roman" w:hAnsi="Times New Roman"/>
          <w:lang w:val="pl-PL"/>
        </w:rPr>
        <w:t xml:space="preserve"> nie otrzymawszy pomocy medycznej, ani informacji </w:t>
      </w:r>
      <w:r w:rsidR="0015727B" w:rsidRPr="006A31CF">
        <w:rPr>
          <w:rFonts w:ascii="Times New Roman" w:hAnsi="Times New Roman"/>
          <w:lang w:val="pl-PL"/>
        </w:rPr>
        <w:t xml:space="preserve">o powodach zatrzymania, Nie zostali również przesłuchani. </w:t>
      </w:r>
      <w:r w:rsidR="0015727B" w:rsidRPr="00B4740E">
        <w:rPr>
          <w:rFonts w:ascii="Times New Roman" w:hAnsi="Times New Roman"/>
          <w:lang w:val="pl-PL"/>
        </w:rPr>
        <w:t xml:space="preserve">Nie </w:t>
      </w:r>
      <w:r w:rsidR="0015727B" w:rsidRPr="00DC5C22">
        <w:rPr>
          <w:rFonts w:ascii="Times New Roman" w:hAnsi="Times New Roman"/>
          <w:lang w:val="pl-PL"/>
        </w:rPr>
        <w:t>sporządzono</w:t>
      </w:r>
      <w:r w:rsidR="00461C47">
        <w:rPr>
          <w:rFonts w:ascii="Times New Roman" w:hAnsi="Times New Roman"/>
          <w:lang w:val="pl-PL"/>
        </w:rPr>
        <w:t xml:space="preserve"> </w:t>
      </w:r>
      <w:r w:rsidR="0015727B" w:rsidRPr="00DC5C22">
        <w:rPr>
          <w:rFonts w:ascii="Times New Roman" w:hAnsi="Times New Roman"/>
          <w:lang w:val="pl-PL"/>
        </w:rPr>
        <w:t>żadnego</w:t>
      </w:r>
      <w:r w:rsidR="00F648AB">
        <w:rPr>
          <w:rFonts w:ascii="Times New Roman" w:hAnsi="Times New Roman"/>
          <w:lang w:val="pl-PL"/>
        </w:rPr>
        <w:t xml:space="preserve"> </w:t>
      </w:r>
      <w:r w:rsidR="0015727B" w:rsidRPr="00DC5C22">
        <w:rPr>
          <w:rFonts w:ascii="Times New Roman" w:hAnsi="Times New Roman"/>
          <w:lang w:val="pl-PL"/>
        </w:rPr>
        <w:t>raportu</w:t>
      </w:r>
      <w:r w:rsidR="0015727B" w:rsidRPr="00B4740E">
        <w:rPr>
          <w:rFonts w:ascii="Times New Roman" w:hAnsi="Times New Roman"/>
          <w:lang w:val="pl-PL"/>
        </w:rPr>
        <w:t xml:space="preserve"> z </w:t>
      </w:r>
      <w:r w:rsidR="00F52263">
        <w:rPr>
          <w:rFonts w:ascii="Times New Roman" w:hAnsi="Times New Roman"/>
          <w:lang w:val="pl-PL"/>
        </w:rPr>
        <w:t xml:space="preserve">ich </w:t>
      </w:r>
      <w:r w:rsidR="0015727B" w:rsidRPr="00DC5C22">
        <w:rPr>
          <w:rFonts w:ascii="Times New Roman" w:hAnsi="Times New Roman"/>
          <w:lang w:val="pl-PL"/>
        </w:rPr>
        <w:t>zatrzymania</w:t>
      </w:r>
      <w:r w:rsidR="0015727B" w:rsidRPr="00B4740E">
        <w:rPr>
          <w:rFonts w:ascii="Times New Roman" w:hAnsi="Times New Roman"/>
          <w:lang w:val="pl-PL"/>
        </w:rPr>
        <w:t>.</w:t>
      </w:r>
    </w:p>
    <w:p w:rsidR="00F061A3" w:rsidRPr="0015727B" w:rsidRDefault="003001A7" w:rsidP="00F061A3">
      <w:pPr>
        <w:pStyle w:val="JuPara"/>
        <w:rPr>
          <w:lang w:val="pl-PL"/>
        </w:rPr>
      </w:pPr>
      <w:r>
        <w:fldChar w:fldCharType="begin"/>
      </w:r>
      <w:r w:rsidR="00F061A3" w:rsidRPr="006A31CF">
        <w:rPr>
          <w:lang w:val="pl-PL"/>
        </w:rPr>
        <w:instrText xml:space="preserve"> SEQ level0 \*arabic </w:instrText>
      </w:r>
      <w:r>
        <w:fldChar w:fldCharType="separate"/>
      </w:r>
      <w:r w:rsidR="004E0BEB">
        <w:rPr>
          <w:noProof/>
          <w:lang w:val="pl-PL"/>
        </w:rPr>
        <w:t>12</w:t>
      </w:r>
      <w:r>
        <w:fldChar w:fldCharType="end"/>
      </w:r>
      <w:r w:rsidR="00F061A3" w:rsidRPr="006A31CF">
        <w:rPr>
          <w:lang w:val="pl-PL"/>
        </w:rPr>
        <w:t>.  </w:t>
      </w:r>
      <w:r w:rsidR="0015727B" w:rsidRPr="0015727B">
        <w:rPr>
          <w:lang w:val="pl-PL"/>
        </w:rPr>
        <w:t xml:space="preserve">Po </w:t>
      </w:r>
      <w:r w:rsidR="0015727B">
        <w:rPr>
          <w:lang w:val="pl-PL"/>
        </w:rPr>
        <w:t>zwolnieniu,</w:t>
      </w:r>
      <w:r w:rsidR="00F648AB">
        <w:rPr>
          <w:lang w:val="pl-PL"/>
        </w:rPr>
        <w:t xml:space="preserve"> </w:t>
      </w:r>
      <w:r w:rsidR="0015727B">
        <w:rPr>
          <w:lang w:val="pl-PL"/>
        </w:rPr>
        <w:t>r</w:t>
      </w:r>
      <w:r w:rsidR="0015727B" w:rsidRPr="0015727B">
        <w:rPr>
          <w:lang w:val="pl-PL"/>
        </w:rPr>
        <w:t>odzice skarżących</w:t>
      </w:r>
      <w:r w:rsidR="0015727B">
        <w:rPr>
          <w:lang w:val="pl-PL"/>
        </w:rPr>
        <w:t xml:space="preserve"> zawieźli braci do szpitala w celu przeprowadzenia badań. Z </w:t>
      </w:r>
      <w:r w:rsidR="006F2CB4">
        <w:rPr>
          <w:lang w:val="pl-PL"/>
        </w:rPr>
        <w:t>wypisu</w:t>
      </w:r>
      <w:r w:rsidR="00F648AB">
        <w:rPr>
          <w:lang w:val="pl-PL"/>
        </w:rPr>
        <w:t xml:space="preserve"> </w:t>
      </w:r>
      <w:r w:rsidR="00DC5C22">
        <w:rPr>
          <w:lang w:val="pl-PL"/>
        </w:rPr>
        <w:t>Sebastiana</w:t>
      </w:r>
      <w:r w:rsidR="0015727B">
        <w:rPr>
          <w:lang w:val="pl-PL"/>
        </w:rPr>
        <w:t>, przyjętego do szpitala około</w:t>
      </w:r>
      <w:r w:rsidR="00DF3623">
        <w:rPr>
          <w:lang w:val="pl-PL"/>
        </w:rPr>
        <w:t xml:space="preserve"> </w:t>
      </w:r>
      <w:r w:rsidR="00B64C14">
        <w:rPr>
          <w:lang w:val="pl-PL"/>
        </w:rPr>
        <w:t xml:space="preserve">godz. </w:t>
      </w:r>
      <w:r w:rsidR="00DF3623">
        <w:rPr>
          <w:lang w:val="pl-PL"/>
        </w:rPr>
        <w:t>6.25 wynika, że miał obrażenia</w:t>
      </w:r>
      <w:r w:rsidR="0015727B">
        <w:rPr>
          <w:lang w:val="pl-PL"/>
        </w:rPr>
        <w:t xml:space="preserve"> z tyłu głowy oraz </w:t>
      </w:r>
      <w:r w:rsidR="00DF3623">
        <w:rPr>
          <w:lang w:val="pl-PL"/>
        </w:rPr>
        <w:t>na prawej stopie</w:t>
      </w:r>
      <w:r w:rsidR="0015727B">
        <w:rPr>
          <w:lang w:val="pl-PL"/>
        </w:rPr>
        <w:t xml:space="preserve">, na </w:t>
      </w:r>
      <w:r w:rsidR="0015727B">
        <w:rPr>
          <w:lang w:val="pl-PL"/>
        </w:rPr>
        <w:lastRenderedPageBreak/>
        <w:t xml:space="preserve">którą założono opatrunek gipsowy </w:t>
      </w:r>
      <w:r w:rsidR="006F2CB4">
        <w:rPr>
          <w:lang w:val="pl-PL"/>
        </w:rPr>
        <w:t>oraz, że został wypisany</w:t>
      </w:r>
      <w:r w:rsidR="00DC5C22">
        <w:rPr>
          <w:lang w:val="pl-PL"/>
        </w:rPr>
        <w:t xml:space="preserve"> następnego dnia.</w:t>
      </w:r>
    </w:p>
    <w:p w:rsidR="00F061A3" w:rsidRPr="00DC5C22" w:rsidRDefault="00F061A3" w:rsidP="00F061A3">
      <w:pPr>
        <w:pStyle w:val="JuH1"/>
        <w:rPr>
          <w:lang w:val="pl-PL"/>
        </w:rPr>
      </w:pPr>
      <w:r w:rsidRPr="006A31CF">
        <w:rPr>
          <w:lang w:val="pl-PL"/>
        </w:rPr>
        <w:t>2.  </w:t>
      </w:r>
      <w:r w:rsidR="00DC5C22" w:rsidRPr="00DC5C22">
        <w:rPr>
          <w:lang w:val="pl-PL"/>
        </w:rPr>
        <w:t>Wersja stanu faktycznego przedstawiona przez rząd</w:t>
      </w:r>
    </w:p>
    <w:p w:rsidR="00F061A3" w:rsidRPr="00DC5C22" w:rsidRDefault="003001A7" w:rsidP="00F061A3">
      <w:pPr>
        <w:pStyle w:val="JuPara"/>
        <w:rPr>
          <w:lang w:val="pl-PL"/>
        </w:rPr>
      </w:pPr>
      <w:r>
        <w:fldChar w:fldCharType="begin"/>
      </w:r>
      <w:r w:rsidR="00F061A3" w:rsidRPr="006A31CF">
        <w:rPr>
          <w:lang w:val="pl-PL"/>
        </w:rPr>
        <w:instrText xml:space="preserve"> SEQ level0 \*arabic </w:instrText>
      </w:r>
      <w:r>
        <w:fldChar w:fldCharType="separate"/>
      </w:r>
      <w:r w:rsidR="004E0BEB">
        <w:rPr>
          <w:noProof/>
          <w:lang w:val="pl-PL"/>
        </w:rPr>
        <w:t>13</w:t>
      </w:r>
      <w:r>
        <w:fldChar w:fldCharType="end"/>
      </w:r>
      <w:r w:rsidR="00F061A3" w:rsidRPr="006A31CF">
        <w:rPr>
          <w:lang w:val="pl-PL"/>
        </w:rPr>
        <w:t>.  </w:t>
      </w:r>
      <w:r w:rsidR="00DC5C22" w:rsidRPr="00DC5C22">
        <w:rPr>
          <w:lang w:val="pl-PL"/>
        </w:rPr>
        <w:t xml:space="preserve">W nocy z 30 na 31 sierpnia 2003 roku, </w:t>
      </w:r>
      <w:r w:rsidR="003419C4">
        <w:rPr>
          <w:lang w:val="pl-PL"/>
        </w:rPr>
        <w:t>na policję</w:t>
      </w:r>
      <w:r w:rsidR="00DC5C22" w:rsidRPr="00DC5C22">
        <w:rPr>
          <w:lang w:val="pl-PL"/>
        </w:rPr>
        <w:t xml:space="preserve"> w Ostródzie</w:t>
      </w:r>
      <w:r w:rsidR="003419C4">
        <w:rPr>
          <w:lang w:val="pl-PL"/>
        </w:rPr>
        <w:t xml:space="preserve"> wpłynęło zawiadomienie o zakłócaniu porządku publicznego w okolicach baru „Bistro”: około północy grupa młodych</w:t>
      </w:r>
      <w:r w:rsidR="00F475B0">
        <w:rPr>
          <w:lang w:val="pl-PL"/>
        </w:rPr>
        <w:t>,</w:t>
      </w:r>
      <w:r w:rsidR="003419C4">
        <w:rPr>
          <w:lang w:val="pl-PL"/>
        </w:rPr>
        <w:t xml:space="preserve"> wracających z koncertu ludzi miała zostać napadnięta przez inną grupę młodzieży będących klientami wspomnianego baru. Po przybyciu na miejsce i rozpoznaniu sytuacji funkcjonariusze policji zidentyfikowali najbardziej agresywnych osobników, w tym Sebastiana Tomaszewskiego i Artura Tomaszewskiego, którzy zaczepiali przechodzących kierując wobec nich obraźliwe i wulgarne słowa i rzucając butelki w ich kierunku oraz w kierunku pojazdu policji. Funkcjonariusze policji przystąpili do zatrzymania najagresywniejszych sprawców zakłócenia porządku</w:t>
      </w:r>
      <w:r w:rsidR="00952F4A">
        <w:rPr>
          <w:lang w:val="pl-PL"/>
        </w:rPr>
        <w:t xml:space="preserve">, którzy zostali w kilku turach odstawieni </w:t>
      </w:r>
      <w:r w:rsidR="00B64C14">
        <w:rPr>
          <w:lang w:val="pl-PL"/>
        </w:rPr>
        <w:t xml:space="preserve">do </w:t>
      </w:r>
      <w:r w:rsidR="00952F4A">
        <w:rPr>
          <w:lang w:val="pl-PL"/>
        </w:rPr>
        <w:t>komisariat</w:t>
      </w:r>
      <w:r w:rsidR="00B64C14">
        <w:rPr>
          <w:lang w:val="pl-PL"/>
        </w:rPr>
        <w:t>u</w:t>
      </w:r>
      <w:r w:rsidR="00952F4A">
        <w:rPr>
          <w:lang w:val="pl-PL"/>
        </w:rPr>
        <w:t xml:space="preserve"> w celu ko</w:t>
      </w:r>
      <w:r w:rsidR="00744BC6">
        <w:rPr>
          <w:lang w:val="pl-PL"/>
        </w:rPr>
        <w:t>ntroli tożsamości i poddania</w:t>
      </w:r>
      <w:r w:rsidR="00952F4A">
        <w:rPr>
          <w:lang w:val="pl-PL"/>
        </w:rPr>
        <w:t xml:space="preserve"> badaniu alkomatem. Aby uniknąć </w:t>
      </w:r>
      <w:r w:rsidR="00B64C14">
        <w:rPr>
          <w:lang w:val="pl-PL"/>
        </w:rPr>
        <w:t>zatrzymania</w:t>
      </w:r>
      <w:r w:rsidR="00952F4A">
        <w:rPr>
          <w:lang w:val="pl-PL"/>
        </w:rPr>
        <w:t xml:space="preserve">, niektórzy z młodych ludzi schronili się w barze. </w:t>
      </w:r>
    </w:p>
    <w:p w:rsidR="00F061A3" w:rsidRPr="00952F4A" w:rsidRDefault="003001A7" w:rsidP="00F061A3">
      <w:pPr>
        <w:pStyle w:val="JuPara"/>
        <w:rPr>
          <w:lang w:val="pl-PL"/>
        </w:rPr>
      </w:pPr>
      <w:r>
        <w:fldChar w:fldCharType="begin"/>
      </w:r>
      <w:r w:rsidR="00F061A3" w:rsidRPr="006A31CF">
        <w:rPr>
          <w:lang w:val="pl-PL"/>
        </w:rPr>
        <w:instrText xml:space="preserve"> SEQ level0 \*arabic </w:instrText>
      </w:r>
      <w:r>
        <w:fldChar w:fldCharType="separate"/>
      </w:r>
      <w:r w:rsidR="004E0BEB">
        <w:rPr>
          <w:noProof/>
          <w:lang w:val="pl-PL"/>
        </w:rPr>
        <w:t>14</w:t>
      </w:r>
      <w:r>
        <w:fldChar w:fldCharType="end"/>
      </w:r>
      <w:r w:rsidR="00F061A3" w:rsidRPr="006A31CF">
        <w:rPr>
          <w:lang w:val="pl-PL"/>
        </w:rPr>
        <w:t>.  </w:t>
      </w:r>
      <w:r w:rsidR="00952F4A" w:rsidRPr="00952F4A">
        <w:rPr>
          <w:lang w:val="pl-PL"/>
        </w:rPr>
        <w:t xml:space="preserve">Niedługo po czwartej nad ranem, </w:t>
      </w:r>
      <w:r w:rsidR="00952F4A">
        <w:rPr>
          <w:lang w:val="pl-PL"/>
        </w:rPr>
        <w:t xml:space="preserve">znajdujący się w taksówce </w:t>
      </w:r>
      <w:r w:rsidR="00952F4A" w:rsidRPr="00952F4A">
        <w:rPr>
          <w:lang w:val="pl-PL"/>
        </w:rPr>
        <w:t>skarżący zostali zatrzymani przez patrolujących funkcjonariuszy policji</w:t>
      </w:r>
      <w:r w:rsidR="00952F4A">
        <w:rPr>
          <w:lang w:val="pl-PL"/>
        </w:rPr>
        <w:t>. Przewieziono ich</w:t>
      </w:r>
      <w:r w:rsidR="00DF3623">
        <w:rPr>
          <w:lang w:val="pl-PL"/>
        </w:rPr>
        <w:t xml:space="preserve"> do</w:t>
      </w:r>
      <w:r w:rsidR="00952F4A">
        <w:rPr>
          <w:lang w:val="pl-PL"/>
        </w:rPr>
        <w:t xml:space="preserve"> komisariat</w:t>
      </w:r>
      <w:r w:rsidR="00DF3623">
        <w:rPr>
          <w:lang w:val="pl-PL"/>
        </w:rPr>
        <w:t>u</w:t>
      </w:r>
      <w:r w:rsidR="00952F4A">
        <w:rPr>
          <w:lang w:val="pl-PL"/>
        </w:rPr>
        <w:t xml:space="preserve"> gdzie sprawdzono ich tożsamość i poddano badaniu na obecność alkoholu w organizmie.  </w:t>
      </w:r>
    </w:p>
    <w:p w:rsidR="00F061A3" w:rsidRPr="00D21D9B" w:rsidRDefault="003001A7" w:rsidP="00744BC6">
      <w:pPr>
        <w:pStyle w:val="JuPara"/>
        <w:rPr>
          <w:lang w:val="pl-PL"/>
        </w:rPr>
      </w:pPr>
      <w:r>
        <w:fldChar w:fldCharType="begin"/>
      </w:r>
      <w:r w:rsidR="00F061A3" w:rsidRPr="006A31CF">
        <w:rPr>
          <w:lang w:val="pl-PL"/>
        </w:rPr>
        <w:instrText xml:space="preserve"> SEQ level0 \*arabic </w:instrText>
      </w:r>
      <w:r>
        <w:fldChar w:fldCharType="separate"/>
      </w:r>
      <w:r w:rsidR="004E0BEB">
        <w:rPr>
          <w:noProof/>
          <w:lang w:val="pl-PL"/>
        </w:rPr>
        <w:t>15</w:t>
      </w:r>
      <w:r>
        <w:fldChar w:fldCharType="end"/>
      </w:r>
      <w:r w:rsidR="00F061A3" w:rsidRPr="006A31CF">
        <w:rPr>
          <w:lang w:val="pl-PL"/>
        </w:rPr>
        <w:t>.  </w:t>
      </w:r>
      <w:r w:rsidR="00952F4A" w:rsidRPr="00952F4A">
        <w:rPr>
          <w:lang w:val="pl-PL"/>
        </w:rPr>
        <w:t xml:space="preserve">W </w:t>
      </w:r>
      <w:r w:rsidR="00131CDC">
        <w:rPr>
          <w:lang w:val="pl-PL"/>
        </w:rPr>
        <w:t xml:space="preserve">notatce </w:t>
      </w:r>
      <w:r w:rsidR="00131CDC" w:rsidRPr="00952F4A">
        <w:rPr>
          <w:lang w:val="pl-PL"/>
        </w:rPr>
        <w:t xml:space="preserve">sporządzonej </w:t>
      </w:r>
      <w:r w:rsidR="00131CDC">
        <w:rPr>
          <w:lang w:val="pl-PL"/>
        </w:rPr>
        <w:t xml:space="preserve">odręcznie w </w:t>
      </w:r>
      <w:r w:rsidR="00952F4A" w:rsidRPr="00952F4A">
        <w:rPr>
          <w:lang w:val="pl-PL"/>
        </w:rPr>
        <w:t>dniu 31</w:t>
      </w:r>
      <w:r w:rsidR="00131CDC">
        <w:rPr>
          <w:lang w:val="pl-PL"/>
        </w:rPr>
        <w:t xml:space="preserve"> </w:t>
      </w:r>
      <w:r w:rsidR="00952F4A" w:rsidRPr="00952F4A">
        <w:rPr>
          <w:lang w:val="pl-PL"/>
        </w:rPr>
        <w:t>sierpnia 2003</w:t>
      </w:r>
      <w:r w:rsidR="00952F4A">
        <w:rPr>
          <w:lang w:val="pl-PL"/>
        </w:rPr>
        <w:t xml:space="preserve"> roku</w:t>
      </w:r>
      <w:r w:rsidR="00F648AB">
        <w:rPr>
          <w:lang w:val="pl-PL"/>
        </w:rPr>
        <w:t xml:space="preserve"> </w:t>
      </w:r>
      <w:r w:rsidR="00952F4A" w:rsidRPr="00952F4A">
        <w:rPr>
          <w:lang w:val="pl-PL"/>
        </w:rPr>
        <w:t>funkcjonariusz</w:t>
      </w:r>
      <w:r w:rsidR="00F648AB">
        <w:rPr>
          <w:lang w:val="pl-PL"/>
        </w:rPr>
        <w:t xml:space="preserve"> </w:t>
      </w:r>
      <w:r w:rsidR="00952F4A" w:rsidRPr="00952F4A">
        <w:rPr>
          <w:lang w:val="pl-PL"/>
        </w:rPr>
        <w:t>policji</w:t>
      </w:r>
      <w:r w:rsidR="00D21D9B">
        <w:rPr>
          <w:lang w:val="pl-PL"/>
        </w:rPr>
        <w:t xml:space="preserve"> zamieścił informację</w:t>
      </w:r>
      <w:r w:rsidR="00952F4A">
        <w:rPr>
          <w:lang w:val="pl-PL"/>
        </w:rPr>
        <w:t xml:space="preserve"> o wynikach badania alkomatem (poziom alkoholu – 0,13 mg/l u Sebastiana </w:t>
      </w:r>
      <w:r w:rsidR="00D21D9B">
        <w:rPr>
          <w:lang w:val="pl-PL"/>
        </w:rPr>
        <w:t xml:space="preserve">oraz brak śladów alkoholu u Artura i Zbigniewa) oraz o czasie, w którym skarżący byli poddani badaniu (godz. </w:t>
      </w:r>
      <w:r w:rsidR="0085216B">
        <w:rPr>
          <w:lang w:val="pl-PL"/>
        </w:rPr>
        <w:t>5.27 -</w:t>
      </w:r>
      <w:r w:rsidR="00D21D9B" w:rsidRPr="00D21D9B">
        <w:rPr>
          <w:lang w:val="pl-PL"/>
        </w:rPr>
        <w:t>Sebastian</w:t>
      </w:r>
      <w:r w:rsidR="00D21D9B" w:rsidRPr="006A31CF">
        <w:rPr>
          <w:lang w:val="pl-PL"/>
        </w:rPr>
        <w:t xml:space="preserve">, </w:t>
      </w:r>
      <w:r w:rsidR="002D2A16" w:rsidRPr="00D21D9B">
        <w:rPr>
          <w:lang w:val="pl-PL"/>
        </w:rPr>
        <w:t>godz</w:t>
      </w:r>
      <w:r w:rsidR="002D2A16" w:rsidRPr="006A31CF">
        <w:rPr>
          <w:lang w:val="pl-PL"/>
        </w:rPr>
        <w:t>.</w:t>
      </w:r>
      <w:r w:rsidR="0085216B">
        <w:rPr>
          <w:lang w:val="pl-PL"/>
        </w:rPr>
        <w:t xml:space="preserve"> 5.16 -</w:t>
      </w:r>
      <w:r w:rsidR="00D21D9B" w:rsidRPr="002D2A16">
        <w:rPr>
          <w:lang w:val="pl-PL"/>
        </w:rPr>
        <w:t>Zbigniew</w:t>
      </w:r>
      <w:r w:rsidR="00D21D9B" w:rsidRPr="006A31CF">
        <w:rPr>
          <w:lang w:val="pl-PL"/>
        </w:rPr>
        <w:t xml:space="preserve">, </w:t>
      </w:r>
      <w:r w:rsidR="002D2A16" w:rsidRPr="002D2A16">
        <w:rPr>
          <w:lang w:val="pl-PL"/>
        </w:rPr>
        <w:t>godz</w:t>
      </w:r>
      <w:r w:rsidR="002D2A16" w:rsidRPr="006A31CF">
        <w:rPr>
          <w:lang w:val="pl-PL"/>
        </w:rPr>
        <w:t>.</w:t>
      </w:r>
      <w:r w:rsidR="0085216B">
        <w:rPr>
          <w:lang w:val="pl-PL"/>
        </w:rPr>
        <w:t>5.41 -</w:t>
      </w:r>
      <w:r w:rsidR="00D21D9B" w:rsidRPr="00D21D9B">
        <w:rPr>
          <w:lang w:val="pl-PL"/>
        </w:rPr>
        <w:t xml:space="preserve"> Artur). Następnie </w:t>
      </w:r>
      <w:r w:rsidR="00385EA3">
        <w:rPr>
          <w:lang w:val="pl-PL"/>
        </w:rPr>
        <w:t>zatrzymane</w:t>
      </w:r>
      <w:r w:rsidR="00D21D9B" w:rsidRPr="00D21D9B">
        <w:rPr>
          <w:lang w:val="pl-PL"/>
        </w:rPr>
        <w:t xml:space="preserve"> osoby zostały zwo</w:t>
      </w:r>
      <w:r w:rsidR="00D21D9B">
        <w:rPr>
          <w:lang w:val="pl-PL"/>
        </w:rPr>
        <w:t>lnione i poinformowane o wszczę</w:t>
      </w:r>
      <w:r w:rsidR="00D21D9B" w:rsidRPr="00D21D9B">
        <w:rPr>
          <w:lang w:val="pl-PL"/>
        </w:rPr>
        <w:t>ciu</w:t>
      </w:r>
      <w:r w:rsidR="00D21D9B">
        <w:rPr>
          <w:lang w:val="pl-PL"/>
        </w:rPr>
        <w:t xml:space="preserve"> wobe</w:t>
      </w:r>
      <w:r w:rsidR="00385EA3">
        <w:rPr>
          <w:lang w:val="pl-PL"/>
        </w:rPr>
        <w:t>c nich postępowania</w:t>
      </w:r>
      <w:r w:rsidR="0085216B">
        <w:rPr>
          <w:lang w:val="pl-PL"/>
        </w:rPr>
        <w:t>.</w:t>
      </w:r>
    </w:p>
    <w:p w:rsidR="00F061A3" w:rsidRPr="00D21D9B" w:rsidRDefault="00F061A3" w:rsidP="00F061A3">
      <w:pPr>
        <w:pStyle w:val="JuH1"/>
        <w:rPr>
          <w:lang w:val="pl-PL"/>
        </w:rPr>
      </w:pPr>
      <w:r w:rsidRPr="00D21D9B">
        <w:rPr>
          <w:lang w:val="pl-PL"/>
        </w:rPr>
        <w:t>3.  </w:t>
      </w:r>
      <w:r w:rsidR="00D21D9B">
        <w:rPr>
          <w:lang w:val="pl-PL"/>
        </w:rPr>
        <w:t>Postępowanie mając</w:t>
      </w:r>
      <w:r w:rsidR="00C30AEA">
        <w:rPr>
          <w:lang w:val="pl-PL"/>
        </w:rPr>
        <w:t>e na celu ustalenie ewentualne</w:t>
      </w:r>
      <w:r w:rsidR="00385EA3">
        <w:rPr>
          <w:lang w:val="pl-PL"/>
        </w:rPr>
        <w:t>go</w:t>
      </w:r>
      <w:r w:rsidR="00F648AB">
        <w:rPr>
          <w:lang w:val="pl-PL"/>
        </w:rPr>
        <w:t xml:space="preserve"> </w:t>
      </w:r>
      <w:r w:rsidR="00C30AEA">
        <w:rPr>
          <w:lang w:val="pl-PL"/>
        </w:rPr>
        <w:t>złe</w:t>
      </w:r>
      <w:r w:rsidR="00385EA3">
        <w:rPr>
          <w:lang w:val="pl-PL"/>
        </w:rPr>
        <w:t>go traktowania</w:t>
      </w:r>
      <w:r w:rsidR="00C30AEA">
        <w:rPr>
          <w:lang w:val="pl-PL"/>
        </w:rPr>
        <w:t xml:space="preserve"> skarżących przez policjantów</w:t>
      </w:r>
    </w:p>
    <w:p w:rsidR="00F061A3" w:rsidRPr="005866DE" w:rsidRDefault="00F061A3" w:rsidP="00F061A3">
      <w:pPr>
        <w:pStyle w:val="JuHa0"/>
        <w:rPr>
          <w:lang w:val="pl-PL"/>
        </w:rPr>
      </w:pPr>
      <w:r w:rsidRPr="005866DE">
        <w:rPr>
          <w:lang w:val="pl-PL"/>
        </w:rPr>
        <w:t>a)  </w:t>
      </w:r>
      <w:r w:rsidR="005866DE" w:rsidRPr="005866DE">
        <w:rPr>
          <w:lang w:val="pl-PL"/>
        </w:rPr>
        <w:t>Postępowanie karne prowadzone przez prokuraturę</w:t>
      </w:r>
    </w:p>
    <w:p w:rsidR="00F061A3" w:rsidRPr="005866DE" w:rsidRDefault="003001A7" w:rsidP="00F061A3">
      <w:pPr>
        <w:pStyle w:val="JuPara"/>
        <w:rPr>
          <w:lang w:val="pl-PL"/>
        </w:rPr>
      </w:pPr>
      <w:r>
        <w:fldChar w:fldCharType="begin"/>
      </w:r>
      <w:r w:rsidR="00F061A3" w:rsidRPr="006A31CF">
        <w:rPr>
          <w:lang w:val="pl-PL"/>
        </w:rPr>
        <w:instrText xml:space="preserve"> SEQ level0 \*arabic </w:instrText>
      </w:r>
      <w:r>
        <w:fldChar w:fldCharType="separate"/>
      </w:r>
      <w:r w:rsidR="004E0BEB">
        <w:rPr>
          <w:noProof/>
          <w:lang w:val="pl-PL"/>
        </w:rPr>
        <w:t>16</w:t>
      </w:r>
      <w:r>
        <w:fldChar w:fldCharType="end"/>
      </w:r>
      <w:r w:rsidR="00F061A3" w:rsidRPr="006A31CF">
        <w:rPr>
          <w:lang w:val="pl-PL"/>
        </w:rPr>
        <w:t>.  </w:t>
      </w:r>
      <w:r w:rsidR="005866DE" w:rsidRPr="005866DE">
        <w:rPr>
          <w:lang w:val="pl-PL"/>
        </w:rPr>
        <w:t xml:space="preserve">W dniach 12 i 18 września </w:t>
      </w:r>
      <w:r w:rsidR="005866DE">
        <w:rPr>
          <w:lang w:val="pl-PL"/>
        </w:rPr>
        <w:t xml:space="preserve">2003 roku skarżący złożyli zawiadomienie w Prokuraturze Rejonowej w Ostródzie o popełnieniu przez funkcjonariuszy policji przestępstwa nadużycia władzy. Przedstawili przebieg wydarzeń i zgłosili, że zostali poddani </w:t>
      </w:r>
      <w:r w:rsidR="00CF04E2">
        <w:rPr>
          <w:lang w:val="pl-PL"/>
        </w:rPr>
        <w:t>kontroli</w:t>
      </w:r>
      <w:r w:rsidR="005866DE">
        <w:rPr>
          <w:lang w:val="pl-PL"/>
        </w:rPr>
        <w:t xml:space="preserve"> osobistej. Zarzucili, że zatrzymanie</w:t>
      </w:r>
      <w:r w:rsidR="00B852D5">
        <w:rPr>
          <w:lang w:val="pl-PL"/>
        </w:rPr>
        <w:t xml:space="preserve"> oraz kontrola tożsamości, której zostali poddani były</w:t>
      </w:r>
      <w:r w:rsidR="005866DE">
        <w:rPr>
          <w:lang w:val="pl-PL"/>
        </w:rPr>
        <w:t xml:space="preserve"> niezgodne z prawem</w:t>
      </w:r>
      <w:r w:rsidR="00B852D5">
        <w:rPr>
          <w:lang w:val="pl-PL"/>
        </w:rPr>
        <w:t xml:space="preserve">. Zawiadomili o braku sporządzenia protokołu z zatrzymania i co za tym </w:t>
      </w:r>
      <w:r w:rsidR="00B64C14">
        <w:rPr>
          <w:lang w:val="pl-PL"/>
        </w:rPr>
        <w:t xml:space="preserve">idzie </w:t>
      </w:r>
      <w:r w:rsidR="00B852D5">
        <w:rPr>
          <w:lang w:val="pl-PL"/>
        </w:rPr>
        <w:t xml:space="preserve">braku możliwości odwołania się w celu sprawdzenia zgodności z prawem tego </w:t>
      </w:r>
      <w:r w:rsidR="00CF04E2">
        <w:rPr>
          <w:lang w:val="pl-PL"/>
        </w:rPr>
        <w:t>środka</w:t>
      </w:r>
      <w:r w:rsidR="00B852D5">
        <w:rPr>
          <w:lang w:val="pl-PL"/>
        </w:rPr>
        <w:t>.</w:t>
      </w:r>
    </w:p>
    <w:p w:rsidR="00F061A3" w:rsidRPr="00B852D5" w:rsidRDefault="003001A7" w:rsidP="00F061A3">
      <w:pPr>
        <w:pStyle w:val="JuPara"/>
        <w:rPr>
          <w:lang w:val="pl-PL"/>
        </w:rPr>
      </w:pPr>
      <w:r>
        <w:fldChar w:fldCharType="begin"/>
      </w:r>
      <w:r w:rsidR="00F061A3" w:rsidRPr="006A31CF">
        <w:rPr>
          <w:lang w:val="pl-PL"/>
        </w:rPr>
        <w:instrText xml:space="preserve"> SEQ level0 \*arabic </w:instrText>
      </w:r>
      <w:r>
        <w:fldChar w:fldCharType="separate"/>
      </w:r>
      <w:r w:rsidR="004E0BEB">
        <w:rPr>
          <w:noProof/>
          <w:lang w:val="pl-PL"/>
        </w:rPr>
        <w:t>17</w:t>
      </w:r>
      <w:r>
        <w:fldChar w:fldCharType="end"/>
      </w:r>
      <w:r w:rsidR="00F061A3" w:rsidRPr="006A31CF">
        <w:rPr>
          <w:lang w:val="pl-PL"/>
        </w:rPr>
        <w:t>.  </w:t>
      </w:r>
      <w:r w:rsidR="00B852D5" w:rsidRPr="00B852D5">
        <w:rPr>
          <w:lang w:val="pl-PL"/>
        </w:rPr>
        <w:t>W październiku 2003 roku prokurator przesłuchał skarżących, a najmłodszego z nich</w:t>
      </w:r>
      <w:r w:rsidR="00B852D5">
        <w:rPr>
          <w:lang w:val="pl-PL"/>
        </w:rPr>
        <w:t xml:space="preserve"> w obecności psychol</w:t>
      </w:r>
      <w:r w:rsidR="00174869">
        <w:rPr>
          <w:lang w:val="pl-PL"/>
        </w:rPr>
        <w:t>oga. Skarżący oświadczyli, że padli ofiarą</w:t>
      </w:r>
      <w:r w:rsidR="00B852D5">
        <w:rPr>
          <w:lang w:val="pl-PL"/>
        </w:rPr>
        <w:t xml:space="preserve"> pobicia przez funkcjonariuszy. Artur i Zbigniew zeznali, że po </w:t>
      </w:r>
      <w:r w:rsidR="00B852D5">
        <w:rPr>
          <w:lang w:val="pl-PL"/>
        </w:rPr>
        <w:lastRenderedPageBreak/>
        <w:t xml:space="preserve">opuszczeniu komisariatu, tylko ich brat Sebastian został poddany badaniu lekarskiemu.  </w:t>
      </w:r>
    </w:p>
    <w:p w:rsidR="00F061A3" w:rsidRPr="005748DF" w:rsidRDefault="003001A7" w:rsidP="00F061A3">
      <w:pPr>
        <w:pStyle w:val="JuPara"/>
        <w:rPr>
          <w:lang w:val="pl-PL"/>
        </w:rPr>
      </w:pPr>
      <w:r w:rsidRPr="00914B87">
        <w:fldChar w:fldCharType="begin"/>
      </w:r>
      <w:r w:rsidR="00F061A3" w:rsidRPr="00B852D5">
        <w:rPr>
          <w:lang w:val="pl-PL"/>
        </w:rPr>
        <w:instrText xml:space="preserve"> SEQ level0 \*arabic </w:instrText>
      </w:r>
      <w:r w:rsidRPr="00914B87">
        <w:fldChar w:fldCharType="separate"/>
      </w:r>
      <w:r w:rsidR="004E0BEB">
        <w:rPr>
          <w:noProof/>
          <w:lang w:val="pl-PL"/>
        </w:rPr>
        <w:t>18</w:t>
      </w:r>
      <w:r w:rsidRPr="00914B87">
        <w:fldChar w:fldCharType="end"/>
      </w:r>
      <w:r w:rsidR="00F061A3" w:rsidRPr="00B852D5">
        <w:rPr>
          <w:lang w:val="pl-PL"/>
        </w:rPr>
        <w:t>.  </w:t>
      </w:r>
      <w:r w:rsidR="005748DF">
        <w:rPr>
          <w:lang w:val="pl-PL"/>
        </w:rPr>
        <w:t>W dniach 13 i 14 października 2003 roku prokurator przesłuchał rodziców skarżących, którzy oświadczyli, że po wyjściu z komisariatu ich synowi</w:t>
      </w:r>
      <w:r w:rsidR="00373BDF">
        <w:rPr>
          <w:lang w:val="pl-PL"/>
        </w:rPr>
        <w:t>e</w:t>
      </w:r>
      <w:r w:rsidR="005748DF">
        <w:rPr>
          <w:lang w:val="pl-PL"/>
        </w:rPr>
        <w:t xml:space="preserve"> skarżyli</w:t>
      </w:r>
      <w:r w:rsidR="00385EA3">
        <w:rPr>
          <w:lang w:val="pl-PL"/>
        </w:rPr>
        <w:t xml:space="preserve"> się na bóle spowodowane uderzeniami</w:t>
      </w:r>
      <w:r w:rsidR="005748DF">
        <w:rPr>
          <w:lang w:val="pl-PL"/>
        </w:rPr>
        <w:t xml:space="preserve"> zadanymi przez funkcjonariuszy. Wszyscy m</w:t>
      </w:r>
      <w:r w:rsidR="00174869">
        <w:rPr>
          <w:lang w:val="pl-PL"/>
        </w:rPr>
        <w:t>ieli siniaki na pośladkach i ple</w:t>
      </w:r>
      <w:r w:rsidR="005748DF">
        <w:rPr>
          <w:lang w:val="pl-PL"/>
        </w:rPr>
        <w:t>cach, a Sebastian miał spuchniętą nogę. Rodzice wskazali policji, że na koszuli Zbigniewa były ślady krwi,</w:t>
      </w:r>
      <w:r w:rsidR="00373BDF">
        <w:rPr>
          <w:lang w:val="pl-PL"/>
        </w:rPr>
        <w:t xml:space="preserve"> a na koszuli Sebastiana odciski</w:t>
      </w:r>
      <w:r w:rsidR="005748DF">
        <w:rPr>
          <w:lang w:val="pl-PL"/>
        </w:rPr>
        <w:t xml:space="preserve"> nóg. </w:t>
      </w:r>
    </w:p>
    <w:p w:rsidR="00F061A3" w:rsidRPr="001541F7" w:rsidRDefault="003001A7" w:rsidP="00F061A3">
      <w:pPr>
        <w:pStyle w:val="JuPara"/>
        <w:rPr>
          <w:lang w:val="pl-PL"/>
        </w:rPr>
      </w:pPr>
      <w:r>
        <w:fldChar w:fldCharType="begin"/>
      </w:r>
      <w:r w:rsidR="00F061A3" w:rsidRPr="006A31CF">
        <w:rPr>
          <w:lang w:val="pl-PL"/>
        </w:rPr>
        <w:instrText xml:space="preserve"> SEQ level0 \*arabic </w:instrText>
      </w:r>
      <w:r>
        <w:fldChar w:fldCharType="separate"/>
      </w:r>
      <w:r w:rsidR="004E0BEB">
        <w:rPr>
          <w:noProof/>
          <w:lang w:val="pl-PL"/>
        </w:rPr>
        <w:t>19</w:t>
      </w:r>
      <w:r>
        <w:fldChar w:fldCharType="end"/>
      </w:r>
      <w:r w:rsidR="00F061A3" w:rsidRPr="006A31CF">
        <w:rPr>
          <w:lang w:val="pl-PL"/>
        </w:rPr>
        <w:t>.  </w:t>
      </w:r>
      <w:r w:rsidR="00F76697" w:rsidRPr="00F76697">
        <w:rPr>
          <w:lang w:val="pl-PL"/>
        </w:rPr>
        <w:t>W dniach 21,22 i 24 października, 18,20 i 20 grudnia 2003 roku oraz 7 i 12 stycznia 2004 roku prokurator przesłuchał policjantów obecnych na miejscu zdarzenia</w:t>
      </w:r>
      <w:r w:rsidR="00F76697">
        <w:rPr>
          <w:lang w:val="pl-PL"/>
        </w:rPr>
        <w:t>,</w:t>
      </w:r>
      <w:r w:rsidR="00F76697" w:rsidRPr="00F76697">
        <w:rPr>
          <w:lang w:val="pl-PL"/>
        </w:rPr>
        <w:t xml:space="preserve"> w tym czterech funkcjonariuszy</w:t>
      </w:r>
      <w:r w:rsidR="00F648AB">
        <w:rPr>
          <w:lang w:val="pl-PL"/>
        </w:rPr>
        <w:t xml:space="preserve"> </w:t>
      </w:r>
      <w:r w:rsidR="003A0F08">
        <w:rPr>
          <w:lang w:val="pl-PL"/>
        </w:rPr>
        <w:t xml:space="preserve">pozwanych </w:t>
      </w:r>
      <w:r w:rsidR="00F76697">
        <w:rPr>
          <w:lang w:val="pl-PL"/>
        </w:rPr>
        <w:t xml:space="preserve">przez skarżących. Policjanci potwierdzili, że doprowadzili skarżących </w:t>
      </w:r>
      <w:r w:rsidR="00174869">
        <w:rPr>
          <w:lang w:val="pl-PL"/>
        </w:rPr>
        <w:t>do</w:t>
      </w:r>
      <w:r w:rsidR="00F76697">
        <w:rPr>
          <w:lang w:val="pl-PL"/>
        </w:rPr>
        <w:t xml:space="preserve"> komisariat</w:t>
      </w:r>
      <w:r w:rsidR="00C83CEC">
        <w:rPr>
          <w:lang w:val="pl-PL"/>
        </w:rPr>
        <w:t>u</w:t>
      </w:r>
      <w:r w:rsidR="00F648AB">
        <w:rPr>
          <w:lang w:val="pl-PL"/>
        </w:rPr>
        <w:t xml:space="preserve"> </w:t>
      </w:r>
      <w:r w:rsidR="00C83CEC">
        <w:rPr>
          <w:lang w:val="pl-PL"/>
        </w:rPr>
        <w:t>w związku z ich uczestnictwem</w:t>
      </w:r>
      <w:r w:rsidR="00F76697">
        <w:rPr>
          <w:lang w:val="pl-PL"/>
        </w:rPr>
        <w:t xml:space="preserve"> w awanturze, która miała miejsce w nocy z 30 na 31 sierpnia 2003 roku, jed</w:t>
      </w:r>
      <w:r w:rsidR="001541F7">
        <w:rPr>
          <w:lang w:val="pl-PL"/>
        </w:rPr>
        <w:t xml:space="preserve">nak stanowczo odrzucili sformułowany przeciw nim zarzut złego traktowania. Zapewnili, że w żadnym razie nie zastosowano wobec skarżących przymusu bezpośredniego. </w:t>
      </w:r>
      <w:r w:rsidR="001541F7" w:rsidRPr="001541F7">
        <w:rPr>
          <w:lang w:val="pl-PL"/>
        </w:rPr>
        <w:t>Jeden z funkcjonariuszy wskazał, że w czasie zatrzymania Sebastian Tomaszewski skarżył się na ból w nodze.</w:t>
      </w:r>
    </w:p>
    <w:p w:rsidR="00F061A3" w:rsidRPr="00BD4853" w:rsidRDefault="003001A7" w:rsidP="00F061A3">
      <w:pPr>
        <w:pStyle w:val="JuPara"/>
        <w:rPr>
          <w:lang w:val="pl-PL"/>
        </w:rPr>
      </w:pPr>
      <w:r>
        <w:fldChar w:fldCharType="begin"/>
      </w:r>
      <w:r w:rsidR="00F061A3" w:rsidRPr="001541F7">
        <w:rPr>
          <w:lang w:val="pl-PL"/>
        </w:rPr>
        <w:instrText xml:space="preserve"> SEQ level0 \*arabic </w:instrText>
      </w:r>
      <w:r>
        <w:fldChar w:fldCharType="separate"/>
      </w:r>
      <w:r w:rsidR="004E0BEB">
        <w:rPr>
          <w:noProof/>
          <w:lang w:val="pl-PL"/>
        </w:rPr>
        <w:t>20</w:t>
      </w:r>
      <w:r>
        <w:fldChar w:fldCharType="end"/>
      </w:r>
      <w:r w:rsidR="00F061A3" w:rsidRPr="001541F7">
        <w:rPr>
          <w:lang w:val="pl-PL"/>
        </w:rPr>
        <w:t>.  </w:t>
      </w:r>
      <w:r w:rsidR="00BD4853">
        <w:rPr>
          <w:lang w:val="pl-PL"/>
        </w:rPr>
        <w:t>W listopadzie 2003 roku prokurator przesłuchał świadków, w tym kierowcę taksówki oraz M.K.</w:t>
      </w:r>
      <w:r w:rsidR="00373BDF">
        <w:rPr>
          <w:lang w:val="pl-PL"/>
        </w:rPr>
        <w:t>,</w:t>
      </w:r>
      <w:r w:rsidR="00BD4853">
        <w:rPr>
          <w:lang w:val="pl-PL"/>
        </w:rPr>
        <w:t xml:space="preserve"> jak również sześciu młodych ludzi zatrzymanych i doprowadzonych na posterunek w</w:t>
      </w:r>
      <w:r w:rsidR="00373BDF">
        <w:rPr>
          <w:lang w:val="pl-PL"/>
        </w:rPr>
        <w:t xml:space="preserve"> tym samym czasie co skarżący. Tylko</w:t>
      </w:r>
      <w:r w:rsidR="00BD4853">
        <w:rPr>
          <w:lang w:val="pl-PL"/>
        </w:rPr>
        <w:t xml:space="preserve"> jeden z tych młodych ludzi oświadczył, że widział jak policjanci bili skarżących pałką; pozostali oświadczyli, że nie widzieli żeby policjanci stosowali przemoc wobec skarżących. Potwierdzili</w:t>
      </w:r>
      <w:r w:rsidR="007A17B1">
        <w:rPr>
          <w:lang w:val="pl-PL"/>
        </w:rPr>
        <w:t xml:space="preserve">, że skarżący skarżyli się na bóle w różnych częściach ciała. </w:t>
      </w:r>
    </w:p>
    <w:p w:rsidR="00F061A3" w:rsidRPr="007A17B1" w:rsidRDefault="003001A7" w:rsidP="00F061A3">
      <w:pPr>
        <w:pStyle w:val="JuPara"/>
        <w:rPr>
          <w:lang w:val="pl-PL"/>
        </w:rPr>
      </w:pPr>
      <w:r>
        <w:fldChar w:fldCharType="begin"/>
      </w:r>
      <w:r w:rsidR="00F061A3" w:rsidRPr="006A31CF">
        <w:rPr>
          <w:lang w:val="pl-PL"/>
        </w:rPr>
        <w:instrText xml:space="preserve"> SEQ level0 \*arabic </w:instrText>
      </w:r>
      <w:r>
        <w:fldChar w:fldCharType="separate"/>
      </w:r>
      <w:r w:rsidR="004E0BEB">
        <w:rPr>
          <w:noProof/>
          <w:lang w:val="pl-PL"/>
        </w:rPr>
        <w:t>21</w:t>
      </w:r>
      <w:r>
        <w:fldChar w:fldCharType="end"/>
      </w:r>
      <w:r w:rsidR="00F061A3" w:rsidRPr="006A31CF">
        <w:rPr>
          <w:lang w:val="pl-PL"/>
        </w:rPr>
        <w:t>.  </w:t>
      </w:r>
      <w:r w:rsidR="007A17B1" w:rsidRPr="007A17B1">
        <w:rPr>
          <w:lang w:val="pl-PL"/>
        </w:rPr>
        <w:t xml:space="preserve">W grudniu 2003 roku </w:t>
      </w:r>
      <w:r w:rsidR="004110D5">
        <w:rPr>
          <w:lang w:val="pl-PL"/>
        </w:rPr>
        <w:t xml:space="preserve">prokurator </w:t>
      </w:r>
      <w:r w:rsidR="007A17B1" w:rsidRPr="007A17B1">
        <w:rPr>
          <w:lang w:val="pl-PL"/>
        </w:rPr>
        <w:t xml:space="preserve">dopuścił opinię biegłego chirurga dotyczącą </w:t>
      </w:r>
      <w:r w:rsidR="007A17B1">
        <w:rPr>
          <w:lang w:val="pl-PL"/>
        </w:rPr>
        <w:t xml:space="preserve">pochodzenia </w:t>
      </w:r>
      <w:r w:rsidR="00385EA3">
        <w:rPr>
          <w:lang w:val="pl-PL"/>
        </w:rPr>
        <w:t>obrażeń</w:t>
      </w:r>
      <w:r w:rsidR="007A17B1">
        <w:rPr>
          <w:lang w:val="pl-PL"/>
        </w:rPr>
        <w:t xml:space="preserve"> skarżących. Wnioski dotyczące Sebastiana Tomaszewskiego zostały oparte na </w:t>
      </w:r>
      <w:r w:rsidR="00385EA3">
        <w:rPr>
          <w:lang w:val="pl-PL"/>
        </w:rPr>
        <w:t>złożonym przez niego oświadczeniu</w:t>
      </w:r>
      <w:r w:rsidR="007A17B1">
        <w:rPr>
          <w:lang w:val="pl-PL"/>
        </w:rPr>
        <w:t xml:space="preserve"> oraz na dokumentacji lekarskiej leczenia szpitalnego w dniach od 31 sierpnia do 1 września 2003 roku</w:t>
      </w:r>
      <w:r w:rsidR="00701CFB">
        <w:rPr>
          <w:lang w:val="pl-PL"/>
        </w:rPr>
        <w:t xml:space="preserve">. </w:t>
      </w:r>
      <w:r w:rsidR="00027DEF">
        <w:rPr>
          <w:lang w:val="pl-PL"/>
        </w:rPr>
        <w:t>Z opinii wynika</w:t>
      </w:r>
      <w:r w:rsidR="00701CFB">
        <w:rPr>
          <w:lang w:val="pl-PL"/>
        </w:rPr>
        <w:t xml:space="preserve">, </w:t>
      </w:r>
      <w:r w:rsidR="00027DEF">
        <w:rPr>
          <w:lang w:val="pl-PL"/>
        </w:rPr>
        <w:t xml:space="preserve">iż </w:t>
      </w:r>
      <w:r w:rsidR="008121CC">
        <w:rPr>
          <w:lang w:val="pl-PL"/>
        </w:rPr>
        <w:t>obrażenia</w:t>
      </w:r>
      <w:r w:rsidR="00701CFB">
        <w:rPr>
          <w:lang w:val="pl-PL"/>
        </w:rPr>
        <w:t xml:space="preserve"> Sebastiana Tomaszewskiego, które spowodowały niezdolność do pracy </w:t>
      </w:r>
      <w:r w:rsidR="008121CC">
        <w:rPr>
          <w:lang w:val="pl-PL"/>
        </w:rPr>
        <w:t xml:space="preserve">na okres </w:t>
      </w:r>
      <w:r w:rsidR="00701CFB">
        <w:rPr>
          <w:lang w:val="pl-PL"/>
        </w:rPr>
        <w:t>powyżej siedmiu dni</w:t>
      </w:r>
      <w:r w:rsidR="009675D7">
        <w:rPr>
          <w:lang w:val="pl-PL"/>
        </w:rPr>
        <w:t xml:space="preserve"> mogły powstać w przedstawionych przez niego</w:t>
      </w:r>
      <w:r w:rsidR="00A45034">
        <w:rPr>
          <w:lang w:val="pl-PL"/>
        </w:rPr>
        <w:t xml:space="preserve"> </w:t>
      </w:r>
      <w:r w:rsidR="009675D7">
        <w:rPr>
          <w:lang w:val="pl-PL"/>
        </w:rPr>
        <w:t>okolicznościach. Niemniej jednak nie można było jednoznacznie ustalić ich przyczyny na podstawie</w:t>
      </w:r>
      <w:r w:rsidR="006F7924">
        <w:rPr>
          <w:lang w:val="pl-PL"/>
        </w:rPr>
        <w:t xml:space="preserve"> niejasnej i niekompletnej</w:t>
      </w:r>
      <w:r w:rsidR="009675D7">
        <w:rPr>
          <w:lang w:val="pl-PL"/>
        </w:rPr>
        <w:t xml:space="preserve"> dokumentacji medycznej</w:t>
      </w:r>
      <w:r w:rsidR="006F7924">
        <w:rPr>
          <w:lang w:val="pl-PL"/>
        </w:rPr>
        <w:t>, w której nie wspomniano o urazach twarzy, pleców i pośladków</w:t>
      </w:r>
      <w:r w:rsidR="00A25D99">
        <w:rPr>
          <w:lang w:val="pl-PL"/>
        </w:rPr>
        <w:t>, o których mówił skarżący oraz</w:t>
      </w:r>
      <w:r w:rsidR="006F7924">
        <w:rPr>
          <w:lang w:val="pl-PL"/>
        </w:rPr>
        <w:t xml:space="preserve"> że urazy głowy mogły powstać w czasie upadku, a uraz nogi mógł nastąpić pod wpływem uderzenia o duży przedmiot lub w wyniku kopnięcia. Opinia wy</w:t>
      </w:r>
      <w:r w:rsidR="003314C9">
        <w:rPr>
          <w:lang w:val="pl-PL"/>
        </w:rPr>
        <w:t>k</w:t>
      </w:r>
      <w:r w:rsidR="006F7924">
        <w:rPr>
          <w:lang w:val="pl-PL"/>
        </w:rPr>
        <w:t>luczała</w:t>
      </w:r>
      <w:r w:rsidR="003314C9">
        <w:rPr>
          <w:lang w:val="pl-PL"/>
        </w:rPr>
        <w:t xml:space="preserve"> hipotezę, </w:t>
      </w:r>
      <w:r w:rsidR="003B01D9">
        <w:rPr>
          <w:lang w:val="pl-PL"/>
        </w:rPr>
        <w:t>że obrażenia</w:t>
      </w:r>
      <w:r w:rsidR="003314C9">
        <w:rPr>
          <w:lang w:val="pl-PL"/>
        </w:rPr>
        <w:t xml:space="preserve"> skarżącego mogły być spowodowane uderzeniem pałką. </w:t>
      </w:r>
    </w:p>
    <w:p w:rsidR="00F061A3" w:rsidRPr="003314C9" w:rsidRDefault="003001A7" w:rsidP="00F061A3">
      <w:pPr>
        <w:pStyle w:val="JuPara"/>
        <w:rPr>
          <w:lang w:val="pl-PL"/>
        </w:rPr>
      </w:pPr>
      <w:r>
        <w:fldChar w:fldCharType="begin"/>
      </w:r>
      <w:r w:rsidR="00F061A3" w:rsidRPr="006A31CF">
        <w:rPr>
          <w:lang w:val="pl-PL"/>
        </w:rPr>
        <w:instrText xml:space="preserve"> SEQ level0 \*arabic </w:instrText>
      </w:r>
      <w:r>
        <w:fldChar w:fldCharType="separate"/>
      </w:r>
      <w:r w:rsidR="004E0BEB">
        <w:rPr>
          <w:noProof/>
          <w:lang w:val="pl-PL"/>
        </w:rPr>
        <w:t>22</w:t>
      </w:r>
      <w:r>
        <w:fldChar w:fldCharType="end"/>
      </w:r>
      <w:r w:rsidR="00F061A3" w:rsidRPr="006A31CF">
        <w:rPr>
          <w:lang w:val="pl-PL"/>
        </w:rPr>
        <w:t>.  </w:t>
      </w:r>
      <w:r w:rsidR="003314C9" w:rsidRPr="003314C9">
        <w:rPr>
          <w:lang w:val="pl-PL"/>
        </w:rPr>
        <w:t xml:space="preserve">Wobec braku dokumentacji lekarskiej dotyczącej Artura Tomaszewskiego i Zbigniewa Tomaszewskiego, wnioski biegłego ich dotyczące zostały oparte jedynie na </w:t>
      </w:r>
      <w:r w:rsidR="003314C9">
        <w:rPr>
          <w:lang w:val="pl-PL"/>
        </w:rPr>
        <w:t xml:space="preserve">zeznaniach skarżących. Biegły, podkreślając, że oświadczenia te były niejasne i pozbawione obiektywizmu, uznał, że założywszy, że wersja stanu faktycznego przedstawiona przez </w:t>
      </w:r>
      <w:r w:rsidR="003314C9">
        <w:rPr>
          <w:lang w:val="pl-PL"/>
        </w:rPr>
        <w:lastRenderedPageBreak/>
        <w:t xml:space="preserve">dwóch braci </w:t>
      </w:r>
      <w:r w:rsidR="003D01F6">
        <w:rPr>
          <w:lang w:val="pl-PL"/>
        </w:rPr>
        <w:t>zostałaby udowodniona</w:t>
      </w:r>
      <w:r w:rsidR="001D4C99">
        <w:rPr>
          <w:lang w:val="pl-PL"/>
        </w:rPr>
        <w:t>, obrażenia</w:t>
      </w:r>
      <w:r w:rsidR="003A0F08">
        <w:rPr>
          <w:lang w:val="pl-PL"/>
        </w:rPr>
        <w:t xml:space="preserve"> w postaci śladów otarć na biodrach i udach mogły powstać w opisanych przez nich okolicznościach. </w:t>
      </w:r>
    </w:p>
    <w:p w:rsidR="00F061A3" w:rsidRPr="003A0F08" w:rsidRDefault="003001A7" w:rsidP="00F061A3">
      <w:pPr>
        <w:pStyle w:val="JuPara"/>
        <w:rPr>
          <w:lang w:val="pl-PL"/>
        </w:rPr>
      </w:pPr>
      <w:r>
        <w:fldChar w:fldCharType="begin"/>
      </w:r>
      <w:r w:rsidR="00F061A3" w:rsidRPr="006A31CF">
        <w:rPr>
          <w:lang w:val="pl-PL"/>
        </w:rPr>
        <w:instrText xml:space="preserve"> SEQ level0 \*arabic </w:instrText>
      </w:r>
      <w:r>
        <w:fldChar w:fldCharType="separate"/>
      </w:r>
      <w:r w:rsidR="004E0BEB">
        <w:rPr>
          <w:noProof/>
          <w:lang w:val="pl-PL"/>
        </w:rPr>
        <w:t>23</w:t>
      </w:r>
      <w:r>
        <w:fldChar w:fldCharType="end"/>
      </w:r>
      <w:r w:rsidR="00F061A3" w:rsidRPr="006A31CF">
        <w:rPr>
          <w:lang w:val="pl-PL"/>
        </w:rPr>
        <w:t>.  </w:t>
      </w:r>
      <w:r w:rsidR="003A0F08" w:rsidRPr="003A0F08">
        <w:rPr>
          <w:lang w:val="pl-PL"/>
        </w:rPr>
        <w:t>Przed zamknięciem śledztwa prokurator przeprowadził szer</w:t>
      </w:r>
      <w:r w:rsidR="003A0F08">
        <w:rPr>
          <w:lang w:val="pl-PL"/>
        </w:rPr>
        <w:t>e</w:t>
      </w:r>
      <w:r w:rsidR="003A0F08" w:rsidRPr="003A0F08">
        <w:rPr>
          <w:lang w:val="pl-PL"/>
        </w:rPr>
        <w:t xml:space="preserve">g </w:t>
      </w:r>
      <w:r w:rsidR="003A0F08">
        <w:rPr>
          <w:lang w:val="pl-PL"/>
        </w:rPr>
        <w:t>identyfikacji i konfrontacji między skarżącymi i pozwanymi funkcjonariuszami policji</w:t>
      </w:r>
      <w:r w:rsidR="00327B3D">
        <w:rPr>
          <w:lang w:val="pl-PL"/>
        </w:rPr>
        <w:t>.</w:t>
      </w:r>
    </w:p>
    <w:p w:rsidR="00F061A3" w:rsidRPr="00BB4756" w:rsidRDefault="003001A7" w:rsidP="00771674">
      <w:pPr>
        <w:pStyle w:val="JuPara"/>
        <w:rPr>
          <w:lang w:val="pl-PL"/>
        </w:rPr>
      </w:pPr>
      <w:r>
        <w:fldChar w:fldCharType="begin"/>
      </w:r>
      <w:r w:rsidR="00F061A3" w:rsidRPr="006A31CF">
        <w:rPr>
          <w:lang w:val="pl-PL"/>
        </w:rPr>
        <w:instrText xml:space="preserve"> SEQ level0 \*arabic </w:instrText>
      </w:r>
      <w:r>
        <w:fldChar w:fldCharType="separate"/>
      </w:r>
      <w:r w:rsidR="004E0BEB">
        <w:rPr>
          <w:noProof/>
          <w:lang w:val="pl-PL"/>
        </w:rPr>
        <w:t>24</w:t>
      </w:r>
      <w:r>
        <w:fldChar w:fldCharType="end"/>
      </w:r>
      <w:r w:rsidR="00F061A3" w:rsidRPr="006A31CF">
        <w:rPr>
          <w:lang w:val="pl-PL"/>
        </w:rPr>
        <w:t>.  </w:t>
      </w:r>
      <w:r w:rsidR="00327B3D" w:rsidRPr="00327B3D">
        <w:rPr>
          <w:lang w:val="pl-PL"/>
        </w:rPr>
        <w:t>W dniu 10 marca 2004 roku prokurator wydał postanowienie o umorzeniu śledztwa podając w uz</w:t>
      </w:r>
      <w:r w:rsidR="00327B3D">
        <w:rPr>
          <w:lang w:val="pl-PL"/>
        </w:rPr>
        <w:t>asadnieniu</w:t>
      </w:r>
      <w:r w:rsidR="00327B3D" w:rsidRPr="00327B3D">
        <w:rPr>
          <w:lang w:val="pl-PL"/>
        </w:rPr>
        <w:t>, że zebrany materiał dowodowy</w:t>
      </w:r>
      <w:r w:rsidR="00327B3D">
        <w:rPr>
          <w:lang w:val="pl-PL"/>
        </w:rPr>
        <w:t xml:space="preserve"> nie pozwolił stwierdzić, że funkcjonariusze policji popełnili zarzucane im czyny. Prokurator wskazał, że nawet jeśli skarżący doznali obrażeń nie </w:t>
      </w:r>
      <w:r w:rsidR="00BB4756">
        <w:rPr>
          <w:lang w:val="pl-PL"/>
        </w:rPr>
        <w:t>można</w:t>
      </w:r>
      <w:r w:rsidR="00327B3D">
        <w:rPr>
          <w:lang w:val="pl-PL"/>
        </w:rPr>
        <w:t xml:space="preserve"> jednoz</w:t>
      </w:r>
      <w:r w:rsidR="00BB4756">
        <w:rPr>
          <w:lang w:val="pl-PL"/>
        </w:rPr>
        <w:t xml:space="preserve">nacznie stwierdzić, że powstały one w opisany przez nich sposób. Zauważył, że zatrzymanie i przeszukanie skarżących zostało przeprowadzone zgodnie z rozporządzeniem Rady Ministrów z dnia 17 września 1990 roku (zob. poniżej </w:t>
      </w:r>
      <w:r w:rsidR="00740C5A">
        <w:rPr>
          <w:lang w:val="pl-PL"/>
        </w:rPr>
        <w:t>punkty</w:t>
      </w:r>
      <w:r w:rsidR="00BB4756">
        <w:rPr>
          <w:lang w:val="pl-PL"/>
        </w:rPr>
        <w:t xml:space="preserve"> 55-57). Podniósł, że w chwili zatrzymani</w:t>
      </w:r>
      <w:r w:rsidR="00771674">
        <w:rPr>
          <w:lang w:val="pl-PL"/>
        </w:rPr>
        <w:t>a skarżący mogli być podejrzani</w:t>
      </w:r>
      <w:r w:rsidR="00BB4756">
        <w:rPr>
          <w:lang w:val="pl-PL"/>
        </w:rPr>
        <w:t xml:space="preserve"> o popełnienie </w:t>
      </w:r>
      <w:r w:rsidR="00771674">
        <w:rPr>
          <w:lang w:val="pl-PL"/>
        </w:rPr>
        <w:t>czynu zabronionego</w:t>
      </w:r>
      <w:r w:rsidR="00BB4756">
        <w:rPr>
          <w:lang w:val="pl-PL"/>
        </w:rPr>
        <w:t xml:space="preserve">. Dodał, że zgodnie z uchwałą Sądu Najwyższego z dnia 21 lipca 1995 roku (zob. poniżej </w:t>
      </w:r>
      <w:r w:rsidR="00740C5A">
        <w:rPr>
          <w:lang w:val="pl-PL"/>
        </w:rPr>
        <w:t>punkty</w:t>
      </w:r>
      <w:r w:rsidR="00BB4756">
        <w:rPr>
          <w:lang w:val="pl-PL"/>
        </w:rPr>
        <w:t xml:space="preserve"> 63-67) </w:t>
      </w:r>
      <w:r w:rsidR="00BB4756">
        <w:rPr>
          <w:bCs/>
          <w:lang w:val="pl-PL"/>
        </w:rPr>
        <w:t>d</w:t>
      </w:r>
      <w:r w:rsidR="00BB4756" w:rsidRPr="00BB4756">
        <w:rPr>
          <w:bCs/>
          <w:lang w:val="pl-PL"/>
        </w:rPr>
        <w:t>oprowadzenie osoby podejrzanej o popełn</w:t>
      </w:r>
      <w:r w:rsidR="00740C5A">
        <w:rPr>
          <w:bCs/>
          <w:lang w:val="pl-PL"/>
        </w:rPr>
        <w:t>ienie wykroczenia do jednostki p</w:t>
      </w:r>
      <w:r w:rsidR="00BB4756" w:rsidRPr="00BB4756">
        <w:rPr>
          <w:bCs/>
          <w:lang w:val="pl-PL"/>
        </w:rPr>
        <w:t xml:space="preserve">olicji w celu </w:t>
      </w:r>
      <w:r w:rsidR="00740C5A">
        <w:rPr>
          <w:bCs/>
          <w:lang w:val="pl-PL"/>
        </w:rPr>
        <w:t>ustalenia jej tożsamości</w:t>
      </w:r>
      <w:r w:rsidR="00BB4756" w:rsidRPr="00BB4756">
        <w:rPr>
          <w:bCs/>
          <w:lang w:val="pl-PL"/>
        </w:rPr>
        <w:t xml:space="preserve"> albo </w:t>
      </w:r>
      <w:r w:rsidR="00740C5A">
        <w:rPr>
          <w:bCs/>
          <w:lang w:val="pl-PL"/>
        </w:rPr>
        <w:t>zmierzenia poziomu alkoholu</w:t>
      </w:r>
      <w:r w:rsidR="00BB4756" w:rsidRPr="00BB4756">
        <w:rPr>
          <w:bCs/>
          <w:lang w:val="pl-PL"/>
        </w:rPr>
        <w:t xml:space="preserve">, wtedy tylko jest równoznaczne z zatrzymaniem podlegającym kontroli sądowej w trybie przewidzianym </w:t>
      </w:r>
      <w:r w:rsidR="00740C5A">
        <w:rPr>
          <w:bCs/>
          <w:lang w:val="pl-PL"/>
        </w:rPr>
        <w:t>w</w:t>
      </w:r>
      <w:r w:rsidR="00A45034">
        <w:rPr>
          <w:bCs/>
          <w:lang w:val="pl-PL"/>
        </w:rPr>
        <w:t xml:space="preserve"> </w:t>
      </w:r>
      <w:hyperlink r:id="rId12" w:tooltip="Kodeks postępowania karnego" w:history="1">
        <w:r w:rsidR="00740C5A">
          <w:rPr>
            <w:rStyle w:val="Hipercze"/>
            <w:bCs/>
            <w:color w:val="auto"/>
            <w:u w:val="none"/>
            <w:lang w:val="pl-PL"/>
          </w:rPr>
          <w:t>kodeksie</w:t>
        </w:r>
        <w:r w:rsidR="00BB4756" w:rsidRPr="00BB4756">
          <w:rPr>
            <w:rStyle w:val="Hipercze"/>
            <w:bCs/>
            <w:color w:val="auto"/>
            <w:u w:val="none"/>
            <w:lang w:val="pl-PL"/>
          </w:rPr>
          <w:t xml:space="preserve"> postępowania karnego</w:t>
        </w:r>
      </w:hyperlink>
      <w:r w:rsidR="00BB4756" w:rsidRPr="00BB4756">
        <w:rPr>
          <w:bCs/>
          <w:lang w:val="pl-PL"/>
        </w:rPr>
        <w:t xml:space="preserve">, gdy równocześnie dokonane zostało z przyczyn przewidzianych w </w:t>
      </w:r>
      <w:hyperlink r:id="rId13" w:anchor="art:15_ust:1_pkt:3" w:tooltip="Ustawa o Policji" w:history="1">
        <w:r w:rsidR="00740C5A">
          <w:rPr>
            <w:rStyle w:val="Hipercze"/>
            <w:bCs/>
            <w:color w:val="auto"/>
            <w:u w:val="none"/>
            <w:lang w:val="pl-PL"/>
          </w:rPr>
          <w:t>artykule 15 ustęp</w:t>
        </w:r>
        <w:r w:rsidR="00BB4756" w:rsidRPr="00BB4756">
          <w:rPr>
            <w:rStyle w:val="Hipercze"/>
            <w:bCs/>
            <w:color w:val="auto"/>
            <w:u w:val="none"/>
            <w:lang w:val="pl-PL"/>
          </w:rPr>
          <w:t> 1 pkt</w:t>
        </w:r>
        <w:r w:rsidR="00771674">
          <w:rPr>
            <w:rStyle w:val="Hipercze"/>
            <w:bCs/>
            <w:color w:val="auto"/>
            <w:u w:val="none"/>
            <w:lang w:val="pl-PL"/>
          </w:rPr>
          <w:t>.</w:t>
        </w:r>
        <w:r w:rsidR="00BB4756" w:rsidRPr="00BB4756">
          <w:rPr>
            <w:rStyle w:val="Hipercze"/>
            <w:bCs/>
            <w:color w:val="auto"/>
            <w:u w:val="none"/>
            <w:lang w:val="pl-PL"/>
          </w:rPr>
          <w:t> 3</w:t>
        </w:r>
      </w:hyperlink>
      <w:r w:rsidR="00BB4756" w:rsidRPr="00BB4756">
        <w:rPr>
          <w:bCs/>
          <w:lang w:val="pl-PL"/>
        </w:rPr>
        <w:t xml:space="preserve"> ustawy o Policji</w:t>
      </w:r>
      <w:r w:rsidR="00740C5A">
        <w:rPr>
          <w:bCs/>
          <w:lang w:val="pl-PL"/>
        </w:rPr>
        <w:t xml:space="preserve">. </w:t>
      </w:r>
      <w:r w:rsidR="001626CD">
        <w:rPr>
          <w:bCs/>
          <w:lang w:val="pl-PL"/>
        </w:rPr>
        <w:t>W</w:t>
      </w:r>
      <w:r w:rsidR="00740C5A">
        <w:rPr>
          <w:bCs/>
          <w:lang w:val="pl-PL"/>
        </w:rPr>
        <w:t xml:space="preserve"> przedmiotowej sprawie,</w:t>
      </w:r>
      <w:r w:rsidR="00A45034">
        <w:rPr>
          <w:bCs/>
          <w:lang w:val="pl-PL"/>
        </w:rPr>
        <w:t xml:space="preserve"> </w:t>
      </w:r>
      <w:r w:rsidR="00385EA3">
        <w:rPr>
          <w:lang w:val="pl-PL"/>
        </w:rPr>
        <w:t>taka sytuacja nie miała miejsca</w:t>
      </w:r>
      <w:r w:rsidR="00740C5A">
        <w:rPr>
          <w:lang w:val="pl-PL"/>
        </w:rPr>
        <w:t>.</w:t>
      </w:r>
    </w:p>
    <w:p w:rsidR="00F061A3" w:rsidRPr="001626CD" w:rsidRDefault="003001A7" w:rsidP="00F061A3">
      <w:pPr>
        <w:pStyle w:val="JuPara"/>
        <w:rPr>
          <w:lang w:val="pl-PL"/>
        </w:rPr>
      </w:pPr>
      <w:r>
        <w:fldChar w:fldCharType="begin"/>
      </w:r>
      <w:r w:rsidR="00F061A3" w:rsidRPr="001626CD">
        <w:rPr>
          <w:lang w:val="pl-PL"/>
        </w:rPr>
        <w:instrText xml:space="preserve"> SEQ level0 \*arabic </w:instrText>
      </w:r>
      <w:r>
        <w:fldChar w:fldCharType="separate"/>
      </w:r>
      <w:r w:rsidR="004E0BEB">
        <w:rPr>
          <w:noProof/>
          <w:lang w:val="pl-PL"/>
        </w:rPr>
        <w:t>25</w:t>
      </w:r>
      <w:r>
        <w:fldChar w:fldCharType="end"/>
      </w:r>
      <w:r w:rsidR="00F061A3" w:rsidRPr="001626CD">
        <w:rPr>
          <w:lang w:val="pl-PL"/>
        </w:rPr>
        <w:t>.  </w:t>
      </w:r>
      <w:r w:rsidR="001626CD" w:rsidRPr="001626CD">
        <w:rPr>
          <w:lang w:val="pl-PL"/>
        </w:rPr>
        <w:t xml:space="preserve">W dniu 22 marca 2004 roku skarżący </w:t>
      </w:r>
      <w:r w:rsidR="001626CD">
        <w:rPr>
          <w:lang w:val="pl-PL"/>
        </w:rPr>
        <w:t xml:space="preserve">złożyli </w:t>
      </w:r>
      <w:r w:rsidR="00C84E7C">
        <w:rPr>
          <w:lang w:val="pl-PL"/>
        </w:rPr>
        <w:t>odwołanie od tego</w:t>
      </w:r>
      <w:r w:rsidR="009971FE">
        <w:rPr>
          <w:lang w:val="pl-PL"/>
        </w:rPr>
        <w:t xml:space="preserve"> postanowienia</w:t>
      </w:r>
      <w:r w:rsidR="001626CD">
        <w:rPr>
          <w:lang w:val="pl-PL"/>
        </w:rPr>
        <w:t xml:space="preserve"> do prokuratora okręgowego zarzucając </w:t>
      </w:r>
      <w:r w:rsidR="00A12650">
        <w:rPr>
          <w:lang w:val="pl-PL"/>
        </w:rPr>
        <w:t>prowadzącym śledztwo</w:t>
      </w:r>
      <w:r w:rsidR="00A45034">
        <w:rPr>
          <w:lang w:val="pl-PL"/>
        </w:rPr>
        <w:t xml:space="preserve"> </w:t>
      </w:r>
      <w:r w:rsidR="001626CD">
        <w:rPr>
          <w:lang w:val="pl-PL"/>
        </w:rPr>
        <w:t xml:space="preserve">brak uczciwości i </w:t>
      </w:r>
      <w:r w:rsidR="000C24F6">
        <w:rPr>
          <w:lang w:val="pl-PL"/>
        </w:rPr>
        <w:t xml:space="preserve">staranności. Zarzucili, że nie </w:t>
      </w:r>
      <w:r w:rsidR="00470A00">
        <w:rPr>
          <w:lang w:val="pl-PL"/>
        </w:rPr>
        <w:t>zostali</w:t>
      </w:r>
      <w:r w:rsidR="00A45034">
        <w:rPr>
          <w:lang w:val="pl-PL"/>
        </w:rPr>
        <w:t xml:space="preserve"> </w:t>
      </w:r>
      <w:r w:rsidR="00A12650">
        <w:rPr>
          <w:lang w:val="pl-PL"/>
        </w:rPr>
        <w:t>po</w:t>
      </w:r>
      <w:r w:rsidR="000C24F6">
        <w:rPr>
          <w:lang w:val="pl-PL"/>
        </w:rPr>
        <w:t xml:space="preserve">informowani o stawianych im zarzutach, że nie otrzymali protokołu z zatrzymania oraz, że nie mogli </w:t>
      </w:r>
      <w:r w:rsidR="008609F1">
        <w:rPr>
          <w:lang w:val="pl-PL"/>
        </w:rPr>
        <w:t>złożyć zażalenia na bezpodstawne zatrzymanie</w:t>
      </w:r>
      <w:r w:rsidR="003671BF">
        <w:rPr>
          <w:lang w:val="pl-PL"/>
        </w:rPr>
        <w:t>; podnieśli również, że po zatrzymaniu uniemożliwi</w:t>
      </w:r>
      <w:r w:rsidR="00EF653E">
        <w:rPr>
          <w:lang w:val="pl-PL"/>
        </w:rPr>
        <w:t xml:space="preserve">ono im kontakt z adwokatem i </w:t>
      </w:r>
      <w:r w:rsidR="003671BF">
        <w:rPr>
          <w:lang w:val="pl-PL"/>
        </w:rPr>
        <w:t xml:space="preserve">rodzicami.   </w:t>
      </w:r>
    </w:p>
    <w:p w:rsidR="00F061A3" w:rsidRPr="003671BF" w:rsidRDefault="003001A7" w:rsidP="00F061A3">
      <w:pPr>
        <w:pStyle w:val="JuPara"/>
        <w:rPr>
          <w:lang w:val="pl-PL"/>
        </w:rPr>
      </w:pPr>
      <w:r>
        <w:fldChar w:fldCharType="begin"/>
      </w:r>
      <w:r w:rsidR="00F061A3" w:rsidRPr="006A31CF">
        <w:rPr>
          <w:lang w:val="pl-PL"/>
        </w:rPr>
        <w:instrText xml:space="preserve"> SEQ level0 \*arabic </w:instrText>
      </w:r>
      <w:r>
        <w:fldChar w:fldCharType="separate"/>
      </w:r>
      <w:r w:rsidR="004E0BEB">
        <w:rPr>
          <w:noProof/>
          <w:lang w:val="pl-PL"/>
        </w:rPr>
        <w:t>26</w:t>
      </w:r>
      <w:r>
        <w:fldChar w:fldCharType="end"/>
      </w:r>
      <w:r w:rsidR="00F061A3" w:rsidRPr="006A31CF">
        <w:rPr>
          <w:lang w:val="pl-PL"/>
        </w:rPr>
        <w:t>.  </w:t>
      </w:r>
      <w:r w:rsidR="003671BF" w:rsidRPr="003671BF">
        <w:rPr>
          <w:lang w:val="pl-PL"/>
        </w:rPr>
        <w:t xml:space="preserve">W dniu 28 kwietnia 2004 r. prokurator okręgowy </w:t>
      </w:r>
      <w:r w:rsidR="003671BF">
        <w:rPr>
          <w:lang w:val="pl-PL"/>
        </w:rPr>
        <w:t xml:space="preserve">uwzględnił odwołanie skarżących, uchylił postanowienie o umorzeniu i </w:t>
      </w:r>
      <w:r w:rsidR="00A231F6">
        <w:rPr>
          <w:lang w:val="pl-PL"/>
        </w:rPr>
        <w:t xml:space="preserve">przekazał sprawę do dalszego prowadzenia, </w:t>
      </w:r>
      <w:r w:rsidR="003671BF">
        <w:rPr>
          <w:lang w:val="pl-PL"/>
        </w:rPr>
        <w:t>podając w uzasadnieniu, że nie ustalono wszystkich okoliczności sprawy.</w:t>
      </w:r>
      <w:r w:rsidR="007616C9">
        <w:rPr>
          <w:lang w:val="pl-PL"/>
        </w:rPr>
        <w:t xml:space="preserve"> Prokurator okręgowy przekazał prokuraturze rejonowej zalecenia co do czynności śledczych jakie mają być wykonane w czasie dalszego postępowania</w:t>
      </w:r>
    </w:p>
    <w:p w:rsidR="00F061A3" w:rsidRPr="006A31CF" w:rsidRDefault="003001A7" w:rsidP="00F061A3">
      <w:pPr>
        <w:pStyle w:val="JuPara"/>
        <w:rPr>
          <w:lang w:val="pl-PL"/>
        </w:rPr>
      </w:pPr>
      <w:r>
        <w:fldChar w:fldCharType="begin"/>
      </w:r>
      <w:r w:rsidR="00F061A3" w:rsidRPr="006A31CF">
        <w:rPr>
          <w:lang w:val="pl-PL"/>
        </w:rPr>
        <w:instrText xml:space="preserve"> SEQ level0 \*arabic </w:instrText>
      </w:r>
      <w:r>
        <w:fldChar w:fldCharType="separate"/>
      </w:r>
      <w:r w:rsidR="004E0BEB">
        <w:rPr>
          <w:noProof/>
          <w:lang w:val="pl-PL"/>
        </w:rPr>
        <w:t>27</w:t>
      </w:r>
      <w:r>
        <w:fldChar w:fldCharType="end"/>
      </w:r>
      <w:r w:rsidR="00F061A3" w:rsidRPr="006A31CF">
        <w:rPr>
          <w:lang w:val="pl-PL"/>
        </w:rPr>
        <w:t>.  </w:t>
      </w:r>
      <w:r w:rsidR="006A31CF" w:rsidRPr="006A31CF">
        <w:rPr>
          <w:lang w:val="pl-PL"/>
        </w:rPr>
        <w:t xml:space="preserve">W ramach dalszego </w:t>
      </w:r>
      <w:r w:rsidR="00EF653E" w:rsidRPr="006A31CF">
        <w:rPr>
          <w:lang w:val="pl-PL"/>
        </w:rPr>
        <w:t>postępowania</w:t>
      </w:r>
      <w:r w:rsidR="006A31CF" w:rsidRPr="006A31CF">
        <w:rPr>
          <w:lang w:val="pl-PL"/>
        </w:rPr>
        <w:t xml:space="preserve"> prokuratura rejonowa ponownie przesłuchała świadków, w tym dwóch młodych ludzi zatrzymanych</w:t>
      </w:r>
      <w:r w:rsidR="006A31CF">
        <w:rPr>
          <w:lang w:val="pl-PL"/>
        </w:rPr>
        <w:t xml:space="preserve"> na posterunku w tym samym czasie co skarżący oraz funkcjonariuszy wykonującym badanie alkomatem. Żaden z przesłuchanych przez prokuraturę świadków nie widział, żeby </w:t>
      </w:r>
      <w:r w:rsidR="00D34634">
        <w:rPr>
          <w:lang w:val="pl-PL"/>
        </w:rPr>
        <w:t>skarżący byli źle traktowani przez policjantów</w:t>
      </w:r>
      <w:r w:rsidR="006A31CF">
        <w:rPr>
          <w:lang w:val="pl-PL"/>
        </w:rPr>
        <w:t>. Prokuratura przesłuchała również skarżących w celu wyjaśnienia czy zarzucan</w:t>
      </w:r>
      <w:r w:rsidR="009971FE">
        <w:rPr>
          <w:lang w:val="pl-PL"/>
        </w:rPr>
        <w:t>e złe traktowanie</w:t>
      </w:r>
      <w:r w:rsidR="006A31CF">
        <w:rPr>
          <w:lang w:val="pl-PL"/>
        </w:rPr>
        <w:t xml:space="preserve"> mi</w:t>
      </w:r>
      <w:r w:rsidR="009971FE">
        <w:rPr>
          <w:lang w:val="pl-PL"/>
        </w:rPr>
        <w:t>a</w:t>
      </w:r>
      <w:r w:rsidR="006A31CF">
        <w:rPr>
          <w:lang w:val="pl-PL"/>
        </w:rPr>
        <w:t>ło miejsce po czy</w:t>
      </w:r>
      <w:r w:rsidR="00C62979">
        <w:rPr>
          <w:lang w:val="pl-PL"/>
        </w:rPr>
        <w:t xml:space="preserve"> też</w:t>
      </w:r>
      <w:r w:rsidR="006A31CF">
        <w:rPr>
          <w:lang w:val="pl-PL"/>
        </w:rPr>
        <w:t xml:space="preserve"> przed przybyc</w:t>
      </w:r>
      <w:r w:rsidR="00A12650">
        <w:rPr>
          <w:lang w:val="pl-PL"/>
        </w:rPr>
        <w:t>iem pozostałych młodych ludzi do</w:t>
      </w:r>
      <w:r w:rsidR="006A31CF">
        <w:rPr>
          <w:lang w:val="pl-PL"/>
        </w:rPr>
        <w:t xml:space="preserve"> komisariat</w:t>
      </w:r>
      <w:r w:rsidR="00A12650">
        <w:rPr>
          <w:lang w:val="pl-PL"/>
        </w:rPr>
        <w:t>u</w:t>
      </w:r>
      <w:r w:rsidR="006A31CF">
        <w:rPr>
          <w:lang w:val="pl-PL"/>
        </w:rPr>
        <w:t xml:space="preserve">. Artur i Zbigniew </w:t>
      </w:r>
      <w:r w:rsidR="006A31CF">
        <w:rPr>
          <w:lang w:val="pl-PL"/>
        </w:rPr>
        <w:lastRenderedPageBreak/>
        <w:t xml:space="preserve">Tomaszewscy potwierdzili pierwszą hipotezę, w przeciwieństwie do ich brata Sebastiana. </w:t>
      </w:r>
    </w:p>
    <w:p w:rsidR="00F061A3" w:rsidRPr="00AC79CA"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28</w:t>
      </w:r>
      <w:r>
        <w:fldChar w:fldCharType="end"/>
      </w:r>
      <w:r w:rsidR="00F061A3" w:rsidRPr="007450CF">
        <w:rPr>
          <w:lang w:val="pl-PL"/>
        </w:rPr>
        <w:t>.  </w:t>
      </w:r>
      <w:r w:rsidR="00AC79CA" w:rsidRPr="00AC79CA">
        <w:rPr>
          <w:lang w:val="pl-PL"/>
        </w:rPr>
        <w:t>W dniu 30 czerwca 2004 roku prokurator rejonowy postanowił o zamknięciu postępowania z takich samych powodów jak w postanowieniu z dnia 10 marca</w:t>
      </w:r>
      <w:r w:rsidR="00F061A3" w:rsidRPr="00AC79CA">
        <w:rPr>
          <w:lang w:val="pl-PL"/>
        </w:rPr>
        <w:t>.</w:t>
      </w:r>
    </w:p>
    <w:p w:rsidR="00F061A3" w:rsidRPr="00AC79CA"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29</w:t>
      </w:r>
      <w:r>
        <w:fldChar w:fldCharType="end"/>
      </w:r>
      <w:r w:rsidR="00F061A3" w:rsidRPr="007450CF">
        <w:rPr>
          <w:lang w:val="pl-PL"/>
        </w:rPr>
        <w:t>.  </w:t>
      </w:r>
      <w:r w:rsidR="00AC79CA" w:rsidRPr="00AC79CA">
        <w:rPr>
          <w:lang w:val="pl-PL"/>
        </w:rPr>
        <w:t>W następstwie odwołania od tego postanowienia złożonego przez skarżących, w dniu 8 września 200</w:t>
      </w:r>
      <w:r w:rsidR="00AC79CA">
        <w:rPr>
          <w:lang w:val="pl-PL"/>
        </w:rPr>
        <w:t xml:space="preserve">4 roku prokurator okręgowy poinformował ich o przekazaniu akt sprawy do Sądu Rejonowego w Ostródzie. </w:t>
      </w:r>
    </w:p>
    <w:p w:rsidR="00F061A3" w:rsidRPr="00AC79CA"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30</w:t>
      </w:r>
      <w:r>
        <w:fldChar w:fldCharType="end"/>
      </w:r>
      <w:r w:rsidR="00F061A3" w:rsidRPr="007450CF">
        <w:rPr>
          <w:lang w:val="pl-PL"/>
        </w:rPr>
        <w:t>.  </w:t>
      </w:r>
      <w:r w:rsidR="00AC79CA" w:rsidRPr="00AC79CA">
        <w:rPr>
          <w:lang w:val="pl-PL"/>
        </w:rPr>
        <w:t>Postanowieniem z dnia 10 września 2004 roku o umorzeniu prokurator zamknął postępowanie</w:t>
      </w:r>
      <w:r w:rsidR="00AC79CA">
        <w:rPr>
          <w:lang w:val="pl-PL"/>
        </w:rPr>
        <w:t xml:space="preserve"> w zakresie dotyczącym Zbigniewa Tomaszewskiego, ofiary śmiertelnego wypadku samochodowego</w:t>
      </w:r>
      <w:r w:rsidR="00A63219">
        <w:rPr>
          <w:lang w:val="pl-PL"/>
        </w:rPr>
        <w:t xml:space="preserve"> zaistniałego</w:t>
      </w:r>
      <w:r w:rsidR="00AC79CA">
        <w:rPr>
          <w:lang w:val="pl-PL"/>
        </w:rPr>
        <w:t xml:space="preserve"> w sierpniu 2004 roku.  </w:t>
      </w:r>
    </w:p>
    <w:p w:rsidR="00F061A3" w:rsidRPr="00AC79CA"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31</w:t>
      </w:r>
      <w:r>
        <w:fldChar w:fldCharType="end"/>
      </w:r>
      <w:r w:rsidR="00F061A3" w:rsidRPr="007450CF">
        <w:rPr>
          <w:lang w:val="pl-PL"/>
        </w:rPr>
        <w:t>.  </w:t>
      </w:r>
      <w:r w:rsidR="00AC79CA" w:rsidRPr="00AC79CA">
        <w:rPr>
          <w:lang w:val="pl-PL"/>
        </w:rPr>
        <w:t xml:space="preserve">W dniu 15 października 2004 roku Sąd Rejonowy w Ostródzie utrzymał w mocy </w:t>
      </w:r>
      <w:r w:rsidR="00AC79CA">
        <w:rPr>
          <w:lang w:val="pl-PL"/>
        </w:rPr>
        <w:t xml:space="preserve">postanowienie </w:t>
      </w:r>
      <w:r w:rsidR="00AC79CA" w:rsidRPr="00AC79CA">
        <w:rPr>
          <w:lang w:val="pl-PL"/>
        </w:rPr>
        <w:t xml:space="preserve">prokuratora z dnia 30 czerwca 2004 roku </w:t>
      </w:r>
      <w:r w:rsidR="00AC79CA">
        <w:rPr>
          <w:lang w:val="pl-PL"/>
        </w:rPr>
        <w:t>wobec</w:t>
      </w:r>
      <w:r w:rsidR="00AC79CA" w:rsidRPr="00AC79CA">
        <w:rPr>
          <w:lang w:val="pl-PL"/>
        </w:rPr>
        <w:t xml:space="preserve"> dwóch starszych braci.</w:t>
      </w:r>
      <w:r w:rsidR="00A055F6">
        <w:rPr>
          <w:lang w:val="pl-PL"/>
        </w:rPr>
        <w:t xml:space="preserve"> Sąd podniósł, że po opuszczeniu posterunku, Artur i Zbigniew Tomaszewscy nie zostali zbadani przez lekarza. Sąd wskazał, że wobec braku dokumentacji lekarskiej mogącej określić charak</w:t>
      </w:r>
      <w:r w:rsidR="00C62979">
        <w:rPr>
          <w:lang w:val="pl-PL"/>
        </w:rPr>
        <w:t>ter i przyczyny doznanych obrażeń</w:t>
      </w:r>
      <w:r w:rsidR="00A055F6">
        <w:rPr>
          <w:lang w:val="pl-PL"/>
        </w:rPr>
        <w:t xml:space="preserve">, biegły powołany w czasie postępowania nie miał możliwości sprawdzenia wiarygodności zarzutów </w:t>
      </w:r>
      <w:r w:rsidR="00C758C9">
        <w:rPr>
          <w:lang w:val="pl-PL"/>
        </w:rPr>
        <w:t>złego traktowania</w:t>
      </w:r>
      <w:r w:rsidR="00A055F6">
        <w:rPr>
          <w:lang w:val="pl-PL"/>
        </w:rPr>
        <w:t xml:space="preserve">, której </w:t>
      </w:r>
      <w:r w:rsidR="00C758C9">
        <w:rPr>
          <w:lang w:val="pl-PL"/>
        </w:rPr>
        <w:t xml:space="preserve">ofiarą </w:t>
      </w:r>
      <w:r w:rsidR="00A055F6">
        <w:rPr>
          <w:lang w:val="pl-PL"/>
        </w:rPr>
        <w:t>mieli paść</w:t>
      </w:r>
      <w:r w:rsidR="00C758C9">
        <w:rPr>
          <w:lang w:val="pl-PL"/>
        </w:rPr>
        <w:t xml:space="preserve"> skarżący</w:t>
      </w:r>
      <w:r w:rsidR="00A055F6">
        <w:rPr>
          <w:lang w:val="pl-PL"/>
        </w:rPr>
        <w:t xml:space="preserve"> na posterunku policji. Sąd </w:t>
      </w:r>
      <w:r w:rsidR="006F161C">
        <w:rPr>
          <w:lang w:val="pl-PL"/>
        </w:rPr>
        <w:t xml:space="preserve">zauważył, że podobne stwierdzenie odnosi się do Sebastiana zważywszy na nieprecyzyjność dokumentacji lekarskiej, w której nie wspominano o niektórych </w:t>
      </w:r>
      <w:r w:rsidR="00DD5C3C">
        <w:rPr>
          <w:lang w:val="pl-PL"/>
        </w:rPr>
        <w:t>obrażeniach</w:t>
      </w:r>
      <w:r w:rsidR="00390DF8">
        <w:rPr>
          <w:lang w:val="pl-PL"/>
        </w:rPr>
        <w:t>, których miał doznać. Sąd zauważył również, że świadkowie obecni na posterunku w tym samym czasie co sk</w:t>
      </w:r>
      <w:r w:rsidR="00DD5C3C">
        <w:rPr>
          <w:lang w:val="pl-PL"/>
        </w:rPr>
        <w:t>arżący nie potwierdzili zarzutu</w:t>
      </w:r>
      <w:r w:rsidR="00A45034">
        <w:rPr>
          <w:lang w:val="pl-PL"/>
        </w:rPr>
        <w:t xml:space="preserve"> </w:t>
      </w:r>
      <w:r w:rsidR="00DD5C3C">
        <w:rPr>
          <w:lang w:val="pl-PL"/>
        </w:rPr>
        <w:t>złego traktowania</w:t>
      </w:r>
      <w:r w:rsidR="00A45034">
        <w:rPr>
          <w:lang w:val="pl-PL"/>
        </w:rPr>
        <w:t xml:space="preserve"> </w:t>
      </w:r>
      <w:r w:rsidR="00A12650">
        <w:rPr>
          <w:lang w:val="pl-PL"/>
        </w:rPr>
        <w:t xml:space="preserve">przez </w:t>
      </w:r>
      <w:r w:rsidR="00390DF8">
        <w:rPr>
          <w:lang w:val="pl-PL"/>
        </w:rPr>
        <w:t xml:space="preserve">policjantów. Sąd uznał, że </w:t>
      </w:r>
      <w:r w:rsidR="009A58CE">
        <w:rPr>
          <w:lang w:val="pl-PL"/>
        </w:rPr>
        <w:t>tylko</w:t>
      </w:r>
      <w:r w:rsidR="00390DF8">
        <w:rPr>
          <w:lang w:val="pl-PL"/>
        </w:rPr>
        <w:t xml:space="preserve"> jedno zeznanie oskarżające tych funkcjonariuszy nie jest wiarygodne, zważywszy, że świadek ten nie był w stanie wskazać</w:t>
      </w:r>
      <w:r w:rsidR="00A45034">
        <w:rPr>
          <w:lang w:val="pl-PL"/>
        </w:rPr>
        <w:t xml:space="preserve"> </w:t>
      </w:r>
      <w:r w:rsidR="00A12650">
        <w:rPr>
          <w:lang w:val="pl-PL"/>
        </w:rPr>
        <w:t>w jakie części ciała skarżących</w:t>
      </w:r>
      <w:r w:rsidR="00390DF8">
        <w:rPr>
          <w:lang w:val="pl-PL"/>
        </w:rPr>
        <w:t xml:space="preserve"> b</w:t>
      </w:r>
      <w:r w:rsidR="00B4588C">
        <w:rPr>
          <w:lang w:val="pl-PL"/>
        </w:rPr>
        <w:t>yły zadawane ciosy, ponieważ</w:t>
      </w:r>
      <w:r w:rsidR="00390DF8">
        <w:rPr>
          <w:lang w:val="pl-PL"/>
        </w:rPr>
        <w:t xml:space="preserve"> nie </w:t>
      </w:r>
      <w:r w:rsidR="00A12650">
        <w:rPr>
          <w:lang w:val="pl-PL"/>
        </w:rPr>
        <w:t>widział</w:t>
      </w:r>
      <w:r w:rsidR="00B4588C">
        <w:rPr>
          <w:lang w:val="pl-PL"/>
        </w:rPr>
        <w:t xml:space="preserve"> dokładnie</w:t>
      </w:r>
      <w:r w:rsidR="00390DF8">
        <w:rPr>
          <w:lang w:val="pl-PL"/>
        </w:rPr>
        <w:t xml:space="preserve">. Sąd </w:t>
      </w:r>
      <w:r w:rsidR="001C0619">
        <w:rPr>
          <w:lang w:val="pl-PL"/>
        </w:rPr>
        <w:t xml:space="preserve">nie uwzględnił odwołania w zakresie dotyczącym Zbigniewa z tego względu, że był on małoletni i co za tym idzie odwołanie powinno być wniesione przez rodziców, a nie przez niego samego.  </w:t>
      </w:r>
    </w:p>
    <w:p w:rsidR="00F061A3" w:rsidRPr="001C0619" w:rsidRDefault="003001A7" w:rsidP="00F061A3">
      <w:pPr>
        <w:pStyle w:val="jupara0"/>
        <w:rPr>
          <w:lang w:val="pl-PL"/>
        </w:rPr>
      </w:pPr>
      <w:r>
        <w:rPr>
          <w:bCs/>
          <w:lang w:val="fr-FR"/>
        </w:rPr>
        <w:fldChar w:fldCharType="begin"/>
      </w:r>
      <w:r w:rsidR="00F061A3" w:rsidRPr="001C0619">
        <w:rPr>
          <w:bCs/>
          <w:lang w:val="pl-PL"/>
        </w:rPr>
        <w:instrText xml:space="preserve"> SEQ level0 \*arabic </w:instrText>
      </w:r>
      <w:r>
        <w:rPr>
          <w:bCs/>
          <w:lang w:val="fr-FR"/>
        </w:rPr>
        <w:fldChar w:fldCharType="separate"/>
      </w:r>
      <w:r w:rsidR="004E0BEB">
        <w:rPr>
          <w:bCs/>
          <w:noProof/>
          <w:lang w:val="pl-PL"/>
        </w:rPr>
        <w:t>32</w:t>
      </w:r>
      <w:r>
        <w:rPr>
          <w:bCs/>
          <w:lang w:val="fr-FR"/>
        </w:rPr>
        <w:fldChar w:fldCharType="end"/>
      </w:r>
      <w:r w:rsidR="00F061A3" w:rsidRPr="001C0619">
        <w:rPr>
          <w:bCs/>
          <w:lang w:val="pl-PL"/>
        </w:rPr>
        <w:t>.  </w:t>
      </w:r>
      <w:r w:rsidR="001C0619" w:rsidRPr="001C0619">
        <w:rPr>
          <w:bCs/>
          <w:lang w:val="pl-PL"/>
        </w:rPr>
        <w:t xml:space="preserve">Sąd uznał, że podstawa prawna czynności wykonanych przez policjantów wobec skarżących została </w:t>
      </w:r>
      <w:r w:rsidR="00280A19">
        <w:rPr>
          <w:bCs/>
          <w:lang w:val="pl-PL"/>
        </w:rPr>
        <w:t>doprecyzowana</w:t>
      </w:r>
      <w:r w:rsidR="001C0619" w:rsidRPr="001C0619">
        <w:rPr>
          <w:bCs/>
          <w:lang w:val="pl-PL"/>
        </w:rPr>
        <w:t xml:space="preserve"> w czasie postępowania. </w:t>
      </w:r>
      <w:r w:rsidR="001C0619">
        <w:rPr>
          <w:bCs/>
          <w:lang w:val="pl-PL"/>
        </w:rPr>
        <w:t>Chodziło o naruszenie porządku publicznego co wymagało doprowadzenia skarżących przez policjantów na posterunek w celu ustalenia tożsamości i zmier</w:t>
      </w:r>
      <w:r w:rsidR="00280A19">
        <w:rPr>
          <w:bCs/>
          <w:lang w:val="pl-PL"/>
        </w:rPr>
        <w:t>zenia poziomu alkoholu w organizmie</w:t>
      </w:r>
      <w:r w:rsidR="001C0619">
        <w:rPr>
          <w:bCs/>
          <w:lang w:val="pl-PL"/>
        </w:rPr>
        <w:t xml:space="preserve">. Sąd podniósł, że w tych okolicznościach doprowadzenie na </w:t>
      </w:r>
      <w:r w:rsidR="008C32A9">
        <w:rPr>
          <w:bCs/>
          <w:lang w:val="pl-PL"/>
        </w:rPr>
        <w:t>posterunek było dozwolone</w:t>
      </w:r>
      <w:r w:rsidR="001C0619">
        <w:rPr>
          <w:bCs/>
          <w:lang w:val="pl-PL"/>
        </w:rPr>
        <w:t xml:space="preserve"> i nie </w:t>
      </w:r>
      <w:r w:rsidR="001C0619" w:rsidRPr="00BB4756">
        <w:rPr>
          <w:bCs/>
          <w:lang w:val="pl-PL"/>
        </w:rPr>
        <w:t>po</w:t>
      </w:r>
      <w:r w:rsidR="00C167AA">
        <w:rPr>
          <w:bCs/>
          <w:lang w:val="pl-PL"/>
        </w:rPr>
        <w:t>dlegało</w:t>
      </w:r>
      <w:r w:rsidR="001C0619" w:rsidRPr="00BB4756">
        <w:rPr>
          <w:bCs/>
          <w:lang w:val="pl-PL"/>
        </w:rPr>
        <w:t xml:space="preserve"> kontroli sądowej</w:t>
      </w:r>
      <w:r w:rsidR="001C0619">
        <w:rPr>
          <w:bCs/>
          <w:lang w:val="pl-PL"/>
        </w:rPr>
        <w:t xml:space="preserve">.     </w:t>
      </w:r>
    </w:p>
    <w:p w:rsidR="00F061A3" w:rsidRPr="007450CF" w:rsidRDefault="00F061A3" w:rsidP="00F061A3">
      <w:pPr>
        <w:pStyle w:val="JuHa0"/>
        <w:rPr>
          <w:lang w:val="pl-PL"/>
        </w:rPr>
      </w:pPr>
      <w:r w:rsidRPr="007450CF">
        <w:rPr>
          <w:lang w:val="pl-PL"/>
        </w:rPr>
        <w:t>b)  </w:t>
      </w:r>
      <w:r w:rsidR="001C0619" w:rsidRPr="00665885">
        <w:rPr>
          <w:lang w:val="pl-PL"/>
        </w:rPr>
        <w:t>Postępowanie</w:t>
      </w:r>
      <w:r w:rsidR="00A45034">
        <w:rPr>
          <w:lang w:val="pl-PL"/>
        </w:rPr>
        <w:t xml:space="preserve"> </w:t>
      </w:r>
      <w:r w:rsidR="001C0619" w:rsidRPr="00665885">
        <w:rPr>
          <w:lang w:val="pl-PL"/>
        </w:rPr>
        <w:t>prowadzone</w:t>
      </w:r>
      <w:r w:rsidR="00A45034">
        <w:rPr>
          <w:lang w:val="pl-PL"/>
        </w:rPr>
        <w:t xml:space="preserve"> </w:t>
      </w:r>
      <w:r w:rsidR="001C0619" w:rsidRPr="00665885">
        <w:rPr>
          <w:lang w:val="pl-PL"/>
        </w:rPr>
        <w:t>przez</w:t>
      </w:r>
      <w:r w:rsidR="00A45034">
        <w:rPr>
          <w:lang w:val="pl-PL"/>
        </w:rPr>
        <w:t xml:space="preserve"> </w:t>
      </w:r>
      <w:r w:rsidR="001C0619" w:rsidRPr="00665885">
        <w:rPr>
          <w:lang w:val="pl-PL"/>
        </w:rPr>
        <w:t>policję</w:t>
      </w:r>
    </w:p>
    <w:p w:rsidR="00F061A3" w:rsidRPr="001C0619"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33</w:t>
      </w:r>
      <w:r>
        <w:fldChar w:fldCharType="end"/>
      </w:r>
      <w:r w:rsidR="00F061A3" w:rsidRPr="007450CF">
        <w:rPr>
          <w:lang w:val="pl-PL"/>
        </w:rPr>
        <w:t>.  </w:t>
      </w:r>
      <w:r w:rsidR="001C0619" w:rsidRPr="001C0619">
        <w:rPr>
          <w:lang w:val="pl-PL"/>
        </w:rPr>
        <w:t xml:space="preserve">W międzyczasie, w dniu 4 grudnia 2003 roku skarżący złożyli </w:t>
      </w:r>
      <w:r w:rsidR="00C167AA">
        <w:rPr>
          <w:lang w:val="pl-PL"/>
        </w:rPr>
        <w:t>skargę na</w:t>
      </w:r>
      <w:r w:rsidR="001C0619" w:rsidRPr="001C0619">
        <w:rPr>
          <w:lang w:val="pl-PL"/>
        </w:rPr>
        <w:t xml:space="preserve"> funkcjonariuszy</w:t>
      </w:r>
      <w:r w:rsidR="00665885">
        <w:rPr>
          <w:lang w:val="pl-PL"/>
        </w:rPr>
        <w:t xml:space="preserve"> uczestniczących w opisanych wydarzeniach.</w:t>
      </w:r>
    </w:p>
    <w:p w:rsidR="00F061A3" w:rsidRPr="000D0D1B" w:rsidRDefault="003001A7" w:rsidP="00F061A3">
      <w:pPr>
        <w:pStyle w:val="JuPara"/>
        <w:rPr>
          <w:lang w:val="pl-PL"/>
        </w:rPr>
      </w:pPr>
      <w:r>
        <w:lastRenderedPageBreak/>
        <w:fldChar w:fldCharType="begin"/>
      </w:r>
      <w:r w:rsidR="00F061A3" w:rsidRPr="007450CF">
        <w:rPr>
          <w:lang w:val="pl-PL"/>
        </w:rPr>
        <w:instrText xml:space="preserve"> SEQ level0 \*arabic </w:instrText>
      </w:r>
      <w:r>
        <w:fldChar w:fldCharType="separate"/>
      </w:r>
      <w:r w:rsidR="004E0BEB">
        <w:rPr>
          <w:noProof/>
          <w:lang w:val="pl-PL"/>
        </w:rPr>
        <w:t>34</w:t>
      </w:r>
      <w:r>
        <w:fldChar w:fldCharType="end"/>
      </w:r>
      <w:r w:rsidR="00F061A3" w:rsidRPr="007450CF">
        <w:rPr>
          <w:lang w:val="pl-PL"/>
        </w:rPr>
        <w:t>.  </w:t>
      </w:r>
      <w:r w:rsidR="00665885" w:rsidRPr="00665885">
        <w:rPr>
          <w:lang w:val="pl-PL"/>
        </w:rPr>
        <w:t xml:space="preserve">W dniu 27 </w:t>
      </w:r>
      <w:r w:rsidR="00665885">
        <w:rPr>
          <w:lang w:val="pl-PL"/>
        </w:rPr>
        <w:t>lutego 2004 roku Zastępca K</w:t>
      </w:r>
      <w:r w:rsidR="00665885" w:rsidRPr="00665885">
        <w:rPr>
          <w:lang w:val="pl-PL"/>
        </w:rPr>
        <w:t>omendanta</w:t>
      </w:r>
      <w:r w:rsidR="00665885">
        <w:rPr>
          <w:lang w:val="pl-PL"/>
        </w:rPr>
        <w:t xml:space="preserve"> Powiatowego P</w:t>
      </w:r>
      <w:r w:rsidR="00665885" w:rsidRPr="00665885">
        <w:rPr>
          <w:lang w:val="pl-PL"/>
        </w:rPr>
        <w:t>olicji w Ostródzie</w:t>
      </w:r>
      <w:r w:rsidR="00665885">
        <w:rPr>
          <w:lang w:val="pl-PL"/>
        </w:rPr>
        <w:t xml:space="preserve"> poinformował skarżących, że </w:t>
      </w:r>
      <w:r w:rsidR="00377909">
        <w:rPr>
          <w:lang w:val="pl-PL"/>
        </w:rPr>
        <w:t>w czasie zakończonego postępowania</w:t>
      </w:r>
      <w:r w:rsidR="00665885">
        <w:rPr>
          <w:lang w:val="pl-PL"/>
        </w:rPr>
        <w:t xml:space="preserve"> przygotowawcze</w:t>
      </w:r>
      <w:r w:rsidR="00377909">
        <w:rPr>
          <w:lang w:val="pl-PL"/>
        </w:rPr>
        <w:t>go</w:t>
      </w:r>
      <w:r w:rsidR="00665885">
        <w:rPr>
          <w:lang w:val="pl-PL"/>
        </w:rPr>
        <w:t xml:space="preserve"> ustalono, że </w:t>
      </w:r>
      <w:r w:rsidR="00CF4AF7">
        <w:rPr>
          <w:lang w:val="pl-PL"/>
        </w:rPr>
        <w:t>policjanci potwierdzili uczestnictwo braci Tomaszewskich w zakłócaniu porządku publicznego. Wyniki postępowania pozwoliły na stwierdzenie, że funkcjonariusze policji przywieźli braci na posterunek w celu ustalenia ich tożsamości i poddania ich badaniu</w:t>
      </w:r>
      <w:r w:rsidR="00377909">
        <w:rPr>
          <w:lang w:val="pl-PL"/>
        </w:rPr>
        <w:t xml:space="preserve"> na obecność alkoholu w organizmie</w:t>
      </w:r>
      <w:r w:rsidR="00CF4AF7">
        <w:rPr>
          <w:lang w:val="pl-PL"/>
        </w:rPr>
        <w:t>, czyli przeprowadzili czynności niezbędne do wszczęcia przeciw nim postę</w:t>
      </w:r>
      <w:r w:rsidR="00982D74">
        <w:rPr>
          <w:lang w:val="pl-PL"/>
        </w:rPr>
        <w:t>powania karnego. Z uwagi na dużą</w:t>
      </w:r>
      <w:r w:rsidR="00CF4AF7">
        <w:rPr>
          <w:lang w:val="pl-PL"/>
        </w:rPr>
        <w:t xml:space="preserve"> liczbę sprawców czynności wykona</w:t>
      </w:r>
      <w:r w:rsidR="000D0D1B">
        <w:rPr>
          <w:lang w:val="pl-PL"/>
        </w:rPr>
        <w:t>ne przez funkcjonariuszy zostały</w:t>
      </w:r>
      <w:r w:rsidR="00CF4AF7">
        <w:rPr>
          <w:lang w:val="pl-PL"/>
        </w:rPr>
        <w:t xml:space="preserve"> ograniczone do niezbędnego minimum i nie stanowiły zatrzymania w rozumieniu artykułu 15</w:t>
      </w:r>
      <w:r w:rsidR="000D0D1B">
        <w:rPr>
          <w:lang w:val="pl-PL"/>
        </w:rPr>
        <w:t xml:space="preserve"> us</w:t>
      </w:r>
      <w:r w:rsidR="0069458F">
        <w:rPr>
          <w:lang w:val="pl-PL"/>
        </w:rPr>
        <w:t>tęp 2 Ustawy o Policji i stosow</w:t>
      </w:r>
      <w:r w:rsidR="00377909">
        <w:rPr>
          <w:lang w:val="pl-PL"/>
        </w:rPr>
        <w:t>nych przepisów k</w:t>
      </w:r>
      <w:r w:rsidR="000D0D1B">
        <w:rPr>
          <w:lang w:val="pl-PL"/>
        </w:rPr>
        <w:t>odeksu postępowania karnego, co też wynikało z uchwały Sądu N</w:t>
      </w:r>
      <w:r w:rsidR="0069458F">
        <w:rPr>
          <w:lang w:val="pl-PL"/>
        </w:rPr>
        <w:t>ajwyższego z dnia 21 czerwca 199</w:t>
      </w:r>
      <w:r w:rsidR="000D0D1B">
        <w:rPr>
          <w:lang w:val="pl-PL"/>
        </w:rPr>
        <w:t>5 roku (zob. p</w:t>
      </w:r>
      <w:r w:rsidR="000D0D1B" w:rsidRPr="000D0D1B">
        <w:rPr>
          <w:lang w:val="pl-PL"/>
        </w:rPr>
        <w:t>kt. 64-67 poniżej).</w:t>
      </w:r>
      <w:r w:rsidR="000D0D1B">
        <w:rPr>
          <w:lang w:val="pl-PL"/>
        </w:rPr>
        <w:t xml:space="preserve"> Stąd funkcjonariusze nie byli zobowiązani do sporządzenia protokołu</w:t>
      </w:r>
      <w:r w:rsidR="00377909">
        <w:rPr>
          <w:lang w:val="pl-PL"/>
        </w:rPr>
        <w:t xml:space="preserve"> z zatrzymania. W końcu </w:t>
      </w:r>
      <w:r w:rsidR="000D0D1B">
        <w:rPr>
          <w:lang w:val="pl-PL"/>
        </w:rPr>
        <w:t>stwi</w:t>
      </w:r>
      <w:r w:rsidR="00377909">
        <w:rPr>
          <w:lang w:val="pl-PL"/>
        </w:rPr>
        <w:t>erdzono</w:t>
      </w:r>
      <w:r w:rsidR="008C7C61">
        <w:rPr>
          <w:lang w:val="pl-PL"/>
        </w:rPr>
        <w:t>, że nie zostało ustalone</w:t>
      </w:r>
      <w:r w:rsidR="000D0D1B">
        <w:rPr>
          <w:lang w:val="pl-PL"/>
        </w:rPr>
        <w:t>, żeby policjanci nadużyli w jakikolwiek sposób władzy lub zaniedbali wypełnienie ich funkcji czy naruszyli przepisy ustawy z 1982 r. o postępowaniu w sprawach małoletnich.</w:t>
      </w:r>
    </w:p>
    <w:p w:rsidR="00F061A3" w:rsidRPr="000D0D1B"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35</w:t>
      </w:r>
      <w:r>
        <w:fldChar w:fldCharType="end"/>
      </w:r>
      <w:r w:rsidR="00F061A3" w:rsidRPr="007450CF">
        <w:rPr>
          <w:lang w:val="pl-PL"/>
        </w:rPr>
        <w:t>.  </w:t>
      </w:r>
      <w:r w:rsidR="000D0D1B" w:rsidRPr="000D0D1B">
        <w:rPr>
          <w:lang w:val="pl-PL"/>
        </w:rPr>
        <w:t xml:space="preserve">W dniach 10 marca i 26 kwietnia 2004 roku </w:t>
      </w:r>
      <w:r w:rsidR="008C7C61">
        <w:rPr>
          <w:lang w:val="pl-PL"/>
        </w:rPr>
        <w:t>skarżący złożyli kolejną skargę</w:t>
      </w:r>
      <w:r w:rsidR="000D0D1B" w:rsidRPr="000D0D1B">
        <w:rPr>
          <w:lang w:val="pl-PL"/>
        </w:rPr>
        <w:t xml:space="preserve"> do Komendanta Głównego Policji w Warszawie.</w:t>
      </w:r>
    </w:p>
    <w:p w:rsidR="00F061A3" w:rsidRPr="000D0D1B"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36</w:t>
      </w:r>
      <w:r>
        <w:fldChar w:fldCharType="end"/>
      </w:r>
      <w:r w:rsidR="00F061A3" w:rsidRPr="007450CF">
        <w:rPr>
          <w:lang w:val="pl-PL"/>
        </w:rPr>
        <w:t>.  </w:t>
      </w:r>
      <w:r w:rsidR="000D0D1B" w:rsidRPr="000D0D1B">
        <w:rPr>
          <w:lang w:val="pl-PL"/>
        </w:rPr>
        <w:t xml:space="preserve">W dniu 29 kwietnia 2004 roku Komendant Wojewódzki Policji w Olsztynie, któremu przekazano </w:t>
      </w:r>
      <w:r w:rsidR="008C7C61">
        <w:rPr>
          <w:lang w:val="pl-PL"/>
        </w:rPr>
        <w:t>skargi</w:t>
      </w:r>
      <w:r w:rsidR="000D0D1B">
        <w:rPr>
          <w:lang w:val="pl-PL"/>
        </w:rPr>
        <w:t xml:space="preserve"> uznał, że nie ma powodu </w:t>
      </w:r>
      <w:r w:rsidR="00BE126A">
        <w:rPr>
          <w:lang w:val="pl-PL"/>
        </w:rPr>
        <w:t xml:space="preserve">do wydania innego postanowienia </w:t>
      </w:r>
      <w:r w:rsidR="008C7C61">
        <w:rPr>
          <w:lang w:val="pl-PL"/>
        </w:rPr>
        <w:t>niż te</w:t>
      </w:r>
      <w:r w:rsidR="00C75F4E">
        <w:rPr>
          <w:lang w:val="pl-PL"/>
        </w:rPr>
        <w:t>,</w:t>
      </w:r>
      <w:r w:rsidR="008C7C61">
        <w:rPr>
          <w:lang w:val="pl-PL"/>
        </w:rPr>
        <w:t xml:space="preserve"> wydane</w:t>
      </w:r>
      <w:r w:rsidR="00BE126A">
        <w:rPr>
          <w:lang w:val="pl-PL"/>
        </w:rPr>
        <w:t xml:space="preserve"> przez Zastępcę Komendanta Powiatowego Policji w Ostródzie.  </w:t>
      </w:r>
    </w:p>
    <w:p w:rsidR="00F061A3" w:rsidRPr="00BE126A" w:rsidRDefault="00F061A3" w:rsidP="00F061A3">
      <w:pPr>
        <w:pStyle w:val="JuH1"/>
        <w:rPr>
          <w:lang w:val="pl-PL"/>
        </w:rPr>
      </w:pPr>
      <w:r w:rsidRPr="00B4740E">
        <w:rPr>
          <w:lang w:val="pl-PL"/>
        </w:rPr>
        <w:t>4.  </w:t>
      </w:r>
      <w:r w:rsidR="00BE126A" w:rsidRPr="00BE126A">
        <w:rPr>
          <w:lang w:val="pl-PL"/>
        </w:rPr>
        <w:t>Postępowania prowadzone przeciwko skarżącym</w:t>
      </w:r>
    </w:p>
    <w:p w:rsidR="00F061A3" w:rsidRPr="00BE126A" w:rsidRDefault="00F061A3" w:rsidP="00F061A3">
      <w:pPr>
        <w:pStyle w:val="JuHa0"/>
        <w:rPr>
          <w:lang w:val="pl-PL"/>
        </w:rPr>
      </w:pPr>
      <w:r w:rsidRPr="00BE126A">
        <w:rPr>
          <w:lang w:val="pl-PL"/>
        </w:rPr>
        <w:t>a)  </w:t>
      </w:r>
      <w:r w:rsidR="00BE126A" w:rsidRPr="00BE126A">
        <w:rPr>
          <w:lang w:val="pl-PL"/>
        </w:rPr>
        <w:t>P</w:t>
      </w:r>
      <w:r w:rsidR="00BE126A">
        <w:rPr>
          <w:lang w:val="pl-PL"/>
        </w:rPr>
        <w:t>ostępowanie karne prowadzone przeciwko Sebastianowi Tomaszewskiemu i Arturowi Tomaszewskiemu o popełnienie wykroczenia</w:t>
      </w:r>
    </w:p>
    <w:p w:rsidR="00F061A3" w:rsidRPr="00BE126A"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37</w:t>
      </w:r>
      <w:r>
        <w:fldChar w:fldCharType="end"/>
      </w:r>
      <w:r w:rsidR="00F061A3" w:rsidRPr="007450CF">
        <w:rPr>
          <w:lang w:val="pl-PL"/>
        </w:rPr>
        <w:t>.  </w:t>
      </w:r>
      <w:r w:rsidR="00BE126A" w:rsidRPr="00BE126A">
        <w:rPr>
          <w:lang w:val="pl-PL"/>
        </w:rPr>
        <w:t xml:space="preserve">W międzyczasie policja w Ostródzie wszczęła postępowanie karne przeciwko </w:t>
      </w:r>
      <w:r w:rsidR="00BE126A">
        <w:rPr>
          <w:lang w:val="pl-PL"/>
        </w:rPr>
        <w:t xml:space="preserve">skarżącym o popełnienie wykroczenia (zakłócenie porządku publicznego w nocy z 30 na 31 sierpnia 2003 roku). </w:t>
      </w:r>
    </w:p>
    <w:p w:rsidR="00F061A3" w:rsidRPr="00BE126A" w:rsidRDefault="003001A7" w:rsidP="00F061A3">
      <w:pPr>
        <w:pStyle w:val="JuPara"/>
        <w:rPr>
          <w:lang w:val="pl-PL"/>
        </w:rPr>
      </w:pPr>
      <w:r>
        <w:fldChar w:fldCharType="begin"/>
      </w:r>
      <w:r w:rsidR="00F061A3" w:rsidRPr="00BE126A">
        <w:rPr>
          <w:lang w:val="pl-PL"/>
        </w:rPr>
        <w:instrText xml:space="preserve"> SEQ level0 \*arabic </w:instrText>
      </w:r>
      <w:r>
        <w:fldChar w:fldCharType="separate"/>
      </w:r>
      <w:r w:rsidR="004E0BEB">
        <w:rPr>
          <w:noProof/>
          <w:lang w:val="pl-PL"/>
        </w:rPr>
        <w:t>38</w:t>
      </w:r>
      <w:r>
        <w:fldChar w:fldCharType="end"/>
      </w:r>
      <w:r w:rsidR="00F061A3" w:rsidRPr="00BE126A">
        <w:rPr>
          <w:lang w:val="pl-PL"/>
        </w:rPr>
        <w:t>.  </w:t>
      </w:r>
      <w:r w:rsidR="00BE126A" w:rsidRPr="00BE126A">
        <w:rPr>
          <w:lang w:val="pl-PL"/>
        </w:rPr>
        <w:t xml:space="preserve">W dniu 31 grudnia 2003 roku Arturowi Tomaszewskiemu doręczono postanowienie o przedstawieniu zarzutów. </w:t>
      </w:r>
      <w:r w:rsidR="00BE126A">
        <w:rPr>
          <w:lang w:val="pl-PL"/>
        </w:rPr>
        <w:t xml:space="preserve">W dniu 3 lutego 2004 roku policja w Ostródzie zwróciła się z wnioskiem do sądu rejonowego o wymierzenie kary skarżącemu. </w:t>
      </w:r>
    </w:p>
    <w:p w:rsidR="00F061A3" w:rsidRPr="00507188" w:rsidRDefault="003001A7" w:rsidP="00F061A3">
      <w:pPr>
        <w:pStyle w:val="JuPara"/>
        <w:rPr>
          <w:lang w:val="pl-PL"/>
        </w:rPr>
      </w:pPr>
      <w:r>
        <w:fldChar w:fldCharType="begin"/>
      </w:r>
      <w:r w:rsidR="00F061A3" w:rsidRPr="00BE126A">
        <w:rPr>
          <w:lang w:val="pl-PL"/>
        </w:rPr>
        <w:instrText xml:space="preserve"> SEQ level0 \*arabic </w:instrText>
      </w:r>
      <w:r>
        <w:fldChar w:fldCharType="separate"/>
      </w:r>
      <w:r w:rsidR="004E0BEB">
        <w:rPr>
          <w:noProof/>
          <w:lang w:val="pl-PL"/>
        </w:rPr>
        <w:t>39</w:t>
      </w:r>
      <w:r>
        <w:fldChar w:fldCharType="end"/>
      </w:r>
      <w:r w:rsidR="00F061A3" w:rsidRPr="00507188">
        <w:rPr>
          <w:lang w:val="pl-PL"/>
        </w:rPr>
        <w:t>.  </w:t>
      </w:r>
      <w:r w:rsidR="00507188" w:rsidRPr="00507188">
        <w:rPr>
          <w:lang w:val="pl-PL"/>
        </w:rPr>
        <w:t xml:space="preserve">W postępowaniu nakazowym, </w:t>
      </w:r>
      <w:r w:rsidR="00507188">
        <w:rPr>
          <w:lang w:val="pl-PL"/>
        </w:rPr>
        <w:t>w</w:t>
      </w:r>
      <w:r w:rsidR="00BE126A" w:rsidRPr="00507188">
        <w:rPr>
          <w:lang w:val="pl-PL"/>
        </w:rPr>
        <w:t>yrokami odpowiednio z dnia 23 marca i 26 marca 2004 roku</w:t>
      </w:r>
      <w:r w:rsidR="00507188">
        <w:rPr>
          <w:lang w:val="pl-PL"/>
        </w:rPr>
        <w:t xml:space="preserve">, Artur Tomaszewski i Sebastian Tomaszewski zostali uznani winnymi popełnienia zarzucanych im czynów i </w:t>
      </w:r>
      <w:r w:rsidR="00B64C14">
        <w:rPr>
          <w:lang w:val="pl-PL"/>
        </w:rPr>
        <w:t>wobec każdego z nich orzeczono obowiązek odbycia</w:t>
      </w:r>
      <w:r w:rsidR="00507188">
        <w:rPr>
          <w:lang w:val="pl-PL"/>
        </w:rPr>
        <w:t xml:space="preserve"> 20 godzin prac </w:t>
      </w:r>
      <w:r w:rsidR="00226BC6">
        <w:rPr>
          <w:lang w:val="pl-PL"/>
        </w:rPr>
        <w:t>społecznie użytecznych</w:t>
      </w:r>
      <w:r w:rsidR="00507188">
        <w:rPr>
          <w:lang w:val="pl-PL"/>
        </w:rPr>
        <w:t xml:space="preserve">.   </w:t>
      </w:r>
    </w:p>
    <w:p w:rsidR="00F061A3" w:rsidRPr="00507188"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40</w:t>
      </w:r>
      <w:r>
        <w:fldChar w:fldCharType="end"/>
      </w:r>
      <w:r w:rsidR="00F061A3" w:rsidRPr="007450CF">
        <w:rPr>
          <w:lang w:val="pl-PL"/>
        </w:rPr>
        <w:t>.  </w:t>
      </w:r>
      <w:r w:rsidR="00507188" w:rsidRPr="00507188">
        <w:rPr>
          <w:lang w:val="pl-PL"/>
        </w:rPr>
        <w:t>W dniu 13 kwietnia 2004 roku obydwaj skarżący zas</w:t>
      </w:r>
      <w:r w:rsidR="008B5585">
        <w:rPr>
          <w:lang w:val="pl-PL"/>
        </w:rPr>
        <w:t>karżyli wydane wobec nich postanowienia</w:t>
      </w:r>
      <w:r w:rsidR="00507188" w:rsidRPr="00507188">
        <w:rPr>
          <w:lang w:val="pl-PL"/>
        </w:rPr>
        <w:t xml:space="preserve"> i wnieśli o przeprowadzenie w ich sprawie kontradyktoryjnego postępowania</w:t>
      </w:r>
      <w:r w:rsidR="00507188">
        <w:rPr>
          <w:lang w:val="pl-PL"/>
        </w:rPr>
        <w:t xml:space="preserve"> sądowego</w:t>
      </w:r>
      <w:r w:rsidR="00507188" w:rsidRPr="00507188">
        <w:rPr>
          <w:lang w:val="pl-PL"/>
        </w:rPr>
        <w:t>.</w:t>
      </w:r>
    </w:p>
    <w:p w:rsidR="00F061A3" w:rsidRPr="00507188" w:rsidRDefault="003001A7" w:rsidP="00F061A3">
      <w:pPr>
        <w:pStyle w:val="JuPara"/>
        <w:rPr>
          <w:lang w:val="pl-PL"/>
        </w:rPr>
      </w:pPr>
      <w:r>
        <w:lastRenderedPageBreak/>
        <w:fldChar w:fldCharType="begin"/>
      </w:r>
      <w:r w:rsidR="00F061A3" w:rsidRPr="007450CF">
        <w:rPr>
          <w:lang w:val="pl-PL"/>
        </w:rPr>
        <w:instrText xml:space="preserve"> SEQ level0 \*arabic </w:instrText>
      </w:r>
      <w:r>
        <w:fldChar w:fldCharType="separate"/>
      </w:r>
      <w:r w:rsidR="004E0BEB">
        <w:rPr>
          <w:noProof/>
          <w:lang w:val="pl-PL"/>
        </w:rPr>
        <w:t>41</w:t>
      </w:r>
      <w:r>
        <w:fldChar w:fldCharType="end"/>
      </w:r>
      <w:r w:rsidR="00F061A3" w:rsidRPr="007450CF">
        <w:rPr>
          <w:lang w:val="pl-PL"/>
        </w:rPr>
        <w:t>.  </w:t>
      </w:r>
      <w:r w:rsidR="00507188" w:rsidRPr="00507188">
        <w:rPr>
          <w:lang w:val="pl-PL"/>
        </w:rPr>
        <w:t xml:space="preserve">W dniu 6 maja 2005 roku Sąd Rejonowy w Ostródzie uznał obydwu skarżących winnych popełnienia zarzucanych im czynów i </w:t>
      </w:r>
      <w:r w:rsidR="00B64C14">
        <w:rPr>
          <w:lang w:val="pl-PL"/>
        </w:rPr>
        <w:t>orzekł wobec</w:t>
      </w:r>
      <w:r w:rsidR="00507188" w:rsidRPr="00507188">
        <w:rPr>
          <w:lang w:val="pl-PL"/>
        </w:rPr>
        <w:t xml:space="preserve"> </w:t>
      </w:r>
      <w:r w:rsidR="00507188">
        <w:rPr>
          <w:lang w:val="pl-PL"/>
        </w:rPr>
        <w:t xml:space="preserve">Artura Tomaszewskiego karę grzywny w wysokości 600 złotych a </w:t>
      </w:r>
      <w:r w:rsidR="00B64C14">
        <w:rPr>
          <w:lang w:val="pl-PL"/>
        </w:rPr>
        <w:t xml:space="preserve">wobec </w:t>
      </w:r>
      <w:r w:rsidR="00507188">
        <w:rPr>
          <w:lang w:val="pl-PL"/>
        </w:rPr>
        <w:t>Sebastian Tomaszewsk</w:t>
      </w:r>
      <w:r w:rsidR="008B5585">
        <w:rPr>
          <w:lang w:val="pl-PL"/>
        </w:rPr>
        <w:t xml:space="preserve">iego </w:t>
      </w:r>
      <w:r w:rsidR="00B64C14">
        <w:rPr>
          <w:lang w:val="pl-PL"/>
        </w:rPr>
        <w:t>obowiązek odbycia</w:t>
      </w:r>
      <w:r w:rsidR="008B5585">
        <w:rPr>
          <w:lang w:val="pl-PL"/>
        </w:rPr>
        <w:t xml:space="preserve"> 20 godzin prac społecznie użytecznych</w:t>
      </w:r>
      <w:r w:rsidR="00507188">
        <w:rPr>
          <w:lang w:val="pl-PL"/>
        </w:rPr>
        <w:t>. Sąd oparł się na zeznaniach złożonych przez funkcjonariuszy policji obecnych na miejscu zdarzenia</w:t>
      </w:r>
      <w:r w:rsidR="00B76A96">
        <w:rPr>
          <w:lang w:val="pl-PL"/>
        </w:rPr>
        <w:t xml:space="preserve">, uznając je za logiczne i przekonujące. Sąd uwzględnił również pozostałe zeznania potwierdzające naruszenie porządku publicznego w okolicach baru „Bistro”, w tym zeznania kierowcy taksówki, kierowniczki baru oraz jego klientów. </w:t>
      </w:r>
      <w:r w:rsidR="00BB261F">
        <w:rPr>
          <w:lang w:val="pl-PL"/>
        </w:rPr>
        <w:t>S</w:t>
      </w:r>
      <w:r w:rsidR="00B76A96">
        <w:rPr>
          <w:lang w:val="pl-PL"/>
        </w:rPr>
        <w:t xml:space="preserve">ąd </w:t>
      </w:r>
      <w:r w:rsidR="00BB261F">
        <w:rPr>
          <w:lang w:val="pl-PL"/>
        </w:rPr>
        <w:t>nie uznał za wiarygodne zeznań</w:t>
      </w:r>
      <w:r w:rsidR="00B76A96">
        <w:rPr>
          <w:lang w:val="pl-PL"/>
        </w:rPr>
        <w:t xml:space="preserve"> skarżących, ich młodszego brata i przyjaciół w których zapewniali, że nie widzieli i nie uczestniczyli w zakłócaniu porządku publicznego.   </w:t>
      </w:r>
    </w:p>
    <w:p w:rsidR="00F061A3" w:rsidRPr="00CF70A1"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42</w:t>
      </w:r>
      <w:r>
        <w:fldChar w:fldCharType="end"/>
      </w:r>
      <w:r w:rsidR="00F061A3" w:rsidRPr="007450CF">
        <w:rPr>
          <w:lang w:val="pl-PL"/>
        </w:rPr>
        <w:t>.  </w:t>
      </w:r>
      <w:r w:rsidR="00CF70A1" w:rsidRPr="00CF70A1">
        <w:rPr>
          <w:lang w:val="pl-PL"/>
        </w:rPr>
        <w:t xml:space="preserve">Skarżący zaskarżyli to orzeczenie. </w:t>
      </w:r>
      <w:r w:rsidR="0010456C" w:rsidRPr="00CF70A1">
        <w:rPr>
          <w:lang w:val="pl-PL"/>
        </w:rPr>
        <w:t>Podnieśli</w:t>
      </w:r>
      <w:r w:rsidR="00CF70A1" w:rsidRPr="00CF70A1">
        <w:rPr>
          <w:lang w:val="pl-PL"/>
        </w:rPr>
        <w:t xml:space="preserve"> w szczególności, że ich uczestnictwo w </w:t>
      </w:r>
      <w:r w:rsidR="0010456C" w:rsidRPr="00CF70A1">
        <w:rPr>
          <w:lang w:val="pl-PL"/>
        </w:rPr>
        <w:t>zakłócaniu</w:t>
      </w:r>
      <w:r w:rsidR="00CF70A1" w:rsidRPr="00CF70A1">
        <w:rPr>
          <w:lang w:val="pl-PL"/>
        </w:rPr>
        <w:t xml:space="preserve"> porządku publicznego ni</w:t>
      </w:r>
      <w:r w:rsidR="00445F9B">
        <w:rPr>
          <w:lang w:val="pl-PL"/>
        </w:rPr>
        <w:t>e została potwierdzone</w:t>
      </w:r>
      <w:r w:rsidR="00CF70A1" w:rsidRPr="00CF70A1">
        <w:rPr>
          <w:lang w:val="pl-PL"/>
        </w:rPr>
        <w:t xml:space="preserve"> przez naocznych świadków oraz, że os</w:t>
      </w:r>
      <w:r w:rsidR="0010456C">
        <w:rPr>
          <w:lang w:val="pl-PL"/>
        </w:rPr>
        <w:t>karżenie opierało się jedynie na</w:t>
      </w:r>
      <w:r w:rsidR="00CF70A1" w:rsidRPr="00CF70A1">
        <w:rPr>
          <w:lang w:val="pl-PL"/>
        </w:rPr>
        <w:t xml:space="preserve"> zeznaniach policj</w:t>
      </w:r>
      <w:r w:rsidR="00CF70A1">
        <w:rPr>
          <w:lang w:val="pl-PL"/>
        </w:rPr>
        <w:t>antów</w:t>
      </w:r>
      <w:r w:rsidR="0010456C">
        <w:rPr>
          <w:lang w:val="pl-PL"/>
        </w:rPr>
        <w:t xml:space="preserve">. Wnieśli o dopuszczenie dowodu z nagrania z systemu monitoringu.  </w:t>
      </w:r>
    </w:p>
    <w:p w:rsidR="00F061A3" w:rsidRPr="0010456C" w:rsidRDefault="003001A7" w:rsidP="00F061A3">
      <w:pPr>
        <w:pStyle w:val="JuPara"/>
        <w:rPr>
          <w:lang w:val="pl-PL"/>
        </w:rPr>
      </w:pPr>
      <w:r>
        <w:fldChar w:fldCharType="begin"/>
      </w:r>
      <w:r w:rsidR="00F061A3" w:rsidRPr="0010456C">
        <w:rPr>
          <w:lang w:val="pl-PL"/>
        </w:rPr>
        <w:instrText xml:space="preserve"> SEQ level0 \*arabic </w:instrText>
      </w:r>
      <w:r>
        <w:fldChar w:fldCharType="separate"/>
      </w:r>
      <w:r w:rsidR="004E0BEB">
        <w:rPr>
          <w:noProof/>
          <w:lang w:val="pl-PL"/>
        </w:rPr>
        <w:t>43</w:t>
      </w:r>
      <w:r>
        <w:fldChar w:fldCharType="end"/>
      </w:r>
      <w:r w:rsidR="00F061A3" w:rsidRPr="0010456C">
        <w:rPr>
          <w:lang w:val="pl-PL"/>
        </w:rPr>
        <w:t>.  </w:t>
      </w:r>
      <w:r w:rsidR="0010456C">
        <w:rPr>
          <w:lang w:val="pl-PL"/>
        </w:rPr>
        <w:t>W dniu 23 sierpnia 2005 roku Sąd Okręgowy w Elblągu utrzymał w mocy wyrok wydany w dniu 6 maja 2005 roku.</w:t>
      </w:r>
    </w:p>
    <w:p w:rsidR="00F061A3" w:rsidRPr="0010456C" w:rsidRDefault="003001A7" w:rsidP="00F061A3">
      <w:pPr>
        <w:pStyle w:val="JuPara"/>
        <w:rPr>
          <w:lang w:val="pl-PL"/>
        </w:rPr>
      </w:pPr>
      <w:r>
        <w:fldChar w:fldCharType="begin"/>
      </w:r>
      <w:r w:rsidR="00F061A3" w:rsidRPr="0010456C">
        <w:rPr>
          <w:lang w:val="pl-PL"/>
        </w:rPr>
        <w:instrText xml:space="preserve"> SEQ level0 \*arabic </w:instrText>
      </w:r>
      <w:r>
        <w:fldChar w:fldCharType="separate"/>
      </w:r>
      <w:r w:rsidR="004E0BEB">
        <w:rPr>
          <w:noProof/>
          <w:lang w:val="pl-PL"/>
        </w:rPr>
        <w:t>44</w:t>
      </w:r>
      <w:r>
        <w:fldChar w:fldCharType="end"/>
      </w:r>
      <w:r w:rsidR="00F061A3" w:rsidRPr="0010456C">
        <w:rPr>
          <w:lang w:val="pl-PL"/>
        </w:rPr>
        <w:t>.  </w:t>
      </w:r>
      <w:r w:rsidR="0010456C">
        <w:rPr>
          <w:lang w:val="pl-PL"/>
        </w:rPr>
        <w:t xml:space="preserve">Skarżący </w:t>
      </w:r>
      <w:r w:rsidR="003D7C18">
        <w:rPr>
          <w:lang w:val="pl-PL"/>
        </w:rPr>
        <w:t>zażądali</w:t>
      </w:r>
      <w:r w:rsidR="00FE0C19">
        <w:rPr>
          <w:lang w:val="pl-PL"/>
        </w:rPr>
        <w:t xml:space="preserve"> </w:t>
      </w:r>
      <w:r w:rsidR="003D7C18">
        <w:rPr>
          <w:lang w:val="pl-PL"/>
        </w:rPr>
        <w:t xml:space="preserve">sporządzenia </w:t>
      </w:r>
      <w:r w:rsidR="0010456C">
        <w:rPr>
          <w:lang w:val="pl-PL"/>
        </w:rPr>
        <w:t>pisemnego uzasadnienia tego wyroku</w:t>
      </w:r>
      <w:r w:rsidR="00F061A3" w:rsidRPr="0010456C">
        <w:rPr>
          <w:lang w:val="pl-PL"/>
        </w:rPr>
        <w:t>.</w:t>
      </w:r>
      <w:r w:rsidR="0010456C">
        <w:rPr>
          <w:lang w:val="pl-PL"/>
        </w:rPr>
        <w:t xml:space="preserve"> Z akt sprawy wynika, że skarżący zostali poinformowani, że nie wymaga </w:t>
      </w:r>
      <w:r w:rsidR="00C14CA4">
        <w:rPr>
          <w:lang w:val="pl-PL"/>
        </w:rPr>
        <w:t xml:space="preserve">on </w:t>
      </w:r>
      <w:r w:rsidR="0010456C">
        <w:rPr>
          <w:lang w:val="pl-PL"/>
        </w:rPr>
        <w:t>uzasadnienia</w:t>
      </w:r>
      <w:r w:rsidR="00FE0C19">
        <w:rPr>
          <w:lang w:val="pl-PL"/>
        </w:rPr>
        <w:t>,</w:t>
      </w:r>
      <w:r w:rsidR="0010456C">
        <w:rPr>
          <w:lang w:val="pl-PL"/>
        </w:rPr>
        <w:t xml:space="preserve"> ponieważ </w:t>
      </w:r>
      <w:r w:rsidR="003D7C18">
        <w:rPr>
          <w:lang w:val="pl-PL"/>
        </w:rPr>
        <w:t xml:space="preserve">wyrok sądu pierwszej instancji został w całości utrzymany w mocy. </w:t>
      </w:r>
    </w:p>
    <w:p w:rsidR="00F061A3" w:rsidRPr="007450CF" w:rsidRDefault="00F061A3" w:rsidP="00F061A3">
      <w:pPr>
        <w:pStyle w:val="JuHa0"/>
        <w:rPr>
          <w:lang w:val="pl-PL"/>
        </w:rPr>
      </w:pPr>
      <w:r w:rsidRPr="007450CF">
        <w:rPr>
          <w:lang w:val="pl-PL"/>
        </w:rPr>
        <w:t>b)  </w:t>
      </w:r>
      <w:r w:rsidR="0010456C" w:rsidRPr="0010456C">
        <w:rPr>
          <w:lang w:val="pl-PL"/>
        </w:rPr>
        <w:t>Postępowanie</w:t>
      </w:r>
      <w:r w:rsidR="00A45034">
        <w:rPr>
          <w:lang w:val="pl-PL"/>
        </w:rPr>
        <w:t xml:space="preserve"> </w:t>
      </w:r>
      <w:r w:rsidR="0010456C" w:rsidRPr="0010456C">
        <w:rPr>
          <w:lang w:val="pl-PL"/>
        </w:rPr>
        <w:t>dotyczące</w:t>
      </w:r>
      <w:r w:rsidR="00A45034">
        <w:rPr>
          <w:lang w:val="pl-PL"/>
        </w:rPr>
        <w:t xml:space="preserve"> </w:t>
      </w:r>
      <w:r w:rsidR="0010456C" w:rsidRPr="0010456C">
        <w:rPr>
          <w:lang w:val="pl-PL"/>
        </w:rPr>
        <w:t>Zbigniewa</w:t>
      </w:r>
      <w:r w:rsidR="00A45034">
        <w:rPr>
          <w:lang w:val="pl-PL"/>
        </w:rPr>
        <w:t xml:space="preserve"> </w:t>
      </w:r>
      <w:r w:rsidR="0010456C" w:rsidRPr="0010456C">
        <w:rPr>
          <w:lang w:val="pl-PL"/>
        </w:rPr>
        <w:t>Tomaszewskiego</w:t>
      </w:r>
    </w:p>
    <w:p w:rsidR="00F061A3" w:rsidRPr="0010456C"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45</w:t>
      </w:r>
      <w:r>
        <w:fldChar w:fldCharType="end"/>
      </w:r>
      <w:r w:rsidR="00F061A3" w:rsidRPr="007450CF">
        <w:rPr>
          <w:lang w:val="pl-PL"/>
        </w:rPr>
        <w:t>.  </w:t>
      </w:r>
      <w:r w:rsidR="0010456C" w:rsidRPr="0010456C">
        <w:rPr>
          <w:lang w:val="pl-PL"/>
        </w:rPr>
        <w:t xml:space="preserve">We wcześniejszym okresie, w dniu 18 marca 2004 roku </w:t>
      </w:r>
      <w:r w:rsidR="00B2558C">
        <w:rPr>
          <w:lang w:val="pl-PL"/>
        </w:rPr>
        <w:t xml:space="preserve">przed Sądem Rodzinnym w Ostródzie zostało wszczęte przeciwko Zbigniewowi Tomaszewskiemu postępowanie o zakłócanie spokoju </w:t>
      </w:r>
      <w:r w:rsidR="004F1204">
        <w:rPr>
          <w:lang w:val="pl-PL"/>
        </w:rPr>
        <w:t>w miejscu publicznym</w:t>
      </w:r>
      <w:r w:rsidR="00B2558C">
        <w:rPr>
          <w:lang w:val="pl-PL"/>
        </w:rPr>
        <w:t xml:space="preserve">. </w:t>
      </w:r>
    </w:p>
    <w:p w:rsidR="00F061A3" w:rsidRPr="00B2558C"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46</w:t>
      </w:r>
      <w:r>
        <w:fldChar w:fldCharType="end"/>
      </w:r>
      <w:r w:rsidR="00F061A3" w:rsidRPr="007450CF">
        <w:rPr>
          <w:lang w:val="pl-PL"/>
        </w:rPr>
        <w:t>.  </w:t>
      </w:r>
      <w:r w:rsidR="00B2558C" w:rsidRPr="00B2558C">
        <w:rPr>
          <w:lang w:val="pl-PL"/>
        </w:rPr>
        <w:t xml:space="preserve">W dniu 10 września 2004 roku </w:t>
      </w:r>
      <w:r w:rsidR="00B2558C">
        <w:rPr>
          <w:lang w:val="pl-PL"/>
        </w:rPr>
        <w:t xml:space="preserve">wydano postanowienie o zamknięciu postępowania z uwagi na zgon wyżej wymienionego, który miał miejsce w dniu 17 sierpnia 2004 roku. </w:t>
      </w:r>
    </w:p>
    <w:p w:rsidR="00F061A3" w:rsidRPr="00B2558C"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47</w:t>
      </w:r>
      <w:r>
        <w:fldChar w:fldCharType="end"/>
      </w:r>
      <w:r w:rsidR="00F061A3" w:rsidRPr="007450CF">
        <w:rPr>
          <w:lang w:val="pl-PL"/>
        </w:rPr>
        <w:t>.  </w:t>
      </w:r>
      <w:r w:rsidR="00B2558C" w:rsidRPr="00B2558C">
        <w:rPr>
          <w:lang w:val="pl-PL"/>
        </w:rPr>
        <w:t>Pani Bożena Tomaszewska, matka Zbigniewa zaskarżyła postanowienie o z</w:t>
      </w:r>
      <w:r w:rsidR="00B2558C">
        <w:rPr>
          <w:lang w:val="pl-PL"/>
        </w:rPr>
        <w:t>a</w:t>
      </w:r>
      <w:r w:rsidR="00B2558C" w:rsidRPr="00B2558C">
        <w:rPr>
          <w:lang w:val="pl-PL"/>
        </w:rPr>
        <w:t>mknięciu</w:t>
      </w:r>
      <w:r w:rsidR="00B2558C">
        <w:rPr>
          <w:lang w:val="pl-PL"/>
        </w:rPr>
        <w:t xml:space="preserve"> z tego względu, że syn został pozbawiony możliwości uznania go za niewinnego </w:t>
      </w:r>
      <w:r w:rsidR="00AA75EE">
        <w:rPr>
          <w:lang w:val="pl-PL"/>
        </w:rPr>
        <w:t>zarzucanych mu czynów. Oświadczyła, że pragnie</w:t>
      </w:r>
      <w:r w:rsidR="009B38BC">
        <w:rPr>
          <w:lang w:val="pl-PL"/>
        </w:rPr>
        <w:t xml:space="preserve"> kontynuować postępowanie w własnym</w:t>
      </w:r>
      <w:r w:rsidR="00AA75EE">
        <w:rPr>
          <w:lang w:val="pl-PL"/>
        </w:rPr>
        <w:t xml:space="preserve"> imieniu. </w:t>
      </w:r>
    </w:p>
    <w:p w:rsidR="00F061A3" w:rsidRPr="00AA75EE" w:rsidRDefault="003001A7" w:rsidP="002F6242">
      <w:pPr>
        <w:pStyle w:val="JuPara"/>
        <w:spacing w:after="240"/>
        <w:rPr>
          <w:lang w:val="pl-PL"/>
        </w:rPr>
      </w:pPr>
      <w:r>
        <w:fldChar w:fldCharType="begin"/>
      </w:r>
      <w:r w:rsidR="00F061A3" w:rsidRPr="007450CF">
        <w:rPr>
          <w:lang w:val="pl-PL"/>
        </w:rPr>
        <w:instrText xml:space="preserve"> SEQ level0 \*arabic </w:instrText>
      </w:r>
      <w:r>
        <w:fldChar w:fldCharType="separate"/>
      </w:r>
      <w:r w:rsidR="004E0BEB">
        <w:rPr>
          <w:noProof/>
          <w:lang w:val="pl-PL"/>
        </w:rPr>
        <w:t>48</w:t>
      </w:r>
      <w:r>
        <w:fldChar w:fldCharType="end"/>
      </w:r>
      <w:r w:rsidR="00F061A3" w:rsidRPr="007450CF">
        <w:rPr>
          <w:lang w:val="pl-PL"/>
        </w:rPr>
        <w:t>.  </w:t>
      </w:r>
      <w:r w:rsidR="00AA75EE" w:rsidRPr="00AA75EE">
        <w:rPr>
          <w:lang w:val="pl-PL"/>
        </w:rPr>
        <w:t>W dniu 8 października 2004 roku Sąd Okręgowy w Elblągu o</w:t>
      </w:r>
      <w:r w:rsidR="00AA75EE">
        <w:rPr>
          <w:lang w:val="pl-PL"/>
        </w:rPr>
        <w:t xml:space="preserve">ddalił wniosek Pani Tomaszewskiej </w:t>
      </w:r>
      <w:r w:rsidR="00F02534">
        <w:rPr>
          <w:lang w:val="pl-PL"/>
        </w:rPr>
        <w:t>podnosząc</w:t>
      </w:r>
      <w:r w:rsidR="00AA75EE">
        <w:rPr>
          <w:lang w:val="pl-PL"/>
        </w:rPr>
        <w:t>, że przedmiotowe postępowanie n</w:t>
      </w:r>
      <w:r w:rsidR="00D43945">
        <w:rPr>
          <w:lang w:val="pl-PL"/>
        </w:rPr>
        <w:t>ie miało na celu rozstrzygnięcia</w:t>
      </w:r>
      <w:r w:rsidR="00AA75EE">
        <w:rPr>
          <w:lang w:val="pl-PL"/>
        </w:rPr>
        <w:t xml:space="preserve"> o winie małoletniego</w:t>
      </w:r>
      <w:r w:rsidR="009B38BC">
        <w:rPr>
          <w:lang w:val="pl-PL"/>
        </w:rPr>
        <w:t>,</w:t>
      </w:r>
      <w:r w:rsidR="00AA75EE">
        <w:rPr>
          <w:lang w:val="pl-PL"/>
        </w:rPr>
        <w:t xml:space="preserve"> a ustalenie czy powinny być powzięte wobec niego środki wychowawcze, medyczne czy </w:t>
      </w:r>
      <w:r w:rsidR="00F02534">
        <w:rPr>
          <w:lang w:val="pl-PL"/>
        </w:rPr>
        <w:t>poprawcz</w:t>
      </w:r>
      <w:r w:rsidR="00AA75EE">
        <w:rPr>
          <w:lang w:val="pl-PL"/>
        </w:rPr>
        <w:t>e.</w:t>
      </w:r>
      <w:r w:rsidR="000913FD">
        <w:rPr>
          <w:lang w:val="pl-PL"/>
        </w:rPr>
        <w:t xml:space="preserve"> Sąd stwierdził, że po śmierci małoletniego to postępowanie stało się bezprzedmiotowe i co za tym idzie nie mogło być dalej prowadzone.</w:t>
      </w:r>
    </w:p>
    <w:p w:rsidR="00F061A3" w:rsidRPr="000913FD" w:rsidRDefault="00F061A3" w:rsidP="00F061A3">
      <w:pPr>
        <w:pStyle w:val="JuHIRoman"/>
        <w:outlineLvl w:val="0"/>
        <w:rPr>
          <w:lang w:val="pl-PL"/>
        </w:rPr>
      </w:pPr>
      <w:r w:rsidRPr="000913FD">
        <w:rPr>
          <w:lang w:val="pl-PL"/>
        </w:rPr>
        <w:lastRenderedPageBreak/>
        <w:t>II.  </w:t>
      </w:r>
      <w:r w:rsidR="000913FD" w:rsidRPr="000913FD">
        <w:rPr>
          <w:lang w:val="pl-PL"/>
        </w:rPr>
        <w:t xml:space="preserve">WŁAŚCIWE PRAWO KRAJOWE I PRAKTYKA </w:t>
      </w:r>
    </w:p>
    <w:p w:rsidR="00F061A3" w:rsidRDefault="00F061A3" w:rsidP="00F061A3">
      <w:pPr>
        <w:pStyle w:val="JuHA"/>
      </w:pPr>
      <w:r w:rsidRPr="002B4F97">
        <w:t>A.  </w:t>
      </w:r>
      <w:r w:rsidR="000913FD">
        <w:t>Polska</w:t>
      </w:r>
      <w:r w:rsidR="00445F9B">
        <w:t xml:space="preserve"> </w:t>
      </w:r>
      <w:r w:rsidR="000913FD" w:rsidRPr="000913FD">
        <w:rPr>
          <w:lang w:val="pl-PL"/>
        </w:rPr>
        <w:t>Konstytucja</w:t>
      </w:r>
    </w:p>
    <w:p w:rsidR="00F061A3" w:rsidRPr="007D552D" w:rsidRDefault="000913FD" w:rsidP="00F061A3">
      <w:pPr>
        <w:pStyle w:val="JuHArticle"/>
        <w:rPr>
          <w:lang w:eastAsia="en-GB"/>
        </w:rPr>
      </w:pPr>
      <w:r w:rsidRPr="004226CF">
        <w:rPr>
          <w:lang w:val="pl-PL" w:eastAsia="en-GB"/>
        </w:rPr>
        <w:t>Artykuł</w:t>
      </w:r>
      <w:r w:rsidR="00F061A3" w:rsidRPr="007D552D">
        <w:rPr>
          <w:lang w:eastAsia="en-GB"/>
        </w:rPr>
        <w:t xml:space="preserve"> 31</w:t>
      </w:r>
    </w:p>
    <w:p w:rsidR="000913FD" w:rsidRPr="000913FD" w:rsidRDefault="000913FD" w:rsidP="000913FD">
      <w:pPr>
        <w:numPr>
          <w:ilvl w:val="0"/>
          <w:numId w:val="6"/>
        </w:numPr>
        <w:suppressAutoHyphens w:val="0"/>
        <w:spacing w:before="100" w:beforeAutospacing="1" w:after="100" w:afterAutospacing="1"/>
        <w:jc w:val="both"/>
        <w:rPr>
          <w:sz w:val="20"/>
          <w:lang w:val="pl-PL"/>
        </w:rPr>
      </w:pPr>
      <w:r w:rsidRPr="000913FD">
        <w:rPr>
          <w:sz w:val="20"/>
          <w:lang w:val="pl-PL"/>
        </w:rPr>
        <w:t>Wolność człowieka podlega ochronie prawnej.</w:t>
      </w:r>
    </w:p>
    <w:p w:rsidR="000913FD" w:rsidRPr="000913FD" w:rsidRDefault="000913FD" w:rsidP="000913FD">
      <w:pPr>
        <w:numPr>
          <w:ilvl w:val="0"/>
          <w:numId w:val="6"/>
        </w:numPr>
        <w:suppressAutoHyphens w:val="0"/>
        <w:spacing w:before="100" w:beforeAutospacing="1" w:after="100" w:afterAutospacing="1"/>
        <w:jc w:val="both"/>
        <w:rPr>
          <w:sz w:val="20"/>
          <w:lang w:val="pl-PL"/>
        </w:rPr>
      </w:pPr>
      <w:r w:rsidRPr="000913FD">
        <w:rPr>
          <w:sz w:val="20"/>
          <w:lang w:val="pl-PL"/>
        </w:rPr>
        <w:t>Każdy jest obowiązany szanować wolności i prawa innych. Nikogo nie wolno zmuszać do czynienia tego, czego prawo mu nie nakazuje.</w:t>
      </w:r>
    </w:p>
    <w:p w:rsidR="000913FD" w:rsidRPr="000913FD" w:rsidRDefault="000913FD" w:rsidP="000913FD">
      <w:pPr>
        <w:numPr>
          <w:ilvl w:val="0"/>
          <w:numId w:val="6"/>
        </w:numPr>
        <w:suppressAutoHyphens w:val="0"/>
        <w:spacing w:before="100" w:beforeAutospacing="1" w:after="100" w:afterAutospacing="1"/>
        <w:jc w:val="both"/>
        <w:rPr>
          <w:sz w:val="20"/>
        </w:rPr>
      </w:pPr>
      <w:r w:rsidRPr="000913FD">
        <w:rPr>
          <w:sz w:val="20"/>
          <w:lang w:val="pl-PL"/>
        </w:rPr>
        <w:t>Ograniczenia w zakresie korzystania z konstytucyjnych wolności i praw mogą być ustanawiane tylko w ustawie i tylko wtedy, gdy są konieczne w demokratycznym państwie dla jego bezpieczeństwa lub porządku publicznego, bądź dla ochrony środowiska, zdrowia i moralności publicznej, albo wolności i praw innych osób. Ograniczenia</w:t>
      </w:r>
      <w:r w:rsidRPr="000913FD">
        <w:rPr>
          <w:sz w:val="20"/>
        </w:rPr>
        <w:t xml:space="preserve"> te nie </w:t>
      </w:r>
      <w:r w:rsidRPr="000913FD">
        <w:rPr>
          <w:sz w:val="20"/>
          <w:lang w:val="pl-PL"/>
        </w:rPr>
        <w:t>mogą</w:t>
      </w:r>
      <w:r w:rsidR="00A45034">
        <w:rPr>
          <w:sz w:val="20"/>
          <w:lang w:val="pl-PL"/>
        </w:rPr>
        <w:t xml:space="preserve"> </w:t>
      </w:r>
      <w:r w:rsidRPr="000913FD">
        <w:rPr>
          <w:sz w:val="20"/>
          <w:lang w:val="pl-PL"/>
        </w:rPr>
        <w:t>naruszać</w:t>
      </w:r>
      <w:r w:rsidR="00A45034">
        <w:rPr>
          <w:sz w:val="20"/>
          <w:lang w:val="pl-PL"/>
        </w:rPr>
        <w:t xml:space="preserve"> </w:t>
      </w:r>
      <w:r w:rsidRPr="000913FD">
        <w:rPr>
          <w:sz w:val="20"/>
          <w:lang w:val="pl-PL"/>
        </w:rPr>
        <w:t>istoty</w:t>
      </w:r>
      <w:r w:rsidR="00A45034">
        <w:rPr>
          <w:sz w:val="20"/>
          <w:lang w:val="pl-PL"/>
        </w:rPr>
        <w:t xml:space="preserve"> </w:t>
      </w:r>
      <w:r w:rsidRPr="000913FD">
        <w:rPr>
          <w:sz w:val="20"/>
          <w:lang w:val="pl-PL"/>
        </w:rPr>
        <w:t>wolności</w:t>
      </w:r>
      <w:r w:rsidRPr="000913FD">
        <w:rPr>
          <w:sz w:val="20"/>
        </w:rPr>
        <w:t xml:space="preserve"> i </w:t>
      </w:r>
      <w:r w:rsidRPr="000913FD">
        <w:rPr>
          <w:sz w:val="20"/>
          <w:lang w:val="pl-PL"/>
        </w:rPr>
        <w:t>praw</w:t>
      </w:r>
      <w:r w:rsidRPr="000913FD">
        <w:rPr>
          <w:sz w:val="20"/>
        </w:rPr>
        <w:t>.</w:t>
      </w:r>
    </w:p>
    <w:p w:rsidR="00F061A3" w:rsidRPr="00F75D01" w:rsidRDefault="000913FD" w:rsidP="00F061A3">
      <w:pPr>
        <w:pStyle w:val="JuHArticle"/>
        <w:rPr>
          <w:lang w:eastAsia="en-GB"/>
        </w:rPr>
      </w:pPr>
      <w:r w:rsidRPr="000913FD">
        <w:rPr>
          <w:lang w:val="pl-PL" w:eastAsia="en-GB"/>
        </w:rPr>
        <w:t>Artykuł</w:t>
      </w:r>
      <w:r w:rsidR="00F061A3" w:rsidRPr="00F75D01">
        <w:rPr>
          <w:lang w:eastAsia="en-GB"/>
        </w:rPr>
        <w:t xml:space="preserve"> 41</w:t>
      </w:r>
    </w:p>
    <w:p w:rsidR="000913FD" w:rsidRPr="000913FD" w:rsidRDefault="000913FD" w:rsidP="000913FD">
      <w:pPr>
        <w:numPr>
          <w:ilvl w:val="0"/>
          <w:numId w:val="7"/>
        </w:numPr>
        <w:suppressAutoHyphens w:val="0"/>
        <w:spacing w:before="100" w:beforeAutospacing="1" w:after="100" w:afterAutospacing="1"/>
        <w:jc w:val="both"/>
        <w:rPr>
          <w:sz w:val="20"/>
          <w:lang w:val="pl-PL"/>
        </w:rPr>
      </w:pPr>
      <w:r w:rsidRPr="000913FD">
        <w:rPr>
          <w:sz w:val="20"/>
          <w:lang w:val="pl-PL"/>
        </w:rPr>
        <w:t>Każdemu zapewnia się nietykalność osobistą i wolność osobistą. Pozbawienie lub ograniczenie wolności może nastąpić tylko na zasadach i w trybie określonych w ustawie.</w:t>
      </w:r>
    </w:p>
    <w:p w:rsidR="000913FD" w:rsidRPr="000913FD" w:rsidRDefault="000913FD" w:rsidP="000913FD">
      <w:pPr>
        <w:numPr>
          <w:ilvl w:val="0"/>
          <w:numId w:val="7"/>
        </w:numPr>
        <w:suppressAutoHyphens w:val="0"/>
        <w:spacing w:before="100" w:beforeAutospacing="1" w:after="100" w:afterAutospacing="1"/>
        <w:jc w:val="both"/>
        <w:rPr>
          <w:sz w:val="20"/>
          <w:lang w:val="pl-PL"/>
        </w:rPr>
      </w:pPr>
      <w:r w:rsidRPr="000913FD">
        <w:rPr>
          <w:sz w:val="20"/>
          <w:lang w:val="pl-PL"/>
        </w:rPr>
        <w:t>Każdy pozbawiony wolności nie na podstawie wyroku sądowego ma prawo odwołania się do sądu w celu niezwłocznego ustalenia legalności tego pozbawienia. O pozbawieniu wolności powiadamia się niezwłocznie rodzinę lub osobę wskazaną przez pozbawionego wolności.</w:t>
      </w:r>
    </w:p>
    <w:p w:rsidR="000913FD" w:rsidRPr="000913FD" w:rsidRDefault="000913FD" w:rsidP="000913FD">
      <w:pPr>
        <w:numPr>
          <w:ilvl w:val="0"/>
          <w:numId w:val="7"/>
        </w:numPr>
        <w:suppressAutoHyphens w:val="0"/>
        <w:spacing w:before="100" w:beforeAutospacing="1" w:after="100" w:afterAutospacing="1"/>
        <w:jc w:val="both"/>
        <w:rPr>
          <w:sz w:val="20"/>
          <w:lang w:val="pl-PL"/>
        </w:rPr>
      </w:pPr>
      <w:r w:rsidRPr="000913FD">
        <w:rPr>
          <w:sz w:val="20"/>
          <w:lang w:val="pl-PL"/>
        </w:rPr>
        <w:t>Każdy zatrzymany powinien być niezwłocznie i w sposób zrozumiały dla niego poinformowany o przyczynach zatrzymania. Powinien on być w ciągu 48 godzin od chwili zatrzymania przekazany do dyspozycji sądu. Zatrzymanego należy zwolnić, jeżeli w ciągu 24 godzin od przekazania do dyspozycji sądu nie zostanie mu doręczone postanowienie sądu o tymczasowym aresztowaniu wraz z przedstawionymi zarzutami.</w:t>
      </w:r>
    </w:p>
    <w:p w:rsidR="000913FD" w:rsidRPr="000913FD" w:rsidRDefault="000913FD" w:rsidP="000913FD">
      <w:pPr>
        <w:numPr>
          <w:ilvl w:val="0"/>
          <w:numId w:val="7"/>
        </w:numPr>
        <w:suppressAutoHyphens w:val="0"/>
        <w:spacing w:before="100" w:beforeAutospacing="1" w:after="100" w:afterAutospacing="1"/>
        <w:jc w:val="both"/>
        <w:rPr>
          <w:sz w:val="20"/>
          <w:lang w:val="pl-PL"/>
        </w:rPr>
      </w:pPr>
      <w:r w:rsidRPr="000913FD">
        <w:rPr>
          <w:sz w:val="20"/>
          <w:lang w:val="pl-PL"/>
        </w:rPr>
        <w:t>Każdy pozbawiony wolności powinien być traktowany w sposób humanitarny.</w:t>
      </w:r>
    </w:p>
    <w:p w:rsidR="000913FD" w:rsidRPr="000913FD" w:rsidRDefault="000913FD" w:rsidP="000913FD">
      <w:pPr>
        <w:numPr>
          <w:ilvl w:val="0"/>
          <w:numId w:val="7"/>
        </w:numPr>
        <w:suppressAutoHyphens w:val="0"/>
        <w:spacing w:before="100" w:beforeAutospacing="1" w:after="100" w:afterAutospacing="1"/>
        <w:jc w:val="both"/>
        <w:rPr>
          <w:sz w:val="20"/>
          <w:lang w:val="pl-PL"/>
        </w:rPr>
      </w:pPr>
      <w:r w:rsidRPr="000913FD">
        <w:rPr>
          <w:sz w:val="20"/>
          <w:lang w:val="pl-PL"/>
        </w:rPr>
        <w:t>Każdy bezprawnie pozbawiony wolności ma prawo do odszkodowania.</w:t>
      </w:r>
    </w:p>
    <w:p w:rsidR="00F061A3" w:rsidRPr="00016D23" w:rsidRDefault="000913FD" w:rsidP="00F061A3">
      <w:pPr>
        <w:suppressAutoHyphens w:val="0"/>
        <w:spacing w:before="100" w:beforeAutospacing="1" w:after="100" w:afterAutospacing="1"/>
        <w:jc w:val="center"/>
        <w:rPr>
          <w:b/>
          <w:bCs/>
          <w:color w:val="000000"/>
          <w:sz w:val="20"/>
          <w:lang w:eastAsia="en-US"/>
        </w:rPr>
      </w:pPr>
      <w:r w:rsidRPr="000913FD">
        <w:rPr>
          <w:b/>
          <w:bCs/>
          <w:iCs/>
          <w:color w:val="000000"/>
          <w:sz w:val="20"/>
          <w:lang w:val="pl-PL" w:eastAsia="en-US"/>
        </w:rPr>
        <w:t>Artykuł</w:t>
      </w:r>
      <w:r w:rsidR="00F061A3" w:rsidRPr="00016D23">
        <w:rPr>
          <w:b/>
          <w:bCs/>
          <w:iCs/>
          <w:color w:val="000000"/>
          <w:sz w:val="20"/>
          <w:lang w:eastAsia="en-US"/>
        </w:rPr>
        <w:t xml:space="preserve"> 77</w:t>
      </w:r>
    </w:p>
    <w:p w:rsidR="000913FD" w:rsidRPr="000913FD" w:rsidRDefault="000913FD" w:rsidP="000913FD">
      <w:pPr>
        <w:numPr>
          <w:ilvl w:val="0"/>
          <w:numId w:val="8"/>
        </w:numPr>
        <w:suppressAutoHyphens w:val="0"/>
        <w:spacing w:before="100" w:beforeAutospacing="1" w:after="100" w:afterAutospacing="1"/>
        <w:jc w:val="both"/>
        <w:rPr>
          <w:sz w:val="20"/>
          <w:lang w:val="pl-PL"/>
        </w:rPr>
      </w:pPr>
      <w:r w:rsidRPr="000913FD">
        <w:rPr>
          <w:sz w:val="20"/>
          <w:lang w:val="pl-PL"/>
        </w:rPr>
        <w:t>Każdy ma prawo do wynagrodzenia szkody, jaka została mu wyrządzona przez niezgodne z prawem działanie organu władzy publicznej.</w:t>
      </w:r>
    </w:p>
    <w:p w:rsidR="000913FD" w:rsidRPr="000913FD" w:rsidRDefault="000913FD" w:rsidP="000913FD">
      <w:pPr>
        <w:numPr>
          <w:ilvl w:val="0"/>
          <w:numId w:val="8"/>
        </w:numPr>
        <w:suppressAutoHyphens w:val="0"/>
        <w:spacing w:before="100" w:beforeAutospacing="1" w:after="100" w:afterAutospacing="1"/>
        <w:jc w:val="both"/>
        <w:rPr>
          <w:sz w:val="20"/>
          <w:lang w:val="pl-PL"/>
        </w:rPr>
      </w:pPr>
      <w:r w:rsidRPr="000913FD">
        <w:rPr>
          <w:sz w:val="20"/>
          <w:lang w:val="pl-PL"/>
        </w:rPr>
        <w:t>Ustawa nie może nikomu zamykać drogi sądowej dochodzenia naruszonych wolności lub praw.</w:t>
      </w:r>
    </w:p>
    <w:p w:rsidR="00F061A3" w:rsidRPr="000913FD" w:rsidRDefault="00F061A3" w:rsidP="00F061A3">
      <w:pPr>
        <w:pStyle w:val="JuHA"/>
        <w:rPr>
          <w:lang w:val="pl-PL"/>
        </w:rPr>
      </w:pPr>
      <w:r w:rsidRPr="000913FD">
        <w:rPr>
          <w:lang w:val="pl-PL"/>
        </w:rPr>
        <w:t>B.  Ustawa o Policji</w:t>
      </w:r>
      <w:r w:rsidR="000913FD" w:rsidRPr="000913FD">
        <w:rPr>
          <w:lang w:val="pl-PL"/>
        </w:rPr>
        <w:t xml:space="preserve"> z 1990 roku</w:t>
      </w:r>
    </w:p>
    <w:p w:rsidR="002F6242" w:rsidRPr="00CB3F5F" w:rsidRDefault="003001A7" w:rsidP="002F6242">
      <w:pPr>
        <w:pStyle w:val="JuPara"/>
        <w:rPr>
          <w:szCs w:val="24"/>
          <w:lang w:val="pl-PL"/>
        </w:rPr>
      </w:pPr>
      <w:r>
        <w:fldChar w:fldCharType="begin"/>
      </w:r>
      <w:r w:rsidR="00F061A3" w:rsidRPr="002F6242">
        <w:rPr>
          <w:lang w:val="pl-PL"/>
        </w:rPr>
        <w:instrText xml:space="preserve"> SEQ level0 \*arabic </w:instrText>
      </w:r>
      <w:r>
        <w:fldChar w:fldCharType="separate"/>
      </w:r>
      <w:r w:rsidR="004E0BEB">
        <w:rPr>
          <w:noProof/>
          <w:lang w:val="pl-PL"/>
        </w:rPr>
        <w:t>49</w:t>
      </w:r>
      <w:r>
        <w:fldChar w:fldCharType="end"/>
      </w:r>
      <w:r w:rsidR="00F061A3" w:rsidRPr="002F6242">
        <w:rPr>
          <w:lang w:val="pl-PL"/>
        </w:rPr>
        <w:t>.  </w:t>
      </w:r>
      <w:r w:rsidR="002F6242" w:rsidRPr="00CB3F5F">
        <w:rPr>
          <w:szCs w:val="24"/>
          <w:lang w:val="pl-PL"/>
        </w:rPr>
        <w:t xml:space="preserve">Artykuł 14 ustęp 1 Ustawy o Policji </w:t>
      </w:r>
      <w:r w:rsidR="009422B4">
        <w:rPr>
          <w:szCs w:val="24"/>
          <w:lang w:val="pl-PL"/>
        </w:rPr>
        <w:t xml:space="preserve">z 1990 roku </w:t>
      </w:r>
      <w:r w:rsidR="002F6242" w:rsidRPr="00CB3F5F">
        <w:rPr>
          <w:szCs w:val="24"/>
          <w:lang w:val="pl-PL"/>
        </w:rPr>
        <w:t>stanowi, że w granicach swych zadań Policja w celu rozpozna</w:t>
      </w:r>
      <w:r w:rsidR="003856B5">
        <w:rPr>
          <w:szCs w:val="24"/>
          <w:lang w:val="pl-PL"/>
        </w:rPr>
        <w:t xml:space="preserve">wania, </w:t>
      </w:r>
      <w:r w:rsidR="00D434D3">
        <w:rPr>
          <w:szCs w:val="24"/>
          <w:lang w:val="pl-PL"/>
        </w:rPr>
        <w:t>zapobiegania</w:t>
      </w:r>
      <w:r w:rsidR="003856B5">
        <w:rPr>
          <w:szCs w:val="24"/>
          <w:lang w:val="pl-PL"/>
        </w:rPr>
        <w:t xml:space="preserve"> i wykrywania</w:t>
      </w:r>
      <w:r w:rsidR="00A45034">
        <w:rPr>
          <w:szCs w:val="24"/>
          <w:lang w:val="pl-PL"/>
        </w:rPr>
        <w:t xml:space="preserve"> </w:t>
      </w:r>
      <w:r w:rsidR="003856B5">
        <w:rPr>
          <w:szCs w:val="24"/>
          <w:lang w:val="pl-PL"/>
        </w:rPr>
        <w:t xml:space="preserve">przestępstw </w:t>
      </w:r>
      <w:r w:rsidR="002F6242" w:rsidRPr="00CB3F5F">
        <w:rPr>
          <w:szCs w:val="24"/>
          <w:lang w:val="pl-PL"/>
        </w:rPr>
        <w:t>wykonuje czynności: operacyjno-rozpoznawcze, dochodzeniowo-śledcze i administracyjno-porządkowe.</w:t>
      </w:r>
    </w:p>
    <w:p w:rsidR="002F6242" w:rsidRPr="00CB3F5F" w:rsidRDefault="003001A7" w:rsidP="00F061A3">
      <w:pPr>
        <w:pStyle w:val="JuPara"/>
        <w:rPr>
          <w:szCs w:val="24"/>
          <w:lang w:val="pl-PL"/>
        </w:rPr>
      </w:pPr>
      <w:r w:rsidRPr="00CB3F5F">
        <w:rPr>
          <w:szCs w:val="24"/>
        </w:rPr>
        <w:fldChar w:fldCharType="begin"/>
      </w:r>
      <w:r w:rsidR="00F061A3" w:rsidRPr="00CB3F5F">
        <w:rPr>
          <w:szCs w:val="24"/>
          <w:lang w:val="pl-PL"/>
        </w:rPr>
        <w:instrText xml:space="preserve"> SEQ level0 \*arabic </w:instrText>
      </w:r>
      <w:r w:rsidRPr="00CB3F5F">
        <w:rPr>
          <w:szCs w:val="24"/>
        </w:rPr>
        <w:fldChar w:fldCharType="separate"/>
      </w:r>
      <w:r w:rsidR="004E0BEB">
        <w:rPr>
          <w:noProof/>
          <w:szCs w:val="24"/>
          <w:lang w:val="pl-PL"/>
        </w:rPr>
        <w:t>50</w:t>
      </w:r>
      <w:r w:rsidRPr="00CB3F5F">
        <w:rPr>
          <w:szCs w:val="24"/>
        </w:rPr>
        <w:fldChar w:fldCharType="end"/>
      </w:r>
      <w:r w:rsidR="00F061A3" w:rsidRPr="00CB3F5F">
        <w:rPr>
          <w:szCs w:val="24"/>
          <w:lang w:val="pl-PL"/>
        </w:rPr>
        <w:t>.</w:t>
      </w:r>
      <w:r w:rsidR="002F6242" w:rsidRPr="00CB3F5F">
        <w:rPr>
          <w:szCs w:val="24"/>
          <w:lang w:val="pl-PL"/>
        </w:rPr>
        <w:t xml:space="preserve"> Artykuł 15 ustęp 1 ustawy przewiduje, że w zakresie czynności wskazanych w artykule 14 policjanci mają, między innymi, prawo do legitymowania osób w celu ustalenia ich tożsamości (punkt 1), oraz do </w:t>
      </w:r>
      <w:r w:rsidR="002F6242" w:rsidRPr="00CB3F5F">
        <w:rPr>
          <w:szCs w:val="24"/>
          <w:lang w:val="pl-PL"/>
        </w:rPr>
        <w:lastRenderedPageBreak/>
        <w:t>zatrzymywania osób w trybie i przypadkach określonych w przepisach Kodeksu postępowania karnego i innych ustaw (punkt 2).</w:t>
      </w:r>
      <w:r w:rsidR="00F061A3" w:rsidRPr="00CB3F5F">
        <w:rPr>
          <w:szCs w:val="24"/>
          <w:lang w:val="pl-PL"/>
        </w:rPr>
        <w:t>  </w:t>
      </w:r>
    </w:p>
    <w:p w:rsidR="002F6242" w:rsidRPr="00CB3F5F" w:rsidRDefault="003001A7" w:rsidP="00F061A3">
      <w:pPr>
        <w:pStyle w:val="JuPara"/>
        <w:rPr>
          <w:szCs w:val="24"/>
          <w:lang w:val="pl-PL"/>
        </w:rPr>
      </w:pPr>
      <w:r w:rsidRPr="00CB3F5F">
        <w:rPr>
          <w:szCs w:val="24"/>
        </w:rPr>
        <w:fldChar w:fldCharType="begin"/>
      </w:r>
      <w:r w:rsidR="00F061A3" w:rsidRPr="00CB3F5F">
        <w:rPr>
          <w:szCs w:val="24"/>
          <w:lang w:val="pl-PL"/>
        </w:rPr>
        <w:instrText xml:space="preserve"> SEQ level0 \*arabic </w:instrText>
      </w:r>
      <w:r w:rsidRPr="00CB3F5F">
        <w:rPr>
          <w:szCs w:val="24"/>
        </w:rPr>
        <w:fldChar w:fldCharType="separate"/>
      </w:r>
      <w:r w:rsidR="004E0BEB">
        <w:rPr>
          <w:noProof/>
          <w:szCs w:val="24"/>
          <w:lang w:val="pl-PL"/>
        </w:rPr>
        <w:t>51</w:t>
      </w:r>
      <w:r w:rsidRPr="00CB3F5F">
        <w:rPr>
          <w:szCs w:val="24"/>
        </w:rPr>
        <w:fldChar w:fldCharType="end"/>
      </w:r>
      <w:r w:rsidR="00F061A3" w:rsidRPr="00CB3F5F">
        <w:rPr>
          <w:szCs w:val="24"/>
          <w:lang w:val="pl-PL"/>
        </w:rPr>
        <w:t>.  </w:t>
      </w:r>
      <w:r w:rsidR="002F6242" w:rsidRPr="00CB3F5F">
        <w:rPr>
          <w:szCs w:val="24"/>
          <w:lang w:val="pl-PL"/>
        </w:rPr>
        <w:t xml:space="preserve">Zgodnie z artykułem 15 ustęp 1 punkt 2a) i 3 policja ma prawo </w:t>
      </w:r>
      <w:r w:rsidR="003856B5">
        <w:rPr>
          <w:szCs w:val="24"/>
          <w:lang w:val="pl-PL"/>
        </w:rPr>
        <w:t xml:space="preserve">do </w:t>
      </w:r>
      <w:r w:rsidR="0060327E">
        <w:rPr>
          <w:szCs w:val="24"/>
          <w:lang w:val="pl-PL"/>
        </w:rPr>
        <w:t>zatrzym</w:t>
      </w:r>
      <w:r w:rsidR="00A56F6B" w:rsidRPr="00CB3F5F">
        <w:rPr>
          <w:szCs w:val="24"/>
          <w:lang w:val="pl-PL"/>
        </w:rPr>
        <w:t>ania osoby pozbawionej</w:t>
      </w:r>
      <w:r w:rsidR="002F6242" w:rsidRPr="00CB3F5F">
        <w:rPr>
          <w:szCs w:val="24"/>
          <w:lang w:val="pl-PL"/>
        </w:rPr>
        <w:t xml:space="preserve"> wolnoś</w:t>
      </w:r>
      <w:r w:rsidR="00A56F6B" w:rsidRPr="00CB3F5F">
        <w:rPr>
          <w:szCs w:val="24"/>
          <w:lang w:val="pl-PL"/>
        </w:rPr>
        <w:t>ci, która</w:t>
      </w:r>
      <w:r w:rsidR="000F1EEF">
        <w:rPr>
          <w:szCs w:val="24"/>
          <w:lang w:val="pl-PL"/>
        </w:rPr>
        <w:t xml:space="preserve"> zbiegła</w:t>
      </w:r>
      <w:r w:rsidR="00A56F6B" w:rsidRPr="00CB3F5F">
        <w:rPr>
          <w:szCs w:val="24"/>
          <w:lang w:val="pl-PL"/>
        </w:rPr>
        <w:t xml:space="preserve"> z</w:t>
      </w:r>
      <w:r w:rsidR="00916CF1">
        <w:rPr>
          <w:szCs w:val="24"/>
          <w:lang w:val="pl-PL"/>
        </w:rPr>
        <w:t xml:space="preserve"> </w:t>
      </w:r>
      <w:r w:rsidR="0060327E">
        <w:rPr>
          <w:szCs w:val="24"/>
          <w:lang w:val="pl-PL"/>
        </w:rPr>
        <w:t>miejsca osadzenia lub osoby stwarzającej</w:t>
      </w:r>
      <w:r w:rsidR="00A56F6B" w:rsidRPr="00CB3F5F">
        <w:rPr>
          <w:szCs w:val="24"/>
          <w:lang w:val="pl-PL"/>
        </w:rPr>
        <w:t xml:space="preserve"> bezpośrednie zagrożenie dla życia lub zdrowi</w:t>
      </w:r>
      <w:r w:rsidR="00A82FDC">
        <w:rPr>
          <w:szCs w:val="24"/>
          <w:lang w:val="pl-PL"/>
        </w:rPr>
        <w:t>a ludzkiego, a także dla mienia.</w:t>
      </w:r>
    </w:p>
    <w:p w:rsidR="00A56F6B" w:rsidRPr="00CB3F5F" w:rsidRDefault="003001A7" w:rsidP="00F061A3">
      <w:pPr>
        <w:pStyle w:val="JuPara"/>
        <w:rPr>
          <w:szCs w:val="24"/>
          <w:lang w:val="pl-PL"/>
        </w:rPr>
      </w:pPr>
      <w:r w:rsidRPr="00CB3F5F">
        <w:rPr>
          <w:szCs w:val="24"/>
        </w:rPr>
        <w:fldChar w:fldCharType="begin"/>
      </w:r>
      <w:r w:rsidR="00F061A3" w:rsidRPr="00CB3F5F">
        <w:rPr>
          <w:szCs w:val="24"/>
          <w:lang w:val="pl-PL"/>
        </w:rPr>
        <w:instrText xml:space="preserve"> SEQ level0 \*arabic </w:instrText>
      </w:r>
      <w:r w:rsidRPr="00CB3F5F">
        <w:rPr>
          <w:szCs w:val="24"/>
        </w:rPr>
        <w:fldChar w:fldCharType="separate"/>
      </w:r>
      <w:r w:rsidR="004E0BEB">
        <w:rPr>
          <w:noProof/>
          <w:szCs w:val="24"/>
          <w:lang w:val="pl-PL"/>
        </w:rPr>
        <w:t>52</w:t>
      </w:r>
      <w:r w:rsidRPr="00CB3F5F">
        <w:rPr>
          <w:szCs w:val="24"/>
        </w:rPr>
        <w:fldChar w:fldCharType="end"/>
      </w:r>
      <w:r w:rsidR="00F061A3" w:rsidRPr="00CB3F5F">
        <w:rPr>
          <w:szCs w:val="24"/>
          <w:lang w:val="pl-PL"/>
        </w:rPr>
        <w:t>.  </w:t>
      </w:r>
      <w:r w:rsidR="00A56F6B" w:rsidRPr="00CB3F5F">
        <w:rPr>
          <w:szCs w:val="24"/>
          <w:lang w:val="pl-PL"/>
        </w:rPr>
        <w:t>Na mocy artykułu 15 ustęp 1 punkt 5 policja może dokonywać kontroli osobistej</w:t>
      </w:r>
      <w:r w:rsidR="00CB3F5F" w:rsidRPr="00CB3F5F">
        <w:rPr>
          <w:szCs w:val="24"/>
          <w:lang w:val="pl-PL"/>
        </w:rPr>
        <w:t xml:space="preserve"> w razi</w:t>
      </w:r>
      <w:r w:rsidR="00CB3F5F">
        <w:rPr>
          <w:szCs w:val="24"/>
          <w:lang w:val="pl-PL"/>
        </w:rPr>
        <w:t>e istnienia uzasadnionego podej</w:t>
      </w:r>
      <w:r w:rsidR="00CB3F5F" w:rsidRPr="00CB3F5F">
        <w:rPr>
          <w:szCs w:val="24"/>
          <w:lang w:val="pl-PL"/>
        </w:rPr>
        <w:t>rzenia popeł</w:t>
      </w:r>
      <w:r w:rsidR="00CB3F5F">
        <w:rPr>
          <w:szCs w:val="24"/>
          <w:lang w:val="pl-PL"/>
        </w:rPr>
        <w:t>nienia czynu zabronionego.</w:t>
      </w:r>
    </w:p>
    <w:p w:rsidR="00CB3F5F" w:rsidRPr="00CB3F5F" w:rsidRDefault="003001A7" w:rsidP="00F061A3">
      <w:pPr>
        <w:pStyle w:val="JuPara"/>
        <w:rPr>
          <w:szCs w:val="24"/>
          <w:lang w:val="pl-PL"/>
        </w:rPr>
      </w:pPr>
      <w:r>
        <w:fldChar w:fldCharType="begin"/>
      </w:r>
      <w:r w:rsidR="00F061A3" w:rsidRPr="00CB3F5F">
        <w:rPr>
          <w:lang w:val="pl-PL"/>
        </w:rPr>
        <w:instrText xml:space="preserve"> SEQ level0 \*arabic </w:instrText>
      </w:r>
      <w:r>
        <w:fldChar w:fldCharType="separate"/>
      </w:r>
      <w:r w:rsidR="004E0BEB">
        <w:rPr>
          <w:noProof/>
          <w:lang w:val="pl-PL"/>
        </w:rPr>
        <w:t>53</w:t>
      </w:r>
      <w:r>
        <w:fldChar w:fldCharType="end"/>
      </w:r>
      <w:r w:rsidR="00F061A3" w:rsidRPr="00CB3F5F">
        <w:rPr>
          <w:lang w:val="pl-PL"/>
        </w:rPr>
        <w:t>.  </w:t>
      </w:r>
      <w:r w:rsidR="00CB3F5F" w:rsidRPr="00CB3F5F">
        <w:rPr>
          <w:lang w:val="pl-PL"/>
        </w:rPr>
        <w:t xml:space="preserve">Zgodnie z artykułem 15 ustęp 2 ustawy </w:t>
      </w:r>
      <w:r w:rsidR="00CB3F5F">
        <w:rPr>
          <w:szCs w:val="24"/>
          <w:lang w:val="pl-PL"/>
        </w:rPr>
        <w:t>o</w:t>
      </w:r>
      <w:r w:rsidR="00CB3F5F" w:rsidRPr="00CB3F5F">
        <w:rPr>
          <w:szCs w:val="24"/>
          <w:lang w:val="pl-PL"/>
        </w:rPr>
        <w:t>sob</w:t>
      </w:r>
      <w:r w:rsidR="00CB3F5F">
        <w:rPr>
          <w:szCs w:val="24"/>
          <w:lang w:val="pl-PL"/>
        </w:rPr>
        <w:t xml:space="preserve">ie zatrzymanej na podstawie </w:t>
      </w:r>
      <w:r w:rsidR="009422B4">
        <w:rPr>
          <w:szCs w:val="24"/>
          <w:lang w:val="pl-PL"/>
        </w:rPr>
        <w:t>artykułu 15 ustęp</w:t>
      </w:r>
      <w:r w:rsidR="005C2E27">
        <w:rPr>
          <w:szCs w:val="24"/>
          <w:lang w:val="pl-PL"/>
        </w:rPr>
        <w:t xml:space="preserve"> 1 p</w:t>
      </w:r>
      <w:r w:rsidR="00CB3F5F">
        <w:rPr>
          <w:szCs w:val="24"/>
          <w:lang w:val="pl-PL"/>
        </w:rPr>
        <w:t>unkt</w:t>
      </w:r>
      <w:r w:rsidR="00CB3F5F" w:rsidRPr="00CB3F5F">
        <w:rPr>
          <w:szCs w:val="24"/>
          <w:lang w:val="pl-PL"/>
        </w:rPr>
        <w:t xml:space="preserve"> 3 przysługują</w:t>
      </w:r>
      <w:r w:rsidR="00CB3F5F">
        <w:rPr>
          <w:szCs w:val="24"/>
          <w:lang w:val="pl-PL"/>
        </w:rPr>
        <w:t xml:space="preserve"> uprawnienia przewi</w:t>
      </w:r>
      <w:r w:rsidR="00CB3F5F" w:rsidRPr="00CB3F5F">
        <w:rPr>
          <w:szCs w:val="24"/>
          <w:lang w:val="pl-PL"/>
        </w:rPr>
        <w:t>dziane dla osoby zatrzymanej w Kodeksie postępowania karnego</w:t>
      </w:r>
      <w:r w:rsidR="00DF6D17">
        <w:rPr>
          <w:szCs w:val="24"/>
          <w:lang w:val="pl-PL"/>
        </w:rPr>
        <w:t>.</w:t>
      </w:r>
    </w:p>
    <w:p w:rsidR="00CB3F5F" w:rsidRDefault="003001A7" w:rsidP="00F061A3">
      <w:pPr>
        <w:pStyle w:val="JuPara"/>
        <w:rPr>
          <w:szCs w:val="24"/>
          <w:lang w:val="pl-PL"/>
        </w:rPr>
      </w:pPr>
      <w:r>
        <w:fldChar w:fldCharType="begin"/>
      </w:r>
      <w:r w:rsidR="00F061A3" w:rsidRPr="00CB3F5F">
        <w:rPr>
          <w:lang w:val="pl-PL"/>
        </w:rPr>
        <w:instrText xml:space="preserve"> SEQ level0 \*arabic </w:instrText>
      </w:r>
      <w:r>
        <w:fldChar w:fldCharType="separate"/>
      </w:r>
      <w:r w:rsidR="004E0BEB">
        <w:rPr>
          <w:noProof/>
          <w:lang w:val="pl-PL"/>
        </w:rPr>
        <w:t>54</w:t>
      </w:r>
      <w:r>
        <w:fldChar w:fldCharType="end"/>
      </w:r>
      <w:r w:rsidR="00F061A3" w:rsidRPr="00CB3F5F">
        <w:rPr>
          <w:lang w:val="pl-PL"/>
        </w:rPr>
        <w:t>.  </w:t>
      </w:r>
      <w:r w:rsidR="00CB3F5F" w:rsidRPr="00CB3F5F">
        <w:rPr>
          <w:lang w:val="pl-PL"/>
        </w:rPr>
        <w:t xml:space="preserve">Artykuł 15 ustęp 8 ustawy przewiduje, </w:t>
      </w:r>
      <w:r w:rsidR="00CB3F5F" w:rsidRPr="00CB3F5F">
        <w:rPr>
          <w:szCs w:val="24"/>
          <w:lang w:val="pl-PL"/>
        </w:rPr>
        <w:t>że Rada Ministrów określi, w drodze rozporządzenia, sposób postępowania</w:t>
      </w:r>
      <w:r w:rsidR="00CB3F5F">
        <w:rPr>
          <w:szCs w:val="24"/>
          <w:lang w:val="pl-PL"/>
        </w:rPr>
        <w:t xml:space="preserve"> policji</w:t>
      </w:r>
      <w:r w:rsidR="00CB3F5F" w:rsidRPr="00CB3F5F">
        <w:rPr>
          <w:szCs w:val="24"/>
          <w:lang w:val="pl-PL"/>
        </w:rPr>
        <w:t xml:space="preserve"> przy wykonywaniu uprawnień, o których mowa w </w:t>
      </w:r>
      <w:r w:rsidR="00CB3F5F">
        <w:rPr>
          <w:szCs w:val="24"/>
          <w:lang w:val="pl-PL"/>
        </w:rPr>
        <w:t>szczególności w ustępach 1, 2a, 3 oraz 5 tego artykułu.</w:t>
      </w:r>
    </w:p>
    <w:p w:rsidR="00F061A3" w:rsidRPr="002B73AA" w:rsidRDefault="00F061A3" w:rsidP="00F061A3">
      <w:pPr>
        <w:pStyle w:val="JuHA"/>
        <w:rPr>
          <w:sz w:val="20"/>
          <w:lang w:val="pl-PL"/>
        </w:rPr>
      </w:pPr>
      <w:r w:rsidRPr="002B73AA">
        <w:rPr>
          <w:lang w:val="pl-PL"/>
        </w:rPr>
        <w:t>C.  </w:t>
      </w:r>
      <w:r w:rsidR="002B73AA" w:rsidRPr="002B73AA">
        <w:rPr>
          <w:lang w:val="pl-PL"/>
        </w:rPr>
        <w:t>Rozporządzenie</w:t>
      </w:r>
      <w:r w:rsidRPr="002B73AA">
        <w:rPr>
          <w:lang w:val="pl-PL"/>
        </w:rPr>
        <w:t xml:space="preserve"> Rady Ministrów z </w:t>
      </w:r>
      <w:r w:rsidR="002B73AA" w:rsidRPr="002B73AA">
        <w:rPr>
          <w:lang w:val="pl-PL"/>
        </w:rPr>
        <w:t xml:space="preserve">dnia </w:t>
      </w:r>
      <w:r w:rsidRPr="002B73AA">
        <w:rPr>
          <w:lang w:val="pl-PL"/>
        </w:rPr>
        <w:t>17 września 1990</w:t>
      </w:r>
      <w:r w:rsidR="00445F9B">
        <w:rPr>
          <w:lang w:val="pl-PL"/>
        </w:rPr>
        <w:t xml:space="preserve"> </w:t>
      </w:r>
      <w:r w:rsidRPr="002B73AA">
        <w:rPr>
          <w:lang w:val="pl-PL"/>
        </w:rPr>
        <w:t>r.</w:t>
      </w:r>
      <w:r w:rsidR="00445F9B">
        <w:rPr>
          <w:lang w:val="pl-PL"/>
        </w:rPr>
        <w:t xml:space="preserve"> </w:t>
      </w:r>
      <w:r w:rsidR="002B73AA" w:rsidRPr="002B73AA">
        <w:rPr>
          <w:lang w:val="pl-PL"/>
        </w:rPr>
        <w:t>(wydane na mocy artykułu 15 ustęp 8 Ustawy o Policji)</w:t>
      </w:r>
      <w:r w:rsidRPr="002B73AA">
        <w:rPr>
          <w:lang w:val="pl-PL"/>
        </w:rPr>
        <w:t xml:space="preserve"> w sprawie trybu legitymowania, zatrzymania osób, dokonywania kontroli osobistej oraz przeglądania bagaży i sprawdzania ładunku przez policjantów)</w:t>
      </w:r>
    </w:p>
    <w:p w:rsidR="00F061A3" w:rsidRPr="00C25A95"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55</w:t>
      </w:r>
      <w:r>
        <w:fldChar w:fldCharType="end"/>
      </w:r>
      <w:r w:rsidR="00F061A3" w:rsidRPr="007450CF">
        <w:rPr>
          <w:lang w:val="pl-PL"/>
        </w:rPr>
        <w:t>.  </w:t>
      </w:r>
      <w:r w:rsidR="002B73AA" w:rsidRPr="00C25A95">
        <w:rPr>
          <w:lang w:val="pl-PL"/>
        </w:rPr>
        <w:t>Na mocy paragrafu 1 punkt 4 rozdział 1</w:t>
      </w:r>
      <w:r w:rsidR="00AB6590">
        <w:rPr>
          <w:lang w:val="pl-PL"/>
        </w:rPr>
        <w:t xml:space="preserve"> </w:t>
      </w:r>
      <w:r w:rsidR="002B73AA" w:rsidRPr="00C25A95">
        <w:rPr>
          <w:lang w:val="pl-PL"/>
        </w:rPr>
        <w:t>rozporządzenia</w:t>
      </w:r>
      <w:r w:rsidR="00C25A95" w:rsidRPr="00C25A95">
        <w:rPr>
          <w:lang w:val="pl-PL"/>
        </w:rPr>
        <w:t xml:space="preserve"> w granicach swych zadań policja ma prawo</w:t>
      </w:r>
      <w:r w:rsidR="00C25A95">
        <w:rPr>
          <w:lang w:val="pl-PL"/>
        </w:rPr>
        <w:t>, w razie istnienia uzasadnionego podejrzenia popełnienia czynu zabronionego, dokonywać kontroli osobistej</w:t>
      </w:r>
      <w:r w:rsidR="00F061A3" w:rsidRPr="00C25A95">
        <w:rPr>
          <w:lang w:val="pl-PL"/>
        </w:rPr>
        <w:t>.</w:t>
      </w:r>
    </w:p>
    <w:p w:rsidR="006A7A0A" w:rsidRPr="006A7A0A"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56</w:t>
      </w:r>
      <w:r>
        <w:fldChar w:fldCharType="end"/>
      </w:r>
      <w:r w:rsidR="00F061A3" w:rsidRPr="007450CF">
        <w:rPr>
          <w:lang w:val="pl-PL"/>
        </w:rPr>
        <w:t>.  </w:t>
      </w:r>
      <w:r w:rsidR="006A7A0A" w:rsidRPr="006A7A0A">
        <w:rPr>
          <w:lang w:val="pl-PL"/>
        </w:rPr>
        <w:t>Zgodnie z paragrafem 3 rozdziału 2 tego rozporządzenia</w:t>
      </w:r>
      <w:r w:rsidR="00916CF1">
        <w:rPr>
          <w:lang w:val="pl-PL"/>
        </w:rPr>
        <w:t xml:space="preserve"> </w:t>
      </w:r>
      <w:r w:rsidR="00426234">
        <w:rPr>
          <w:lang w:val="pl-PL"/>
        </w:rPr>
        <w:t xml:space="preserve">policja legitymuje (…) gdy </w:t>
      </w:r>
      <w:r w:rsidR="006A7A0A">
        <w:rPr>
          <w:lang w:val="pl-PL"/>
        </w:rPr>
        <w:t>niezbędna jest identyfikacja osoby podejrzanej o popełnienie czynu zabronionego lub ustalenie świadków zdarzenia powodującego naruszenie bezpieczeństwa lub porządku publicznego.</w:t>
      </w:r>
    </w:p>
    <w:p w:rsidR="006A7A0A" w:rsidRPr="006A7A0A"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57</w:t>
      </w:r>
      <w:r>
        <w:fldChar w:fldCharType="end"/>
      </w:r>
      <w:r w:rsidR="00F061A3" w:rsidRPr="007450CF">
        <w:rPr>
          <w:lang w:val="pl-PL"/>
        </w:rPr>
        <w:t>.  </w:t>
      </w:r>
      <w:r w:rsidR="006A7A0A" w:rsidRPr="006A7A0A">
        <w:rPr>
          <w:lang w:val="pl-PL"/>
        </w:rPr>
        <w:t>Paragrafy od 8 do</w:t>
      </w:r>
      <w:r w:rsidR="00F061A3" w:rsidRPr="006A7A0A">
        <w:rPr>
          <w:lang w:val="pl-PL"/>
        </w:rPr>
        <w:t xml:space="preserve"> 14 </w:t>
      </w:r>
      <w:r w:rsidR="006A7A0A" w:rsidRPr="006A7A0A">
        <w:rPr>
          <w:lang w:val="pl-PL"/>
        </w:rPr>
        <w:t>rozdziału 3 rozporządzenia określają</w:t>
      </w:r>
      <w:r w:rsidR="006A7A0A">
        <w:rPr>
          <w:lang w:val="pl-PL"/>
        </w:rPr>
        <w:t xml:space="preserve"> procedurę stosowaną w czasie zatrzymania w przypadkach przewidzianych w paragrafie 1 punktu 2 i 3 </w:t>
      </w:r>
      <w:r w:rsidR="005C2E27">
        <w:rPr>
          <w:lang w:val="pl-PL"/>
        </w:rPr>
        <w:t xml:space="preserve">rozdziału </w:t>
      </w:r>
      <w:r w:rsidR="006A7A0A">
        <w:rPr>
          <w:lang w:val="pl-PL"/>
        </w:rPr>
        <w:t xml:space="preserve">1 rozporządzenia (które odpowiadają </w:t>
      </w:r>
      <w:r w:rsidR="008F6019">
        <w:rPr>
          <w:lang w:val="pl-PL"/>
        </w:rPr>
        <w:t>przypadkom przewidzianym w artykule 15 ustęp 1 punkty 2a i 3 Ustawy o Policji (zob. powyżej punkt 51)</w:t>
      </w:r>
      <w:r w:rsidR="00461DA3">
        <w:rPr>
          <w:lang w:val="pl-PL"/>
        </w:rPr>
        <w:t>.</w:t>
      </w:r>
    </w:p>
    <w:p w:rsidR="00F061A3" w:rsidRPr="008F6019" w:rsidRDefault="00F061A3" w:rsidP="00F061A3">
      <w:pPr>
        <w:pStyle w:val="JuHA"/>
        <w:rPr>
          <w:lang w:val="pl-PL"/>
        </w:rPr>
      </w:pPr>
      <w:r w:rsidRPr="008F6019">
        <w:rPr>
          <w:lang w:val="pl-PL"/>
        </w:rPr>
        <w:t>D.  Kodeks postępowa</w:t>
      </w:r>
      <w:r w:rsidR="008F6019" w:rsidRPr="008F6019">
        <w:rPr>
          <w:lang w:val="pl-PL"/>
        </w:rPr>
        <w:t>nia w sprawach o wykroczeni</w:t>
      </w:r>
      <w:r w:rsidR="008F6019">
        <w:rPr>
          <w:lang w:val="pl-PL"/>
        </w:rPr>
        <w:t>a</w:t>
      </w:r>
      <w:r w:rsidR="008F6019" w:rsidRPr="008F6019">
        <w:rPr>
          <w:lang w:val="pl-PL"/>
        </w:rPr>
        <w:t xml:space="preserve"> z 1971 roku</w:t>
      </w:r>
    </w:p>
    <w:p w:rsidR="008F6019" w:rsidRPr="008F6019" w:rsidRDefault="003001A7" w:rsidP="00F061A3">
      <w:pPr>
        <w:pStyle w:val="JuPara"/>
        <w:rPr>
          <w:lang w:val="pl-PL"/>
        </w:rPr>
      </w:pPr>
      <w:r>
        <w:fldChar w:fldCharType="begin"/>
      </w:r>
      <w:r w:rsidR="00F061A3" w:rsidRPr="007450CF">
        <w:rPr>
          <w:lang w:val="pl-PL"/>
        </w:rPr>
        <w:instrText xml:space="preserve"> SEQ level0 \*arabic </w:instrText>
      </w:r>
      <w:r>
        <w:fldChar w:fldCharType="separate"/>
      </w:r>
      <w:r w:rsidR="004E0BEB">
        <w:rPr>
          <w:noProof/>
          <w:lang w:val="pl-PL"/>
        </w:rPr>
        <w:t>58</w:t>
      </w:r>
      <w:r>
        <w:fldChar w:fldCharType="end"/>
      </w:r>
      <w:r w:rsidR="00F061A3" w:rsidRPr="007450CF">
        <w:rPr>
          <w:lang w:val="pl-PL"/>
        </w:rPr>
        <w:t>. </w:t>
      </w:r>
      <w:r w:rsidR="008F6019" w:rsidRPr="008F6019">
        <w:rPr>
          <w:lang w:val="pl-PL"/>
        </w:rPr>
        <w:t>Zgodnie z artykułem</w:t>
      </w:r>
      <w:r w:rsidR="008F6019">
        <w:rPr>
          <w:lang w:val="pl-PL"/>
        </w:rPr>
        <w:t xml:space="preserve"> 19</w:t>
      </w:r>
      <w:r w:rsidR="00F061A3" w:rsidRPr="008F6019">
        <w:rPr>
          <w:lang w:val="pl-PL"/>
        </w:rPr>
        <w:t> </w:t>
      </w:r>
      <w:r w:rsidR="008F6019" w:rsidRPr="008F6019">
        <w:rPr>
          <w:lang w:val="pl-PL"/>
        </w:rPr>
        <w:t xml:space="preserve">§ 1 Kodeksu postępowania w sprawach o wykroczenia </w:t>
      </w:r>
      <w:r w:rsidR="008F6019">
        <w:rPr>
          <w:lang w:val="pl-PL"/>
        </w:rPr>
        <w:t>dotyczącym czynności sprawdzających w sprawach dotyczących wykroczeń, milicja obywatelska może w granicach swojej właściwości, w celu zebrania danych niezbędnych do sporządzenia wniosku o ukaranie wezwać do złożenia wyjaśnień, zeznań i opinii</w:t>
      </w:r>
      <w:r w:rsidR="009B0414">
        <w:rPr>
          <w:lang w:val="pl-PL"/>
        </w:rPr>
        <w:t>, jak również do okazania przedmiotu lub dokumentu mając</w:t>
      </w:r>
      <w:r w:rsidR="00F02534">
        <w:rPr>
          <w:lang w:val="pl-PL"/>
        </w:rPr>
        <w:t>ego</w:t>
      </w:r>
      <w:r w:rsidR="009B0414">
        <w:rPr>
          <w:lang w:val="pl-PL"/>
        </w:rPr>
        <w:t xml:space="preserve"> stanowić dowód w sprawie. </w:t>
      </w:r>
      <w:r w:rsidR="009B0414">
        <w:rPr>
          <w:lang w:val="pl-PL"/>
        </w:rPr>
        <w:lastRenderedPageBreak/>
        <w:t xml:space="preserve">Czynności sprawdzających dokonuje się w miarę możliwości na miejscu popełnienia czynu </w:t>
      </w:r>
      <w:r w:rsidR="00461DA3">
        <w:rPr>
          <w:lang w:val="pl-PL"/>
        </w:rPr>
        <w:t xml:space="preserve">lub </w:t>
      </w:r>
      <w:r w:rsidR="009B0414">
        <w:rPr>
          <w:lang w:val="pl-PL"/>
        </w:rPr>
        <w:t>bezpośrednio po jego ujawnieniu.</w:t>
      </w:r>
    </w:p>
    <w:p w:rsidR="00F061A3" w:rsidRPr="009B0414" w:rsidRDefault="00F061A3" w:rsidP="00F061A3">
      <w:pPr>
        <w:pStyle w:val="JuHA"/>
        <w:rPr>
          <w:lang w:val="pl-PL"/>
        </w:rPr>
      </w:pPr>
      <w:r w:rsidRPr="009B0414">
        <w:rPr>
          <w:lang w:val="pl-PL"/>
        </w:rPr>
        <w:t xml:space="preserve">E.   </w:t>
      </w:r>
      <w:r w:rsidR="009B0414" w:rsidRPr="009B0414">
        <w:rPr>
          <w:lang w:val="pl-PL"/>
        </w:rPr>
        <w:t>(Nowy)</w:t>
      </w:r>
      <w:r w:rsidR="00445F9B">
        <w:rPr>
          <w:lang w:val="pl-PL"/>
        </w:rPr>
        <w:t xml:space="preserve"> </w:t>
      </w:r>
      <w:r w:rsidRPr="009B0414">
        <w:rPr>
          <w:lang w:val="pl-PL"/>
        </w:rPr>
        <w:t>Kodeks postępowania w sprawach o wykroczenia</w:t>
      </w:r>
      <w:r w:rsidR="009B0414" w:rsidRPr="009B0414">
        <w:rPr>
          <w:lang w:val="pl-PL"/>
        </w:rPr>
        <w:t xml:space="preserve"> z</w:t>
      </w:r>
      <w:r w:rsidRPr="009B0414">
        <w:rPr>
          <w:lang w:val="pl-PL"/>
        </w:rPr>
        <w:t xml:space="preserve"> 2001</w:t>
      </w:r>
      <w:r w:rsidR="009B0414">
        <w:rPr>
          <w:lang w:val="pl-PL"/>
        </w:rPr>
        <w:t xml:space="preserve"> roku</w:t>
      </w:r>
    </w:p>
    <w:p w:rsidR="007450CF" w:rsidRPr="007450CF" w:rsidRDefault="003001A7" w:rsidP="00F061A3">
      <w:pPr>
        <w:pStyle w:val="JuPara"/>
        <w:rPr>
          <w:szCs w:val="24"/>
          <w:lang w:val="pl-PL"/>
        </w:rPr>
      </w:pPr>
      <w:r>
        <w:fldChar w:fldCharType="begin"/>
      </w:r>
      <w:r w:rsidR="00F061A3" w:rsidRPr="005D4027">
        <w:rPr>
          <w:lang w:val="pl-PL"/>
        </w:rPr>
        <w:instrText xml:space="preserve"> SEQ level0 \*arabic </w:instrText>
      </w:r>
      <w:r>
        <w:fldChar w:fldCharType="separate"/>
      </w:r>
      <w:r w:rsidR="004E0BEB">
        <w:rPr>
          <w:noProof/>
          <w:lang w:val="pl-PL"/>
        </w:rPr>
        <w:t>59</w:t>
      </w:r>
      <w:r>
        <w:fldChar w:fldCharType="end"/>
      </w:r>
      <w:r w:rsidR="00F061A3" w:rsidRPr="005D4027">
        <w:rPr>
          <w:lang w:val="pl-PL"/>
        </w:rPr>
        <w:t>.  </w:t>
      </w:r>
      <w:r w:rsidR="007450CF" w:rsidRPr="007450CF">
        <w:rPr>
          <w:szCs w:val="24"/>
          <w:lang w:val="pl-PL"/>
        </w:rPr>
        <w:t>Zgodnie z artykułem 45 § 1 kodeksu, można zatrzymać osobę ujętą na gorącym uczynku popełnienia wykroczenia lub bezpośrednio potem w dwóch przypadkach, to jest, jeżeli nie można ustalić jej tożsamości lub/i jeżeli zachodzą podstawy do zastosowania wobec ni</w:t>
      </w:r>
      <w:r w:rsidR="00461DA3">
        <w:rPr>
          <w:szCs w:val="24"/>
          <w:lang w:val="pl-PL"/>
        </w:rPr>
        <w:t>ej postępowania przyspieszonego.</w:t>
      </w:r>
    </w:p>
    <w:p w:rsidR="007450CF" w:rsidRPr="007450CF" w:rsidRDefault="003001A7" w:rsidP="00F061A3">
      <w:pPr>
        <w:pStyle w:val="JuPara"/>
        <w:rPr>
          <w:szCs w:val="24"/>
          <w:lang w:val="pl-PL"/>
        </w:rPr>
      </w:pPr>
      <w:r>
        <w:fldChar w:fldCharType="begin"/>
      </w:r>
      <w:r w:rsidR="00F061A3" w:rsidRPr="005D4027">
        <w:rPr>
          <w:lang w:val="pl-PL"/>
        </w:rPr>
        <w:instrText xml:space="preserve"> SEQ level0 \*arabic </w:instrText>
      </w:r>
      <w:r>
        <w:fldChar w:fldCharType="separate"/>
      </w:r>
      <w:r w:rsidR="004E0BEB">
        <w:rPr>
          <w:noProof/>
          <w:lang w:val="pl-PL"/>
        </w:rPr>
        <w:t>60</w:t>
      </w:r>
      <w:r>
        <w:fldChar w:fldCharType="end"/>
      </w:r>
      <w:r w:rsidR="00F061A3" w:rsidRPr="005D4027">
        <w:rPr>
          <w:lang w:val="pl-PL"/>
        </w:rPr>
        <w:t>.  </w:t>
      </w:r>
      <w:r w:rsidR="007450CF" w:rsidRPr="007450CF">
        <w:rPr>
          <w:lang w:val="pl-PL"/>
        </w:rPr>
        <w:t>Artykuł 5</w:t>
      </w:r>
      <w:r w:rsidR="00CC0BD4">
        <w:rPr>
          <w:lang w:val="pl-PL"/>
        </w:rPr>
        <w:t>4</w:t>
      </w:r>
      <w:r w:rsidR="007450CF" w:rsidRPr="007450CF">
        <w:rPr>
          <w:lang w:val="pl-PL"/>
        </w:rPr>
        <w:t xml:space="preserve"> § 1 stanowi, że policja przeprowadza czynności wyjaśniające</w:t>
      </w:r>
      <w:r w:rsidR="00916CF1">
        <w:rPr>
          <w:lang w:val="pl-PL"/>
        </w:rPr>
        <w:t xml:space="preserve"> </w:t>
      </w:r>
      <w:r w:rsidR="007450CF">
        <w:rPr>
          <w:iCs/>
          <w:szCs w:val="24"/>
          <w:lang w:val="pl-PL"/>
        </w:rPr>
        <w:t>w</w:t>
      </w:r>
      <w:r w:rsidR="007450CF" w:rsidRPr="007450CF">
        <w:rPr>
          <w:iCs/>
          <w:szCs w:val="24"/>
          <w:lang w:val="pl-PL"/>
        </w:rPr>
        <w:t xml:space="preserve"> celu ustalenia, czy istnieją podstawy do wystą</w:t>
      </w:r>
      <w:r w:rsidR="007450CF">
        <w:rPr>
          <w:iCs/>
          <w:szCs w:val="24"/>
          <w:lang w:val="pl-PL"/>
        </w:rPr>
        <w:t>pienia z wnioskiem o ukara</w:t>
      </w:r>
      <w:r w:rsidR="007450CF" w:rsidRPr="007450CF">
        <w:rPr>
          <w:iCs/>
          <w:szCs w:val="24"/>
          <w:lang w:val="pl-PL"/>
        </w:rPr>
        <w:t>nie oraz zebrania danych niezbędnych do</w:t>
      </w:r>
      <w:r w:rsidR="007450CF">
        <w:rPr>
          <w:iCs/>
          <w:szCs w:val="24"/>
          <w:lang w:val="pl-PL"/>
        </w:rPr>
        <w:t xml:space="preserve"> jego</w:t>
      </w:r>
      <w:r w:rsidR="007450CF" w:rsidRPr="007450CF">
        <w:rPr>
          <w:iCs/>
          <w:szCs w:val="24"/>
          <w:lang w:val="pl-PL"/>
        </w:rPr>
        <w:t xml:space="preserve"> sporządzenia</w:t>
      </w:r>
      <w:r w:rsidR="007450CF">
        <w:rPr>
          <w:iCs/>
          <w:szCs w:val="24"/>
          <w:lang w:val="pl-PL"/>
        </w:rPr>
        <w:t xml:space="preserve">. </w:t>
      </w:r>
      <w:r w:rsidR="007450CF" w:rsidRPr="007450CF">
        <w:rPr>
          <w:iCs/>
          <w:szCs w:val="24"/>
          <w:lang w:val="pl-PL"/>
        </w:rPr>
        <w:t xml:space="preserve">Czynności te w miarę możności należy podjąć w miejscu popełnienia czynu bezpośrednio po jego ujawnieniu i zakończyć w ciągu miesiąca.  </w:t>
      </w:r>
    </w:p>
    <w:p w:rsidR="007450CF" w:rsidRPr="007450CF" w:rsidRDefault="003001A7" w:rsidP="00F061A3">
      <w:pPr>
        <w:pStyle w:val="JuPara"/>
        <w:rPr>
          <w:szCs w:val="24"/>
          <w:lang w:val="pl-PL"/>
        </w:rPr>
      </w:pPr>
      <w:r>
        <w:fldChar w:fldCharType="begin"/>
      </w:r>
      <w:r w:rsidR="00F061A3" w:rsidRPr="005D4027">
        <w:rPr>
          <w:lang w:val="pl-PL"/>
        </w:rPr>
        <w:instrText xml:space="preserve"> SEQ level0 \*arabic </w:instrText>
      </w:r>
      <w:r>
        <w:fldChar w:fldCharType="separate"/>
      </w:r>
      <w:r w:rsidR="004E0BEB">
        <w:rPr>
          <w:noProof/>
          <w:lang w:val="pl-PL"/>
        </w:rPr>
        <w:t>61</w:t>
      </w:r>
      <w:r>
        <w:fldChar w:fldCharType="end"/>
      </w:r>
      <w:r w:rsidR="00F061A3" w:rsidRPr="005D4027">
        <w:rPr>
          <w:lang w:val="pl-PL"/>
        </w:rPr>
        <w:t>. </w:t>
      </w:r>
      <w:r w:rsidR="007450CF" w:rsidRPr="007450CF">
        <w:rPr>
          <w:lang w:val="pl-PL"/>
        </w:rPr>
        <w:t>Artykuł 54</w:t>
      </w:r>
      <w:r w:rsidR="00F061A3" w:rsidRPr="007450CF">
        <w:rPr>
          <w:lang w:val="pl-PL"/>
        </w:rPr>
        <w:t> </w:t>
      </w:r>
      <w:r w:rsidR="007450CF" w:rsidRPr="007450CF">
        <w:rPr>
          <w:lang w:val="pl-PL"/>
        </w:rPr>
        <w:t xml:space="preserve">§ 3 przewiduje, </w:t>
      </w:r>
      <w:r w:rsidR="007450CF" w:rsidRPr="007450CF">
        <w:rPr>
          <w:szCs w:val="24"/>
          <w:lang w:val="pl-PL"/>
        </w:rPr>
        <w:t>że jeżeli okoliczności czynu nie budzą wątpliwości, utrwalenie czynności wyjaśniających można ograniczyć do sporządzenia notatki urzędowej, zawierającej ustalenia niezbędne do sporządzenia wniosku o ukaranie.</w:t>
      </w:r>
    </w:p>
    <w:p w:rsidR="00F061A3" w:rsidRPr="005D4027" w:rsidRDefault="007450CF" w:rsidP="00F061A3">
      <w:pPr>
        <w:pStyle w:val="JuHA"/>
        <w:rPr>
          <w:lang w:val="pl-PL"/>
        </w:rPr>
      </w:pPr>
      <w:r w:rsidRPr="005D4027">
        <w:rPr>
          <w:lang w:val="pl-PL"/>
        </w:rPr>
        <w:t xml:space="preserve">F.  Kodeks cywilny </w:t>
      </w:r>
    </w:p>
    <w:p w:rsidR="007450CF" w:rsidRPr="0010794E" w:rsidRDefault="003001A7" w:rsidP="00F061A3">
      <w:pPr>
        <w:pStyle w:val="JuPara"/>
        <w:rPr>
          <w:szCs w:val="24"/>
          <w:lang w:val="pl-PL"/>
        </w:rPr>
      </w:pPr>
      <w:r>
        <w:fldChar w:fldCharType="begin"/>
      </w:r>
      <w:r w:rsidR="00F061A3" w:rsidRPr="005D4027">
        <w:rPr>
          <w:lang w:val="pl-PL"/>
        </w:rPr>
        <w:instrText xml:space="preserve"> SEQ level0 \*arabic </w:instrText>
      </w:r>
      <w:r>
        <w:fldChar w:fldCharType="separate"/>
      </w:r>
      <w:r w:rsidR="004E0BEB">
        <w:rPr>
          <w:noProof/>
          <w:lang w:val="pl-PL"/>
        </w:rPr>
        <w:t>62</w:t>
      </w:r>
      <w:r>
        <w:fldChar w:fldCharType="end"/>
      </w:r>
      <w:r w:rsidR="00F061A3" w:rsidRPr="005D4027">
        <w:rPr>
          <w:lang w:val="pl-PL"/>
        </w:rPr>
        <w:t>.  </w:t>
      </w:r>
      <w:r w:rsidR="007450CF" w:rsidRPr="007450CF">
        <w:rPr>
          <w:lang w:val="pl-PL"/>
        </w:rPr>
        <w:t>Artykuł 417 Kodeksu cywilnego reguluje odpowiedzialność Państwa z tytułu czynów niedozwolonych</w:t>
      </w:r>
      <w:r w:rsidR="007450CF">
        <w:rPr>
          <w:lang w:val="pl-PL"/>
        </w:rPr>
        <w:t xml:space="preserve">. </w:t>
      </w:r>
      <w:r w:rsidR="0010794E">
        <w:rPr>
          <w:lang w:val="pl-PL"/>
        </w:rPr>
        <w:t xml:space="preserve">Zgodnie z nim </w:t>
      </w:r>
      <w:r w:rsidR="0010794E" w:rsidRPr="0010794E">
        <w:rPr>
          <w:rStyle w:val="FontStyle44"/>
          <w:sz w:val="24"/>
          <w:szCs w:val="24"/>
          <w:lang w:val="pl-PL" w:eastAsia="es-ES_tradnl"/>
        </w:rPr>
        <w:t>Skarb Państwa lub jednostka samorządu terytorialnego lub inna osoba prawna wykonująca tę władzę z mocy prawa</w:t>
      </w:r>
      <w:r w:rsidR="0010794E">
        <w:rPr>
          <w:rStyle w:val="FontStyle44"/>
          <w:sz w:val="24"/>
          <w:szCs w:val="24"/>
          <w:lang w:val="pl-PL" w:eastAsia="es-ES_tradnl"/>
        </w:rPr>
        <w:t xml:space="preserve"> ponosi odpowiedzialność z</w:t>
      </w:r>
      <w:r w:rsidR="0010794E" w:rsidRPr="0010794E">
        <w:rPr>
          <w:rStyle w:val="FontStyle44"/>
          <w:sz w:val="24"/>
          <w:szCs w:val="24"/>
          <w:lang w:val="pl-PL" w:eastAsia="es-ES_tradnl"/>
        </w:rPr>
        <w:t>a szkodę wyrządzoną przez niezgodne z prawem działanie lub zaniechanie przy wykonywaniu władzy publicznej</w:t>
      </w:r>
      <w:r w:rsidR="0010794E">
        <w:rPr>
          <w:rStyle w:val="FontStyle44"/>
          <w:sz w:val="24"/>
          <w:szCs w:val="24"/>
          <w:lang w:val="pl-PL" w:eastAsia="es-ES_tradnl"/>
        </w:rPr>
        <w:t>.</w:t>
      </w:r>
    </w:p>
    <w:p w:rsidR="00F061A3" w:rsidRPr="0010794E" w:rsidRDefault="00F061A3" w:rsidP="00F061A3">
      <w:pPr>
        <w:pStyle w:val="JuHA"/>
        <w:rPr>
          <w:lang w:val="pl-PL"/>
        </w:rPr>
      </w:pPr>
      <w:r w:rsidRPr="0010794E">
        <w:rPr>
          <w:lang w:val="pl-PL"/>
        </w:rPr>
        <w:t>G.</w:t>
      </w:r>
      <w:r w:rsidR="0010794E" w:rsidRPr="0010794E">
        <w:rPr>
          <w:lang w:val="pl-PL"/>
        </w:rPr>
        <w:t> Uchwała Sąd</w:t>
      </w:r>
      <w:r w:rsidR="0010794E">
        <w:rPr>
          <w:lang w:val="pl-PL"/>
        </w:rPr>
        <w:t>u Najwyższego d</w:t>
      </w:r>
      <w:r w:rsidR="0010794E" w:rsidRPr="0010794E">
        <w:rPr>
          <w:lang w:val="pl-PL"/>
        </w:rPr>
        <w:t xml:space="preserve">nia 21 czerwca 1995 roku </w:t>
      </w:r>
      <w:r w:rsidRPr="0010794E">
        <w:rPr>
          <w:lang w:val="pl-PL"/>
        </w:rPr>
        <w:t>(I KPZ 20/95)</w:t>
      </w:r>
    </w:p>
    <w:p w:rsidR="00F061A3" w:rsidRPr="0010794E" w:rsidRDefault="003001A7" w:rsidP="00F061A3">
      <w:pPr>
        <w:pStyle w:val="JuPara"/>
        <w:rPr>
          <w:lang w:val="pl-PL"/>
        </w:rPr>
      </w:pPr>
      <w:r>
        <w:fldChar w:fldCharType="begin"/>
      </w:r>
      <w:r w:rsidR="00F061A3" w:rsidRPr="005D4027">
        <w:rPr>
          <w:lang w:val="pl-PL"/>
        </w:rPr>
        <w:instrText xml:space="preserve"> SEQ level0 \*arabic </w:instrText>
      </w:r>
      <w:r>
        <w:fldChar w:fldCharType="separate"/>
      </w:r>
      <w:r w:rsidR="004E0BEB">
        <w:rPr>
          <w:noProof/>
          <w:lang w:val="pl-PL"/>
        </w:rPr>
        <w:t>63</w:t>
      </w:r>
      <w:r>
        <w:fldChar w:fldCharType="end"/>
      </w:r>
      <w:r w:rsidR="00F061A3" w:rsidRPr="005D4027">
        <w:rPr>
          <w:lang w:val="pl-PL"/>
        </w:rPr>
        <w:t>.  </w:t>
      </w:r>
      <w:r w:rsidR="00B9144F">
        <w:rPr>
          <w:lang w:val="pl-PL"/>
        </w:rPr>
        <w:t>U</w:t>
      </w:r>
      <w:r w:rsidR="006F0865">
        <w:rPr>
          <w:lang w:val="pl-PL"/>
        </w:rPr>
        <w:t>chwa</w:t>
      </w:r>
      <w:r w:rsidR="00B9144F">
        <w:rPr>
          <w:lang w:val="pl-PL"/>
        </w:rPr>
        <w:t>łą</w:t>
      </w:r>
      <w:r w:rsidR="0010794E" w:rsidRPr="0010794E">
        <w:rPr>
          <w:lang w:val="pl-PL"/>
        </w:rPr>
        <w:t xml:space="preserve"> z dnia 21 czerwca 1995 roku Sąd Najwyższy </w:t>
      </w:r>
      <w:r w:rsidR="0010794E">
        <w:rPr>
          <w:lang w:val="pl-PL"/>
        </w:rPr>
        <w:t xml:space="preserve">orzekający w składzie trzech sędziów wypowiedział się na temat następującego </w:t>
      </w:r>
      <w:r w:rsidR="00DE2517">
        <w:rPr>
          <w:lang w:val="pl-PL"/>
        </w:rPr>
        <w:t>pytania prejudycjalnego</w:t>
      </w:r>
      <w:r w:rsidR="0010794E">
        <w:rPr>
          <w:lang w:val="pl-PL"/>
        </w:rPr>
        <w:t xml:space="preserve">: „Czy </w:t>
      </w:r>
      <w:r w:rsidR="0010794E">
        <w:rPr>
          <w:bCs/>
          <w:szCs w:val="24"/>
          <w:lang w:val="pl-PL" w:eastAsia="pl-PL"/>
        </w:rPr>
        <w:t>d</w:t>
      </w:r>
      <w:r w:rsidR="0010794E" w:rsidRPr="0010794E">
        <w:rPr>
          <w:bCs/>
          <w:szCs w:val="24"/>
          <w:lang w:val="pl-PL" w:eastAsia="pl-PL"/>
        </w:rPr>
        <w:t xml:space="preserve">oprowadzenie osoby podejrzanej o popełnienie wykroczenia do jednostki Policji w celu </w:t>
      </w:r>
      <w:r w:rsidR="0010794E">
        <w:rPr>
          <w:bCs/>
          <w:szCs w:val="24"/>
          <w:lang w:val="pl-PL" w:eastAsia="pl-PL"/>
        </w:rPr>
        <w:t xml:space="preserve">ustalenia jej tożsamości </w:t>
      </w:r>
      <w:r w:rsidR="0010794E" w:rsidRPr="0010794E">
        <w:rPr>
          <w:bCs/>
          <w:szCs w:val="24"/>
          <w:lang w:val="pl-PL" w:eastAsia="pl-PL"/>
        </w:rPr>
        <w:t xml:space="preserve">albo </w:t>
      </w:r>
      <w:r w:rsidR="0010794E">
        <w:rPr>
          <w:bCs/>
          <w:szCs w:val="24"/>
          <w:lang w:val="pl-PL" w:eastAsia="pl-PL"/>
        </w:rPr>
        <w:t xml:space="preserve">pobrania </w:t>
      </w:r>
      <w:r w:rsidR="004226CF">
        <w:rPr>
          <w:bCs/>
          <w:szCs w:val="24"/>
          <w:lang w:val="pl-PL" w:eastAsia="pl-PL"/>
        </w:rPr>
        <w:t>krwi</w:t>
      </w:r>
      <w:r w:rsidR="0010794E">
        <w:rPr>
          <w:bCs/>
          <w:szCs w:val="24"/>
          <w:lang w:val="pl-PL" w:eastAsia="pl-PL"/>
        </w:rPr>
        <w:t xml:space="preserve"> na </w:t>
      </w:r>
      <w:r w:rsidR="00DE2517">
        <w:rPr>
          <w:bCs/>
          <w:szCs w:val="24"/>
          <w:lang w:val="pl-PL" w:eastAsia="pl-PL"/>
        </w:rPr>
        <w:t>ewentualną</w:t>
      </w:r>
      <w:r w:rsidR="004226CF">
        <w:rPr>
          <w:bCs/>
          <w:szCs w:val="24"/>
          <w:lang w:val="pl-PL" w:eastAsia="pl-PL"/>
        </w:rPr>
        <w:t xml:space="preserve"> obecność</w:t>
      </w:r>
      <w:r w:rsidR="00916CF1">
        <w:rPr>
          <w:bCs/>
          <w:szCs w:val="24"/>
          <w:lang w:val="pl-PL" w:eastAsia="pl-PL"/>
        </w:rPr>
        <w:t xml:space="preserve"> </w:t>
      </w:r>
      <w:r w:rsidR="0010794E">
        <w:rPr>
          <w:bCs/>
          <w:szCs w:val="24"/>
          <w:lang w:val="pl-PL" w:eastAsia="pl-PL"/>
        </w:rPr>
        <w:t>alkoholu</w:t>
      </w:r>
      <w:r w:rsidR="0010794E" w:rsidRPr="0010794E">
        <w:rPr>
          <w:bCs/>
          <w:szCs w:val="24"/>
          <w:lang w:val="pl-PL" w:eastAsia="pl-PL"/>
        </w:rPr>
        <w:t xml:space="preserve">, jest zatrzymaniem podlegającym kontroli sądowej w trybie przewidzianym w rozdziale 23 </w:t>
      </w:r>
      <w:hyperlink r:id="rId14" w:tooltip="Kodeks postępowania karnego" w:history="1">
        <w:r w:rsidR="0010794E" w:rsidRPr="0010794E">
          <w:rPr>
            <w:bCs/>
            <w:szCs w:val="24"/>
            <w:lang w:val="pl-PL" w:eastAsia="pl-PL"/>
          </w:rPr>
          <w:t>kodeksu postępowania karnego</w:t>
        </w:r>
      </w:hyperlink>
      <w:r w:rsidR="00DE2517">
        <w:rPr>
          <w:bCs/>
          <w:szCs w:val="24"/>
          <w:lang w:val="pl-PL" w:eastAsia="pl-PL"/>
        </w:rPr>
        <w:t>? „</w:t>
      </w:r>
    </w:p>
    <w:p w:rsidR="00F061A3" w:rsidRPr="00DE2517" w:rsidRDefault="003001A7" w:rsidP="00F061A3">
      <w:pPr>
        <w:pStyle w:val="JuPara"/>
        <w:rPr>
          <w:lang w:val="pl-PL"/>
        </w:rPr>
      </w:pPr>
      <w:r>
        <w:fldChar w:fldCharType="begin"/>
      </w:r>
      <w:r w:rsidR="00F061A3" w:rsidRPr="005D4027">
        <w:rPr>
          <w:lang w:val="pl-PL"/>
        </w:rPr>
        <w:instrText xml:space="preserve"> SEQ level0 \*arabic </w:instrText>
      </w:r>
      <w:r>
        <w:fldChar w:fldCharType="separate"/>
      </w:r>
      <w:r w:rsidR="004E0BEB">
        <w:rPr>
          <w:noProof/>
          <w:lang w:val="pl-PL"/>
        </w:rPr>
        <w:t>64</w:t>
      </w:r>
      <w:r>
        <w:fldChar w:fldCharType="end"/>
      </w:r>
      <w:r w:rsidR="00F061A3" w:rsidRPr="005D4027">
        <w:rPr>
          <w:lang w:val="pl-PL"/>
        </w:rPr>
        <w:t>.  </w:t>
      </w:r>
      <w:r w:rsidR="00DE2517" w:rsidRPr="00DE2517">
        <w:rPr>
          <w:lang w:val="pl-PL"/>
        </w:rPr>
        <w:t xml:space="preserve">Sąd Najwyższy orzekł, że doprowadzenie do jednostki policji w warunkach opisanych w </w:t>
      </w:r>
      <w:r w:rsidR="00DE2517">
        <w:rPr>
          <w:lang w:val="pl-PL"/>
        </w:rPr>
        <w:t>pytaniu prejudycjalnym jest zatrzymaniem</w:t>
      </w:r>
      <w:r w:rsidR="0038620F">
        <w:rPr>
          <w:lang w:val="pl-PL"/>
        </w:rPr>
        <w:t xml:space="preserve"> </w:t>
      </w:r>
      <w:r w:rsidR="00DE2517" w:rsidRPr="0010794E">
        <w:rPr>
          <w:bCs/>
          <w:szCs w:val="24"/>
          <w:lang w:val="pl-PL" w:eastAsia="pl-PL"/>
        </w:rPr>
        <w:lastRenderedPageBreak/>
        <w:t>podlegającym kontroli sądowej</w:t>
      </w:r>
      <w:r w:rsidR="00DE2517">
        <w:rPr>
          <w:bCs/>
          <w:szCs w:val="24"/>
          <w:lang w:val="pl-PL" w:eastAsia="pl-PL"/>
        </w:rPr>
        <w:t xml:space="preserve"> jedynie gdy zostało dokonane z przyczyn przewidzianych w artykule 15 ustęp 1 punkt 3 Ustawy o Policji. </w:t>
      </w:r>
    </w:p>
    <w:p w:rsidR="00DE2517" w:rsidRPr="00DE2517" w:rsidRDefault="003001A7" w:rsidP="00F061A3">
      <w:pPr>
        <w:pStyle w:val="JuPara"/>
        <w:rPr>
          <w:lang w:val="pl-PL"/>
        </w:rPr>
      </w:pPr>
      <w:r>
        <w:fldChar w:fldCharType="begin"/>
      </w:r>
      <w:r w:rsidR="00F061A3" w:rsidRPr="005D4027">
        <w:rPr>
          <w:lang w:val="pl-PL"/>
        </w:rPr>
        <w:instrText xml:space="preserve"> SEQ level0 \*arabic </w:instrText>
      </w:r>
      <w:r>
        <w:fldChar w:fldCharType="separate"/>
      </w:r>
      <w:r w:rsidR="004E0BEB">
        <w:rPr>
          <w:noProof/>
          <w:lang w:val="pl-PL"/>
        </w:rPr>
        <w:t>65</w:t>
      </w:r>
      <w:r>
        <w:fldChar w:fldCharType="end"/>
      </w:r>
      <w:r w:rsidR="00F061A3" w:rsidRPr="005D4027">
        <w:rPr>
          <w:lang w:val="pl-PL"/>
        </w:rPr>
        <w:t>. </w:t>
      </w:r>
      <w:r w:rsidR="00DE2517" w:rsidRPr="00DE2517">
        <w:rPr>
          <w:lang w:val="pl-PL"/>
        </w:rPr>
        <w:t xml:space="preserve">Według Sądu Najwyższego, takie </w:t>
      </w:r>
      <w:r w:rsidR="00DE2517">
        <w:rPr>
          <w:bCs/>
          <w:szCs w:val="24"/>
          <w:lang w:val="pl-PL" w:eastAsia="pl-PL"/>
        </w:rPr>
        <w:t>d</w:t>
      </w:r>
      <w:r w:rsidR="00DE2517" w:rsidRPr="0010794E">
        <w:rPr>
          <w:bCs/>
          <w:szCs w:val="24"/>
          <w:lang w:val="pl-PL" w:eastAsia="pl-PL"/>
        </w:rPr>
        <w:t>oprowadzenie osoby podejrzanej o popełnienie wykroczenia do jednostki Policji</w:t>
      </w:r>
      <w:r w:rsidR="0038620F">
        <w:rPr>
          <w:bCs/>
          <w:szCs w:val="24"/>
          <w:lang w:val="pl-PL" w:eastAsia="pl-PL"/>
        </w:rPr>
        <w:t xml:space="preserve"> </w:t>
      </w:r>
      <w:r w:rsidR="00DE2517" w:rsidRPr="00DE2517">
        <w:rPr>
          <w:bCs/>
          <w:szCs w:val="24"/>
          <w:lang w:val="pl-PL" w:eastAsia="pl-PL"/>
        </w:rPr>
        <w:t>w celu dokonania niezbędnej czynności wyjaśniającej</w:t>
      </w:r>
      <w:r w:rsidR="0038620F">
        <w:rPr>
          <w:bCs/>
          <w:szCs w:val="24"/>
          <w:lang w:val="pl-PL" w:eastAsia="pl-PL"/>
        </w:rPr>
        <w:t xml:space="preserve"> lub</w:t>
      </w:r>
      <w:r w:rsidR="00DE2517" w:rsidRPr="00DE2517">
        <w:rPr>
          <w:bCs/>
          <w:szCs w:val="24"/>
          <w:lang w:val="pl-PL" w:eastAsia="pl-PL"/>
        </w:rPr>
        <w:t xml:space="preserve"> określonej czynności dowodowej</w:t>
      </w:r>
      <w:r w:rsidR="004226CF">
        <w:rPr>
          <w:bCs/>
          <w:szCs w:val="24"/>
          <w:lang w:val="pl-PL" w:eastAsia="pl-PL"/>
        </w:rPr>
        <w:t xml:space="preserve"> jest </w:t>
      </w:r>
      <w:r w:rsidR="008C32A9">
        <w:rPr>
          <w:bCs/>
          <w:szCs w:val="24"/>
          <w:lang w:val="pl-PL" w:eastAsia="pl-PL"/>
        </w:rPr>
        <w:t>dozwolone</w:t>
      </w:r>
      <w:r w:rsidR="004226CF">
        <w:rPr>
          <w:bCs/>
          <w:szCs w:val="24"/>
          <w:lang w:val="pl-PL" w:eastAsia="pl-PL"/>
        </w:rPr>
        <w:t xml:space="preserve"> także w przypadku gdy zachodzi w okolicznościach</w:t>
      </w:r>
      <w:r w:rsidR="0038620F">
        <w:rPr>
          <w:bCs/>
          <w:szCs w:val="24"/>
          <w:lang w:val="pl-PL" w:eastAsia="pl-PL"/>
        </w:rPr>
        <w:t xml:space="preserve"> </w:t>
      </w:r>
      <w:r w:rsidR="00870F55">
        <w:rPr>
          <w:bCs/>
          <w:szCs w:val="24"/>
          <w:lang w:val="pl-PL" w:eastAsia="pl-PL"/>
        </w:rPr>
        <w:t xml:space="preserve">przewidzianych w artykule 15 ustęp 1 punkt 3 Ustawy o Policji. </w:t>
      </w:r>
      <w:r w:rsidR="00F061A3" w:rsidRPr="00DE2517">
        <w:rPr>
          <w:lang w:val="pl-PL"/>
        </w:rPr>
        <w:t> </w:t>
      </w:r>
    </w:p>
    <w:p w:rsidR="00804E47" w:rsidRPr="00804E47" w:rsidRDefault="003001A7" w:rsidP="00F061A3">
      <w:pPr>
        <w:pStyle w:val="JuPara"/>
        <w:rPr>
          <w:lang w:val="pl-PL"/>
        </w:rPr>
      </w:pPr>
      <w:r>
        <w:fldChar w:fldCharType="begin"/>
      </w:r>
      <w:r w:rsidR="00F061A3" w:rsidRPr="00F61E8F">
        <w:rPr>
          <w:lang w:val="pl-PL"/>
        </w:rPr>
        <w:instrText xml:space="preserve"> SEQ level0 \*arabic </w:instrText>
      </w:r>
      <w:r>
        <w:fldChar w:fldCharType="separate"/>
      </w:r>
      <w:r w:rsidR="004E0BEB">
        <w:rPr>
          <w:noProof/>
          <w:lang w:val="pl-PL"/>
        </w:rPr>
        <w:t>66</w:t>
      </w:r>
      <w:r>
        <w:fldChar w:fldCharType="end"/>
      </w:r>
      <w:r w:rsidR="00F061A3" w:rsidRPr="00F61E8F">
        <w:rPr>
          <w:lang w:val="pl-PL"/>
        </w:rPr>
        <w:t>.  </w:t>
      </w:r>
      <w:r w:rsidR="00A803B1" w:rsidRPr="00502125">
        <w:rPr>
          <w:lang w:val="pl-PL"/>
        </w:rPr>
        <w:t>Pomimo, że ani w prze</w:t>
      </w:r>
      <w:r w:rsidR="00E43B0A" w:rsidRPr="00502125">
        <w:rPr>
          <w:lang w:val="pl-PL"/>
        </w:rPr>
        <w:t>pisach Kodeksu postępowania karn</w:t>
      </w:r>
      <w:r w:rsidR="00A803B1" w:rsidRPr="00502125">
        <w:rPr>
          <w:lang w:val="pl-PL"/>
        </w:rPr>
        <w:t xml:space="preserve">ego ani </w:t>
      </w:r>
      <w:r w:rsidR="00804E47">
        <w:rPr>
          <w:lang w:val="pl-PL"/>
        </w:rPr>
        <w:t>K</w:t>
      </w:r>
      <w:r w:rsidR="00E43B0A" w:rsidRPr="00502125">
        <w:rPr>
          <w:lang w:val="pl-PL"/>
        </w:rPr>
        <w:t>odeksu postępowania w sprawach o wykroczenia takie</w:t>
      </w:r>
      <w:r w:rsidR="000B6174">
        <w:rPr>
          <w:lang w:val="pl-PL"/>
        </w:rPr>
        <w:t>go doprowadzenia</w:t>
      </w:r>
      <w:r w:rsidR="00E43B0A" w:rsidRPr="00502125">
        <w:rPr>
          <w:lang w:val="pl-PL"/>
        </w:rPr>
        <w:t xml:space="preserve"> na posterunek wyraźnie się nie wyszczególnia</w:t>
      </w:r>
      <w:r w:rsidR="0038620F">
        <w:rPr>
          <w:lang w:val="pl-PL"/>
        </w:rPr>
        <w:t xml:space="preserve"> </w:t>
      </w:r>
      <w:r w:rsidR="00502125" w:rsidRPr="00502125">
        <w:rPr>
          <w:lang w:val="pl-PL"/>
        </w:rPr>
        <w:t xml:space="preserve">to jednak jest </w:t>
      </w:r>
      <w:r w:rsidR="00F96961">
        <w:rPr>
          <w:lang w:val="pl-PL"/>
        </w:rPr>
        <w:t xml:space="preserve">ono </w:t>
      </w:r>
      <w:r w:rsidR="000B6174">
        <w:rPr>
          <w:lang w:val="pl-PL"/>
        </w:rPr>
        <w:t>dozwolone</w:t>
      </w:r>
      <w:r w:rsidR="00E201DD">
        <w:rPr>
          <w:lang w:val="pl-PL"/>
        </w:rPr>
        <w:t xml:space="preserve"> jako niezbędna metoda przeprowadzania czynności policyjnych. </w:t>
      </w:r>
      <w:r w:rsidR="00E201DD" w:rsidRPr="00804E47">
        <w:rPr>
          <w:lang w:val="pl-PL"/>
        </w:rPr>
        <w:t>Może się bowiem zdarzyć</w:t>
      </w:r>
      <w:r w:rsidR="00804E47" w:rsidRPr="00804E47">
        <w:rPr>
          <w:lang w:val="pl-PL"/>
        </w:rPr>
        <w:t>, że dokonanie czynności, o których mowa w artykule</w:t>
      </w:r>
      <w:r w:rsidR="00F061A3" w:rsidRPr="00804E47">
        <w:rPr>
          <w:lang w:val="pl-PL"/>
        </w:rPr>
        <w:t> 19 § 1</w:t>
      </w:r>
      <w:r w:rsidR="00CC0BD4">
        <w:rPr>
          <w:lang w:val="pl-PL"/>
        </w:rPr>
        <w:t xml:space="preserve"> </w:t>
      </w:r>
      <w:r w:rsidR="00804E47">
        <w:rPr>
          <w:lang w:val="pl-PL"/>
        </w:rPr>
        <w:t>K</w:t>
      </w:r>
      <w:r w:rsidR="00804E47" w:rsidRPr="00502125">
        <w:rPr>
          <w:lang w:val="pl-PL"/>
        </w:rPr>
        <w:t>odeksu postępowania w sprawach o wykroczenia</w:t>
      </w:r>
      <w:r w:rsidR="004F53E3">
        <w:rPr>
          <w:lang w:val="pl-PL"/>
        </w:rPr>
        <w:t xml:space="preserve"> lub w artykule 14 u</w:t>
      </w:r>
      <w:r w:rsidR="003A60FE">
        <w:rPr>
          <w:lang w:val="pl-PL"/>
        </w:rPr>
        <w:t xml:space="preserve">stawy o Policji musi nastąpić </w:t>
      </w:r>
      <w:r w:rsidR="004F1204">
        <w:rPr>
          <w:lang w:val="pl-PL"/>
        </w:rPr>
        <w:t>w odpowiednio przystosowanych warunkach lokalowych, a nie w miejscu publicznym.</w:t>
      </w:r>
      <w:r w:rsidR="0038620F">
        <w:rPr>
          <w:lang w:val="pl-PL"/>
        </w:rPr>
        <w:t xml:space="preserve"> </w:t>
      </w:r>
      <w:r w:rsidR="004048FD">
        <w:rPr>
          <w:lang w:val="pl-PL"/>
        </w:rPr>
        <w:t>Tak sytuacja może dotyczyć na przykład ustalenia tożsamości osoby ujętej na gorącym uczynku</w:t>
      </w:r>
      <w:r w:rsidR="00A11BAA">
        <w:rPr>
          <w:lang w:val="pl-PL"/>
        </w:rPr>
        <w:t>, które ni</w:t>
      </w:r>
      <w:r w:rsidR="004F53E3">
        <w:rPr>
          <w:lang w:val="pl-PL"/>
        </w:rPr>
        <w:t>e</w:t>
      </w:r>
      <w:r w:rsidR="00A11BAA">
        <w:rPr>
          <w:lang w:val="pl-PL"/>
        </w:rPr>
        <w:t xml:space="preserve"> ma wymaganych dokumentów, dokonania czynności dokładnego przeszukania osoby</w:t>
      </w:r>
      <w:r w:rsidR="00AD5F90">
        <w:rPr>
          <w:lang w:val="pl-PL"/>
        </w:rPr>
        <w:t xml:space="preserve"> lub pobrania dla celów dowodowych próbki krwi.</w:t>
      </w:r>
    </w:p>
    <w:p w:rsidR="00F061A3" w:rsidRPr="00AD5F90" w:rsidRDefault="003001A7" w:rsidP="00F061A3">
      <w:pPr>
        <w:pStyle w:val="JuPara"/>
        <w:rPr>
          <w:lang w:val="pl-PL"/>
        </w:rPr>
      </w:pPr>
      <w:r>
        <w:fldChar w:fldCharType="begin"/>
      </w:r>
      <w:r w:rsidR="00F061A3" w:rsidRPr="00AD5F90">
        <w:rPr>
          <w:lang w:val="pl-PL"/>
        </w:rPr>
        <w:instrText xml:space="preserve"> SEQ level0 \*arabic </w:instrText>
      </w:r>
      <w:r>
        <w:fldChar w:fldCharType="separate"/>
      </w:r>
      <w:r w:rsidR="004E0BEB">
        <w:rPr>
          <w:noProof/>
          <w:lang w:val="pl-PL"/>
        </w:rPr>
        <w:t>67</w:t>
      </w:r>
      <w:r>
        <w:fldChar w:fldCharType="end"/>
      </w:r>
      <w:r w:rsidR="00F061A3" w:rsidRPr="00AD5F90">
        <w:rPr>
          <w:lang w:val="pl-PL"/>
        </w:rPr>
        <w:t>.  </w:t>
      </w:r>
      <w:r w:rsidR="00AD5F90" w:rsidRPr="00AD5F90">
        <w:rPr>
          <w:lang w:val="pl-PL"/>
        </w:rPr>
        <w:t>Według Sądu Najwyższego, takie doprowadz</w:t>
      </w:r>
      <w:r w:rsidR="00693144">
        <w:rPr>
          <w:lang w:val="pl-PL"/>
        </w:rPr>
        <w:t>enie, jeśli nie nastąpi na podstawie artykułu 15 ustęp 1 punkt 3 ustawy o Policji</w:t>
      </w:r>
      <w:r w:rsidR="00FF1BA3">
        <w:rPr>
          <w:lang w:val="pl-PL"/>
        </w:rPr>
        <w:t xml:space="preserve"> nie podlega kontroli sądowej </w:t>
      </w:r>
      <w:r w:rsidR="00E36323">
        <w:rPr>
          <w:lang w:val="pl-PL"/>
        </w:rPr>
        <w:t xml:space="preserve">na podstawie artykułu 23 Kodeksu postępowania karnego. W przypadku ewentualnych nadużyć prawa </w:t>
      </w:r>
      <w:r w:rsidR="00395442">
        <w:rPr>
          <w:lang w:val="pl-PL"/>
        </w:rPr>
        <w:t xml:space="preserve">wobec osoby czasowo pozbawionej </w:t>
      </w:r>
      <w:r w:rsidR="006264DA">
        <w:rPr>
          <w:lang w:val="pl-PL"/>
        </w:rPr>
        <w:t xml:space="preserve">swobody z powodu doprowadzenia na posterunek, pokrzywdzony </w:t>
      </w:r>
      <w:r w:rsidR="00AB2E92">
        <w:rPr>
          <w:lang w:val="pl-PL"/>
        </w:rPr>
        <w:t>może zastosować środek prawnego reagowania w postaci pocią</w:t>
      </w:r>
      <w:r w:rsidR="00AE50C1">
        <w:rPr>
          <w:lang w:val="pl-PL"/>
        </w:rPr>
        <w:t>gnięcie winnego funkcjonariusza do odpowiedzialności karnej, dyscyplinarnej lub cywilnej.</w:t>
      </w:r>
    </w:p>
    <w:p w:rsidR="00F061A3" w:rsidRPr="0000783C" w:rsidRDefault="00F061A3" w:rsidP="00F061A3">
      <w:pPr>
        <w:pStyle w:val="JuHA"/>
        <w:rPr>
          <w:lang w:val="pl-PL"/>
        </w:rPr>
      </w:pPr>
      <w:r w:rsidRPr="005D4027">
        <w:rPr>
          <w:lang w:val="pl-PL"/>
        </w:rPr>
        <w:t>H.  </w:t>
      </w:r>
      <w:r w:rsidR="009939C6">
        <w:rPr>
          <w:lang w:val="pl-PL"/>
        </w:rPr>
        <w:t>Przepisy k</w:t>
      </w:r>
      <w:r w:rsidR="00870F55" w:rsidRPr="0000783C">
        <w:rPr>
          <w:lang w:val="pl-PL"/>
        </w:rPr>
        <w:t xml:space="preserve">odeksu postępowania karnego dotyczące </w:t>
      </w:r>
      <w:r w:rsidR="0000783C" w:rsidRPr="0000783C">
        <w:rPr>
          <w:lang w:val="pl-PL"/>
        </w:rPr>
        <w:t xml:space="preserve">odszkodowania za niesłuszne </w:t>
      </w:r>
      <w:r w:rsidR="0000783C">
        <w:rPr>
          <w:lang w:val="pl-PL"/>
        </w:rPr>
        <w:t>zatrzymanie lub aresztowanie</w:t>
      </w:r>
    </w:p>
    <w:p w:rsidR="00F061A3" w:rsidRPr="0000783C" w:rsidRDefault="003001A7" w:rsidP="00F061A3">
      <w:pPr>
        <w:pStyle w:val="JuPara"/>
        <w:rPr>
          <w:lang w:val="pl-PL"/>
        </w:rPr>
      </w:pPr>
      <w:r>
        <w:fldChar w:fldCharType="begin"/>
      </w:r>
      <w:r w:rsidR="00F061A3" w:rsidRPr="005D4027">
        <w:rPr>
          <w:lang w:val="pl-PL"/>
        </w:rPr>
        <w:instrText xml:space="preserve"> SEQ level0 \*arabic </w:instrText>
      </w:r>
      <w:r>
        <w:fldChar w:fldCharType="separate"/>
      </w:r>
      <w:r w:rsidR="004E0BEB">
        <w:rPr>
          <w:noProof/>
          <w:lang w:val="pl-PL"/>
        </w:rPr>
        <w:t>68</w:t>
      </w:r>
      <w:r>
        <w:fldChar w:fldCharType="end"/>
      </w:r>
      <w:r w:rsidR="00F061A3" w:rsidRPr="005D4027">
        <w:rPr>
          <w:lang w:val="pl-PL"/>
        </w:rPr>
        <w:t>.  </w:t>
      </w:r>
      <w:r w:rsidR="009939C6">
        <w:rPr>
          <w:lang w:val="pl-PL"/>
        </w:rPr>
        <w:t>Rozdział 58 k</w:t>
      </w:r>
      <w:r w:rsidR="0000783C" w:rsidRPr="0000783C">
        <w:rPr>
          <w:lang w:val="pl-PL"/>
        </w:rPr>
        <w:t>odeksu post</w:t>
      </w:r>
      <w:r w:rsidR="009939C6">
        <w:rPr>
          <w:lang w:val="pl-PL"/>
        </w:rPr>
        <w:t>ępowania karnego zatytułowany „</w:t>
      </w:r>
      <w:r w:rsidR="0000783C">
        <w:rPr>
          <w:lang w:val="pl-PL"/>
        </w:rPr>
        <w:t>Odszkodowanie za niesłuszne skazanie, tymczasowe aresztowanie lub zatrzymanie” stanowi, że w przypadku niesłusznego skazania lub zastosow</w:t>
      </w:r>
      <w:r w:rsidR="003A3CC2">
        <w:rPr>
          <w:lang w:val="pl-PL"/>
        </w:rPr>
        <w:t>ania środka pozbawienia wolności, o którym postanowiono</w:t>
      </w:r>
      <w:r w:rsidR="0000783C">
        <w:rPr>
          <w:lang w:val="pl-PL"/>
        </w:rPr>
        <w:t xml:space="preserve"> w </w:t>
      </w:r>
      <w:r w:rsidR="003A3CC2">
        <w:rPr>
          <w:lang w:val="pl-PL"/>
        </w:rPr>
        <w:t>czasie</w:t>
      </w:r>
      <w:r w:rsidR="0000783C">
        <w:rPr>
          <w:lang w:val="pl-PL"/>
        </w:rPr>
        <w:t xml:space="preserve"> postępowania karnego przysługuje odszkodowanie od Skarbu Państwa</w:t>
      </w:r>
      <w:r w:rsidR="009939C6">
        <w:rPr>
          <w:lang w:val="pl-PL"/>
        </w:rPr>
        <w:t>”</w:t>
      </w:r>
    </w:p>
    <w:p w:rsidR="00F061A3" w:rsidRPr="0000783C" w:rsidRDefault="003001A7" w:rsidP="00F061A3">
      <w:pPr>
        <w:pStyle w:val="JuPara"/>
        <w:rPr>
          <w:lang w:val="pl-PL"/>
        </w:rPr>
      </w:pPr>
      <w:r>
        <w:fldChar w:fldCharType="begin"/>
      </w:r>
      <w:r w:rsidR="00F061A3" w:rsidRPr="005D4027">
        <w:rPr>
          <w:lang w:val="pl-PL"/>
        </w:rPr>
        <w:instrText xml:space="preserve"> SEQ level0 \*arabic </w:instrText>
      </w:r>
      <w:r>
        <w:fldChar w:fldCharType="separate"/>
      </w:r>
      <w:r w:rsidR="004E0BEB">
        <w:rPr>
          <w:noProof/>
          <w:lang w:val="pl-PL"/>
        </w:rPr>
        <w:t>69</w:t>
      </w:r>
      <w:r>
        <w:fldChar w:fldCharType="end"/>
      </w:r>
      <w:r w:rsidR="00F061A3" w:rsidRPr="005D4027">
        <w:rPr>
          <w:lang w:val="pl-PL"/>
        </w:rPr>
        <w:t>.  </w:t>
      </w:r>
      <w:r w:rsidR="0000783C" w:rsidRPr="0000783C">
        <w:rPr>
          <w:lang w:val="pl-PL"/>
        </w:rPr>
        <w:t xml:space="preserve">We właściwych częściach, artykuł 552 stanowi </w:t>
      </w:r>
      <w:r w:rsidR="00F061A3" w:rsidRPr="0000783C">
        <w:rPr>
          <w:lang w:val="pl-PL"/>
        </w:rPr>
        <w:t> :</w:t>
      </w:r>
    </w:p>
    <w:p w:rsidR="0000783C" w:rsidRPr="0000783C" w:rsidRDefault="00360ED5" w:rsidP="00F061A3">
      <w:pPr>
        <w:pStyle w:val="JuQuot"/>
        <w:rPr>
          <w:iCs/>
          <w:lang w:val="pl-PL"/>
        </w:rPr>
      </w:pPr>
      <w:r>
        <w:rPr>
          <w:lang w:val="pl-PL"/>
        </w:rPr>
        <w:t>„</w:t>
      </w:r>
      <w:r w:rsidR="00F061A3" w:rsidRPr="0000783C">
        <w:rPr>
          <w:lang w:val="pl-PL"/>
        </w:rPr>
        <w:t> 1. </w:t>
      </w:r>
      <w:r w:rsidR="0000783C" w:rsidRPr="0000783C">
        <w:rPr>
          <w:iCs/>
          <w:lang w:val="pl-PL"/>
        </w:rPr>
        <w:t>Oskarżonemu, który w wyniku wznowienia postępowania lub kasacji został uniewinniony lub skazany na łagodniejszą karę, służy od Skarbu Państwa odszkodowanie za poniesioną szkodę oraz zadośćuczynienie za doznaną krzywdę, wynikłe z wykonania względem niego w całości lub w części kary, której nie powinien był ponieść</w:t>
      </w:r>
      <w:r w:rsidR="0000783C">
        <w:rPr>
          <w:iCs/>
          <w:lang w:val="pl-PL"/>
        </w:rPr>
        <w:t xml:space="preserve">. </w:t>
      </w:r>
    </w:p>
    <w:p w:rsidR="00F061A3" w:rsidRPr="006B0590" w:rsidRDefault="00F061A3" w:rsidP="00F061A3">
      <w:pPr>
        <w:pStyle w:val="JuQuot"/>
      </w:pPr>
      <w:r w:rsidRPr="006B0590">
        <w:t>(...)</w:t>
      </w:r>
    </w:p>
    <w:p w:rsidR="00BC5B86" w:rsidRPr="00BC5B86" w:rsidRDefault="0000783C" w:rsidP="00BC5B86">
      <w:pPr>
        <w:pStyle w:val="JuQuot"/>
        <w:numPr>
          <w:ilvl w:val="0"/>
          <w:numId w:val="6"/>
        </w:numPr>
        <w:rPr>
          <w:lang w:val="pl-PL"/>
        </w:rPr>
      </w:pPr>
      <w:r w:rsidRPr="00BC5B86">
        <w:rPr>
          <w:iCs/>
          <w:lang w:val="pl-PL"/>
        </w:rPr>
        <w:lastRenderedPageBreak/>
        <w:t>Odszkodowanie i zadośćuczynienie przysługuje również w wypadku niewą</w:t>
      </w:r>
      <w:r w:rsidR="00BC5B86" w:rsidRPr="00BC5B86">
        <w:rPr>
          <w:iCs/>
          <w:lang w:val="pl-PL"/>
        </w:rPr>
        <w:t>t</w:t>
      </w:r>
      <w:r w:rsidRPr="00BC5B86">
        <w:rPr>
          <w:iCs/>
          <w:lang w:val="pl-PL"/>
        </w:rPr>
        <w:t>pliwie niesłusznego tymczasowego aresztowania lub zatrzymania</w:t>
      </w:r>
      <w:r w:rsidR="00BC5B86" w:rsidRPr="00BC5B86">
        <w:rPr>
          <w:iCs/>
          <w:lang w:val="pl-PL"/>
        </w:rPr>
        <w:t>.</w:t>
      </w:r>
      <w:r w:rsidR="00BC5B86">
        <w:rPr>
          <w:iCs/>
          <w:lang w:val="pl-PL"/>
        </w:rPr>
        <w:t>„</w:t>
      </w:r>
    </w:p>
    <w:p w:rsidR="00F061A3" w:rsidRPr="005332DB" w:rsidRDefault="00F061A3" w:rsidP="00F061A3">
      <w:pPr>
        <w:pStyle w:val="JuHA"/>
        <w:rPr>
          <w:lang w:val="pl-PL"/>
        </w:rPr>
      </w:pPr>
      <w:r w:rsidRPr="005332DB">
        <w:rPr>
          <w:lang w:val="pl-PL"/>
        </w:rPr>
        <w:t xml:space="preserve">I. </w:t>
      </w:r>
      <w:r w:rsidR="00BC5B86" w:rsidRPr="008A3D10">
        <w:rPr>
          <w:lang w:val="pl-PL"/>
        </w:rPr>
        <w:t>Uchwały</w:t>
      </w:r>
      <w:r w:rsidR="0038620F">
        <w:rPr>
          <w:lang w:val="pl-PL"/>
        </w:rPr>
        <w:t xml:space="preserve"> </w:t>
      </w:r>
      <w:r w:rsidR="00BC5B86" w:rsidRPr="008A3D10">
        <w:rPr>
          <w:lang w:val="pl-PL"/>
        </w:rPr>
        <w:t>Sądu</w:t>
      </w:r>
      <w:r w:rsidR="0038620F">
        <w:rPr>
          <w:lang w:val="pl-PL"/>
        </w:rPr>
        <w:t xml:space="preserve"> </w:t>
      </w:r>
      <w:r w:rsidR="00BC5B86" w:rsidRPr="008A3D10">
        <w:rPr>
          <w:lang w:val="pl-PL"/>
        </w:rPr>
        <w:t>Najwyższego</w:t>
      </w:r>
    </w:p>
    <w:p w:rsidR="00F061A3" w:rsidRPr="00BC5B86" w:rsidRDefault="003001A7" w:rsidP="00F061A3">
      <w:pPr>
        <w:pStyle w:val="JuPara"/>
        <w:rPr>
          <w:szCs w:val="24"/>
          <w:lang w:val="pl-PL"/>
        </w:rPr>
      </w:pPr>
      <w:r>
        <w:rPr>
          <w:szCs w:val="24"/>
        </w:rPr>
        <w:fldChar w:fldCharType="begin"/>
      </w:r>
      <w:r w:rsidR="00F061A3" w:rsidRPr="005D4027">
        <w:rPr>
          <w:szCs w:val="24"/>
          <w:lang w:val="pl-PL"/>
        </w:rPr>
        <w:instrText xml:space="preserve"> SEQ level0 \*arabic </w:instrText>
      </w:r>
      <w:r>
        <w:rPr>
          <w:szCs w:val="24"/>
        </w:rPr>
        <w:fldChar w:fldCharType="separate"/>
      </w:r>
      <w:r w:rsidR="004E0BEB">
        <w:rPr>
          <w:noProof/>
          <w:szCs w:val="24"/>
          <w:lang w:val="pl-PL"/>
        </w:rPr>
        <w:t>70</w:t>
      </w:r>
      <w:r>
        <w:rPr>
          <w:szCs w:val="24"/>
        </w:rPr>
        <w:fldChar w:fldCharType="end"/>
      </w:r>
      <w:r w:rsidR="00F061A3" w:rsidRPr="005D4027">
        <w:rPr>
          <w:szCs w:val="24"/>
          <w:lang w:val="pl-PL"/>
        </w:rPr>
        <w:t>.  </w:t>
      </w:r>
      <w:r w:rsidR="00754810">
        <w:rPr>
          <w:szCs w:val="24"/>
          <w:lang w:val="pl-PL"/>
        </w:rPr>
        <w:t>J</w:t>
      </w:r>
      <w:r w:rsidR="00754810" w:rsidRPr="00BC5B86">
        <w:rPr>
          <w:szCs w:val="24"/>
          <w:lang w:val="pl-PL"/>
        </w:rPr>
        <w:t xml:space="preserve">ednym z zadań polskiego Sądu Najwyższego jest </w:t>
      </w:r>
      <w:r w:rsidR="00754810">
        <w:rPr>
          <w:szCs w:val="24"/>
          <w:lang w:val="pl-PL"/>
        </w:rPr>
        <w:t>c</w:t>
      </w:r>
      <w:r w:rsidR="00BC5B86" w:rsidRPr="00BC5B86">
        <w:rPr>
          <w:szCs w:val="24"/>
          <w:lang w:val="pl-PL"/>
        </w:rPr>
        <w:t>zuwanie na ujednoliceniem orzecznictwa.</w:t>
      </w:r>
      <w:r w:rsidR="00BC5B86">
        <w:rPr>
          <w:szCs w:val="24"/>
          <w:lang w:val="pl-PL"/>
        </w:rPr>
        <w:t xml:space="preserve"> Zadanie to j</w:t>
      </w:r>
      <w:r w:rsidR="009B38BC">
        <w:rPr>
          <w:szCs w:val="24"/>
          <w:lang w:val="pl-PL"/>
        </w:rPr>
        <w:t>est wykonywane głównie poprzez</w:t>
      </w:r>
      <w:r w:rsidR="00BC5B86">
        <w:rPr>
          <w:szCs w:val="24"/>
          <w:lang w:val="pl-PL"/>
        </w:rPr>
        <w:t xml:space="preserve"> uchwał</w:t>
      </w:r>
      <w:r w:rsidR="009B38BC">
        <w:rPr>
          <w:szCs w:val="24"/>
          <w:lang w:val="pl-PL"/>
        </w:rPr>
        <w:t>y przyjmowane</w:t>
      </w:r>
      <w:r w:rsidR="00BC5B86">
        <w:rPr>
          <w:szCs w:val="24"/>
          <w:lang w:val="pl-PL"/>
        </w:rPr>
        <w:t xml:space="preserve"> w razie konieczności wyjaśnienia odpowiednich przepisów prawa lub rozwiązania budzącego wątpliwości zagadnienia prawnego powstałego w czasie sporu. </w:t>
      </w:r>
    </w:p>
    <w:p w:rsidR="00F061A3" w:rsidRPr="00BC5B86" w:rsidRDefault="003001A7" w:rsidP="00F061A3">
      <w:pPr>
        <w:pStyle w:val="JuPara"/>
        <w:rPr>
          <w:szCs w:val="24"/>
          <w:lang w:val="pl-PL"/>
        </w:rPr>
      </w:pPr>
      <w:r>
        <w:rPr>
          <w:szCs w:val="24"/>
        </w:rPr>
        <w:fldChar w:fldCharType="begin"/>
      </w:r>
      <w:r w:rsidR="00F061A3" w:rsidRPr="005D4027">
        <w:rPr>
          <w:szCs w:val="24"/>
          <w:lang w:val="pl-PL"/>
        </w:rPr>
        <w:instrText xml:space="preserve"> SEQ level0 \*arabic </w:instrText>
      </w:r>
      <w:r>
        <w:rPr>
          <w:szCs w:val="24"/>
        </w:rPr>
        <w:fldChar w:fldCharType="separate"/>
      </w:r>
      <w:r w:rsidR="004E0BEB">
        <w:rPr>
          <w:noProof/>
          <w:szCs w:val="24"/>
          <w:lang w:val="pl-PL"/>
        </w:rPr>
        <w:t>71</w:t>
      </w:r>
      <w:r>
        <w:rPr>
          <w:szCs w:val="24"/>
        </w:rPr>
        <w:fldChar w:fldCharType="end"/>
      </w:r>
      <w:r w:rsidR="00F061A3" w:rsidRPr="005D4027">
        <w:rPr>
          <w:szCs w:val="24"/>
          <w:lang w:val="pl-PL"/>
        </w:rPr>
        <w:t>.  </w:t>
      </w:r>
      <w:r w:rsidR="008A3D10" w:rsidRPr="008A3D10">
        <w:rPr>
          <w:szCs w:val="24"/>
          <w:lang w:val="pl-PL"/>
        </w:rPr>
        <w:t xml:space="preserve">Podejmowana </w:t>
      </w:r>
      <w:r w:rsidR="008A3D10" w:rsidRPr="00BC5B86">
        <w:rPr>
          <w:szCs w:val="24"/>
          <w:lang w:val="pl-PL"/>
        </w:rPr>
        <w:t xml:space="preserve">przez Sąd Najwyższy w składzie trzech sędziów </w:t>
      </w:r>
      <w:r w:rsidR="008A3D10">
        <w:rPr>
          <w:szCs w:val="24"/>
          <w:lang w:val="pl-PL"/>
        </w:rPr>
        <w:t>u</w:t>
      </w:r>
      <w:r w:rsidR="00BC5B86" w:rsidRPr="00BC5B86">
        <w:rPr>
          <w:szCs w:val="24"/>
          <w:lang w:val="pl-PL"/>
        </w:rPr>
        <w:t xml:space="preserve">chwała </w:t>
      </w:r>
      <w:r w:rsidR="00BC5B86">
        <w:rPr>
          <w:szCs w:val="24"/>
          <w:lang w:val="pl-PL"/>
        </w:rPr>
        <w:t>w przedmiocie pytania prejudycjalnego</w:t>
      </w:r>
      <w:r w:rsidR="008A3D10">
        <w:rPr>
          <w:szCs w:val="24"/>
          <w:lang w:val="pl-PL"/>
        </w:rPr>
        <w:t xml:space="preserve"> zadanego przez sąd niższej instancji w ramach toczącego się przed nim postępowania wiąże jedynie formalnie ten sąd i tylko w zakresie konkretnego toczącego się przed nim postępowania.    </w:t>
      </w:r>
    </w:p>
    <w:p w:rsidR="00F061A3" w:rsidRPr="00BC5B86" w:rsidRDefault="00F061A3" w:rsidP="00F061A3">
      <w:pPr>
        <w:pStyle w:val="JuPara"/>
        <w:rPr>
          <w:szCs w:val="24"/>
          <w:lang w:val="pl-PL"/>
        </w:rPr>
      </w:pPr>
    </w:p>
    <w:p w:rsidR="00F061A3" w:rsidRPr="005D4027" w:rsidRDefault="008A3D10" w:rsidP="00F061A3">
      <w:pPr>
        <w:pStyle w:val="JuHHead"/>
        <w:rPr>
          <w:lang w:val="pl-PL"/>
        </w:rPr>
      </w:pPr>
      <w:r w:rsidRPr="005D4027">
        <w:rPr>
          <w:lang w:val="pl-PL"/>
        </w:rPr>
        <w:t>PRAWO</w:t>
      </w:r>
    </w:p>
    <w:p w:rsidR="00F061A3" w:rsidRPr="005D4027" w:rsidRDefault="00F061A3" w:rsidP="00F061A3">
      <w:pPr>
        <w:pStyle w:val="JuHIRoman"/>
        <w:rPr>
          <w:caps/>
          <w:lang w:val="pl-PL"/>
        </w:rPr>
      </w:pPr>
      <w:r w:rsidRPr="005D4027">
        <w:rPr>
          <w:caps/>
          <w:lang w:val="pl-PL"/>
        </w:rPr>
        <w:t>I.  </w:t>
      </w:r>
      <w:r w:rsidRPr="005D4027">
        <w:rPr>
          <w:i/>
          <w:caps/>
          <w:lang w:val="pl-PL"/>
        </w:rPr>
        <w:t>locus</w:t>
      </w:r>
      <w:r w:rsidR="0038620F">
        <w:rPr>
          <w:i/>
          <w:caps/>
          <w:lang w:val="pl-PL"/>
        </w:rPr>
        <w:t xml:space="preserve"> </w:t>
      </w:r>
      <w:r w:rsidRPr="008A3D10">
        <w:rPr>
          <w:i/>
          <w:caps/>
          <w:lang w:val="pl-PL"/>
        </w:rPr>
        <w:t>standi</w:t>
      </w:r>
      <w:r w:rsidR="00CC0BD4" w:rsidRPr="00CC0BD4">
        <w:rPr>
          <w:caps/>
          <w:lang w:val="pl-PL"/>
        </w:rPr>
        <w:t xml:space="preserve"> </w:t>
      </w:r>
      <w:r w:rsidR="00CC0BD4">
        <w:rPr>
          <w:caps/>
          <w:lang w:val="pl-PL"/>
        </w:rPr>
        <w:t>Pa</w:t>
      </w:r>
      <w:r w:rsidR="008A3D10" w:rsidRPr="008A3D10">
        <w:rPr>
          <w:caps/>
          <w:lang w:val="pl-PL"/>
        </w:rPr>
        <w:t>NI</w:t>
      </w:r>
      <w:r w:rsidR="00CC0BD4">
        <w:rPr>
          <w:caps/>
          <w:lang w:val="pl-PL"/>
        </w:rPr>
        <w:t xml:space="preserve"> </w:t>
      </w:r>
      <w:r w:rsidR="008A3D10" w:rsidRPr="008A3D10">
        <w:rPr>
          <w:caps/>
          <w:lang w:val="pl-PL"/>
        </w:rPr>
        <w:t>TomaszewsKIEJ</w:t>
      </w:r>
    </w:p>
    <w:p w:rsidR="00F061A3" w:rsidRPr="008A3D10" w:rsidRDefault="003001A7" w:rsidP="00F061A3">
      <w:pPr>
        <w:pStyle w:val="JuPara"/>
        <w:ind w:firstLine="360"/>
        <w:rPr>
          <w:lang w:val="pl-PL"/>
        </w:rPr>
      </w:pPr>
      <w:r>
        <w:fldChar w:fldCharType="begin"/>
      </w:r>
      <w:r w:rsidR="00F061A3" w:rsidRPr="005D4027">
        <w:rPr>
          <w:lang w:val="pl-PL"/>
        </w:rPr>
        <w:instrText xml:space="preserve"> SEQ level0 \*arabic </w:instrText>
      </w:r>
      <w:r>
        <w:fldChar w:fldCharType="separate"/>
      </w:r>
      <w:r w:rsidR="004E0BEB">
        <w:rPr>
          <w:noProof/>
          <w:lang w:val="pl-PL"/>
        </w:rPr>
        <w:t>72</w:t>
      </w:r>
      <w:r>
        <w:fldChar w:fldCharType="end"/>
      </w:r>
      <w:r w:rsidR="00F061A3" w:rsidRPr="005D4027">
        <w:rPr>
          <w:lang w:val="pl-PL"/>
        </w:rPr>
        <w:t>.  </w:t>
      </w:r>
      <w:r w:rsidR="008A3D10" w:rsidRPr="008A3D10">
        <w:rPr>
          <w:lang w:val="pl-PL"/>
        </w:rPr>
        <w:t xml:space="preserve">Trybunał zauważa, że Zbigniew Tomaszewski zmarł </w:t>
      </w:r>
      <w:r w:rsidR="008A3D10">
        <w:rPr>
          <w:lang w:val="pl-PL"/>
        </w:rPr>
        <w:t>w wiek</w:t>
      </w:r>
      <w:r w:rsidR="008A3D10" w:rsidRPr="008A3D10">
        <w:rPr>
          <w:lang w:val="pl-PL"/>
        </w:rPr>
        <w:t>u piętnastu lat</w:t>
      </w:r>
      <w:r w:rsidR="00360ED5">
        <w:rPr>
          <w:lang w:val="pl-PL"/>
        </w:rPr>
        <w:t>,</w:t>
      </w:r>
      <w:r w:rsidR="008A3D10" w:rsidRPr="008A3D10">
        <w:rPr>
          <w:lang w:val="pl-PL"/>
        </w:rPr>
        <w:t xml:space="preserve"> w dniu 17 sierpnia 2004 roku</w:t>
      </w:r>
      <w:r w:rsidR="008A3D10">
        <w:rPr>
          <w:lang w:val="pl-PL"/>
        </w:rPr>
        <w:t xml:space="preserve">, to jest około sześć miesięcy przed wniesieniem niniejszej skargi. Trybunał musi zbadać </w:t>
      </w:r>
      <w:r w:rsidR="00A370BE">
        <w:rPr>
          <w:lang w:val="pl-PL"/>
        </w:rPr>
        <w:t xml:space="preserve">czy Pani Tomaszewska, matka Zbigniewa może występować przed Trybunałem zamiast zmarłego.  </w:t>
      </w:r>
    </w:p>
    <w:p w:rsidR="00F061A3" w:rsidRPr="005559C7" w:rsidRDefault="003001A7" w:rsidP="00F061A3">
      <w:pPr>
        <w:pStyle w:val="JuPara"/>
        <w:ind w:firstLine="360"/>
        <w:rPr>
          <w:lang w:val="pl-PL"/>
        </w:rPr>
      </w:pPr>
      <w:r>
        <w:fldChar w:fldCharType="begin"/>
      </w:r>
      <w:r w:rsidR="00F061A3" w:rsidRPr="005D4027">
        <w:rPr>
          <w:lang w:val="pl-PL"/>
        </w:rPr>
        <w:instrText xml:space="preserve"> SEQ level0 \*arabic </w:instrText>
      </w:r>
      <w:r>
        <w:fldChar w:fldCharType="separate"/>
      </w:r>
      <w:r w:rsidR="004E0BEB">
        <w:rPr>
          <w:noProof/>
          <w:lang w:val="pl-PL"/>
        </w:rPr>
        <w:t>73</w:t>
      </w:r>
      <w:r>
        <w:fldChar w:fldCharType="end"/>
      </w:r>
      <w:r w:rsidR="00F061A3" w:rsidRPr="005D4027">
        <w:rPr>
          <w:lang w:val="pl-PL"/>
        </w:rPr>
        <w:t>.  </w:t>
      </w:r>
      <w:r w:rsidR="005559C7" w:rsidRPr="005559C7">
        <w:rPr>
          <w:lang w:val="pl-PL"/>
        </w:rPr>
        <w:t>Rząd nie sprzeciwił się wniesieniu skargi przez Panią Tomaszewską</w:t>
      </w:r>
      <w:r w:rsidR="00AF3C7F">
        <w:rPr>
          <w:lang w:val="pl-PL"/>
        </w:rPr>
        <w:t xml:space="preserve"> z wyjątkiem zarzutu opartego na artykule 6 Konwencji. </w:t>
      </w:r>
    </w:p>
    <w:p w:rsidR="00F061A3" w:rsidRPr="00AD1F81" w:rsidRDefault="003001A7" w:rsidP="00F061A3">
      <w:pPr>
        <w:pStyle w:val="JuPara"/>
        <w:ind w:firstLine="360"/>
        <w:rPr>
          <w:lang w:val="pl-PL"/>
        </w:rPr>
      </w:pPr>
      <w:r>
        <w:fldChar w:fldCharType="begin"/>
      </w:r>
      <w:r w:rsidR="00F061A3" w:rsidRPr="005D4027">
        <w:rPr>
          <w:lang w:val="pl-PL"/>
        </w:rPr>
        <w:instrText xml:space="preserve"> SEQ level0 \*arabic </w:instrText>
      </w:r>
      <w:r>
        <w:fldChar w:fldCharType="separate"/>
      </w:r>
      <w:r w:rsidR="004E0BEB">
        <w:rPr>
          <w:noProof/>
          <w:lang w:val="pl-PL"/>
        </w:rPr>
        <w:t>74</w:t>
      </w:r>
      <w:r>
        <w:fldChar w:fldCharType="end"/>
      </w:r>
      <w:r w:rsidR="00F061A3" w:rsidRPr="005D4027">
        <w:rPr>
          <w:lang w:val="pl-PL"/>
        </w:rPr>
        <w:t>.  </w:t>
      </w:r>
      <w:r w:rsidR="00AF3C7F" w:rsidRPr="00AF3C7F">
        <w:rPr>
          <w:lang w:val="pl-PL"/>
        </w:rPr>
        <w:t>Trybunał przypomina, że istnienie ofiary naruszenia to znaczy osoby</w:t>
      </w:r>
      <w:r w:rsidR="00AD1F81">
        <w:rPr>
          <w:lang w:val="pl-PL"/>
        </w:rPr>
        <w:t>, której zarzucane naruszenie</w:t>
      </w:r>
      <w:r w:rsidR="00AF3C7F">
        <w:rPr>
          <w:lang w:val="pl-PL"/>
        </w:rPr>
        <w:t xml:space="preserve"> prawa zagwarantowanego przez Konwencję</w:t>
      </w:r>
      <w:r w:rsidR="00004919">
        <w:rPr>
          <w:lang w:val="pl-PL"/>
        </w:rPr>
        <w:t xml:space="preserve"> </w:t>
      </w:r>
      <w:r w:rsidR="00AD1F81">
        <w:rPr>
          <w:lang w:val="pl-PL"/>
        </w:rPr>
        <w:t>dotyczy bezpośrednio</w:t>
      </w:r>
      <w:r w:rsidR="00993BFC">
        <w:rPr>
          <w:lang w:val="pl-PL"/>
        </w:rPr>
        <w:t>,</w:t>
      </w:r>
      <w:r w:rsidR="00AD1F81">
        <w:rPr>
          <w:lang w:val="pl-PL"/>
        </w:rPr>
        <w:t xml:space="preserve"> jest niezbędne do uruchomienia mechanizmu ochrony przewidzianego przez Konwencję, chociaż to kryterium nie musi być stosowane</w:t>
      </w:r>
      <w:r w:rsidR="00004919">
        <w:rPr>
          <w:lang w:val="pl-PL"/>
        </w:rPr>
        <w:t xml:space="preserve"> </w:t>
      </w:r>
      <w:r w:rsidR="00AD1F81">
        <w:rPr>
          <w:lang w:val="pl-PL"/>
        </w:rPr>
        <w:t>rygorystycznie, mechanicznie i bezwzględnie w czasie trwania postępowania</w:t>
      </w:r>
      <w:r w:rsidR="00445F9B">
        <w:rPr>
          <w:lang w:val="pl-PL"/>
        </w:rPr>
        <w:t xml:space="preserve"> </w:t>
      </w:r>
      <w:r w:rsidR="00F061A3" w:rsidRPr="00AF3C7F">
        <w:rPr>
          <w:lang w:val="pl-PL"/>
        </w:rPr>
        <w:t>(</w:t>
      </w:r>
      <w:proofErr w:type="spellStart"/>
      <w:r w:rsidR="00F061A3" w:rsidRPr="00AF3C7F">
        <w:rPr>
          <w:i/>
          <w:lang w:val="pl-PL"/>
        </w:rPr>
        <w:t>Karner</w:t>
      </w:r>
      <w:proofErr w:type="spellEnd"/>
      <w:r w:rsidR="00004919">
        <w:rPr>
          <w:i/>
          <w:lang w:val="pl-PL"/>
        </w:rPr>
        <w:t xml:space="preserve"> </w:t>
      </w:r>
      <w:r w:rsidR="00AD1F81">
        <w:rPr>
          <w:i/>
          <w:lang w:val="pl-PL"/>
        </w:rPr>
        <w:t>p. Austrii</w:t>
      </w:r>
      <w:r w:rsidR="00AD1F81">
        <w:rPr>
          <w:lang w:val="pl-PL"/>
        </w:rPr>
        <w:t>, nr</w:t>
      </w:r>
      <w:r w:rsidR="00F061A3" w:rsidRPr="00AF3C7F">
        <w:rPr>
          <w:lang w:val="pl-PL"/>
        </w:rPr>
        <w:t xml:space="preserve"> 40016/98, § 25, </w:t>
      </w:r>
      <w:r w:rsidR="00AD1F81">
        <w:rPr>
          <w:lang w:val="pl-PL"/>
        </w:rPr>
        <w:t>ETPC</w:t>
      </w:r>
      <w:r w:rsidR="00F061A3" w:rsidRPr="00AF3C7F">
        <w:rPr>
          <w:lang w:val="pl-PL"/>
        </w:rPr>
        <w:t xml:space="preserve"> 2003-IX). </w:t>
      </w:r>
      <w:r w:rsidR="00AD1F81" w:rsidRPr="00AD1F81">
        <w:rPr>
          <w:lang w:val="pl-PL"/>
        </w:rPr>
        <w:t xml:space="preserve">Aby skarżący mógł być uznany za </w:t>
      </w:r>
      <w:r w:rsidR="00E931BD" w:rsidRPr="00AD1F81">
        <w:rPr>
          <w:lang w:val="pl-PL"/>
        </w:rPr>
        <w:t>ofiarę</w:t>
      </w:r>
      <w:r w:rsidR="00AD1F81" w:rsidRPr="00AD1F81">
        <w:rPr>
          <w:lang w:val="pl-PL"/>
        </w:rPr>
        <w:t xml:space="preserve"> naruszenia Konwencji, musi wykazać, że </w:t>
      </w:r>
      <w:r w:rsidR="00AD1F81">
        <w:rPr>
          <w:lang w:val="pl-PL"/>
        </w:rPr>
        <w:t>został bezpośrednio</w:t>
      </w:r>
      <w:r w:rsidR="00E931BD">
        <w:rPr>
          <w:lang w:val="pl-PL"/>
        </w:rPr>
        <w:t xml:space="preserve"> dotknięty przez kwestionowany środek</w:t>
      </w:r>
      <w:r w:rsidR="00F061A3" w:rsidRPr="00AD1F81">
        <w:rPr>
          <w:lang w:val="pl-PL"/>
        </w:rPr>
        <w:t xml:space="preserve"> (</w:t>
      </w:r>
      <w:proofErr w:type="spellStart"/>
      <w:r w:rsidR="00D00C41" w:rsidRPr="00813370">
        <w:rPr>
          <w:i/>
          <w:lang w:val="pl-PL"/>
        </w:rPr>
        <w:t>Sanles</w:t>
      </w:r>
      <w:proofErr w:type="spellEnd"/>
      <w:r w:rsidR="00004919">
        <w:rPr>
          <w:i/>
          <w:lang w:val="pl-PL"/>
        </w:rPr>
        <w:t xml:space="preserve"> </w:t>
      </w:r>
      <w:proofErr w:type="spellStart"/>
      <w:r w:rsidR="00F061A3" w:rsidRPr="00AD1F81">
        <w:rPr>
          <w:i/>
          <w:lang w:val="pl-PL"/>
        </w:rPr>
        <w:t>Sanles</w:t>
      </w:r>
      <w:proofErr w:type="spellEnd"/>
      <w:r w:rsidR="00004919">
        <w:rPr>
          <w:i/>
          <w:lang w:val="pl-PL"/>
        </w:rPr>
        <w:t xml:space="preserve"> </w:t>
      </w:r>
      <w:r w:rsidR="00E931BD">
        <w:rPr>
          <w:i/>
          <w:lang w:val="pl-PL"/>
        </w:rPr>
        <w:t>p. Hiszpanii</w:t>
      </w:r>
      <w:r w:rsidR="00826FC1">
        <w:rPr>
          <w:lang w:val="pl-PL"/>
        </w:rPr>
        <w:t xml:space="preserve"> (post</w:t>
      </w:r>
      <w:r w:rsidR="00E931BD">
        <w:rPr>
          <w:lang w:val="pl-PL"/>
        </w:rPr>
        <w:t>.), nr</w:t>
      </w:r>
      <w:r w:rsidR="00F061A3" w:rsidRPr="00AD1F81">
        <w:rPr>
          <w:lang w:val="pl-PL"/>
        </w:rPr>
        <w:t xml:space="preserve"> 48335/99,</w:t>
      </w:r>
      <w:r w:rsidR="00E931BD">
        <w:rPr>
          <w:lang w:val="pl-PL"/>
        </w:rPr>
        <w:t>ETPC</w:t>
      </w:r>
      <w:r w:rsidR="00F061A3" w:rsidRPr="00AD1F81">
        <w:rPr>
          <w:lang w:val="pl-PL"/>
        </w:rPr>
        <w:t xml:space="preserve"> 2000-XI, </w:t>
      </w:r>
      <w:proofErr w:type="spellStart"/>
      <w:r w:rsidR="00F061A3" w:rsidRPr="00AD1F81">
        <w:rPr>
          <w:i/>
          <w:lang w:val="pl-PL"/>
        </w:rPr>
        <w:t>Kaburov</w:t>
      </w:r>
      <w:proofErr w:type="spellEnd"/>
      <w:r w:rsidR="00004919">
        <w:rPr>
          <w:i/>
          <w:lang w:val="pl-PL"/>
        </w:rPr>
        <w:t xml:space="preserve"> </w:t>
      </w:r>
      <w:r w:rsidR="00E931BD">
        <w:rPr>
          <w:i/>
          <w:lang w:val="pl-PL"/>
        </w:rPr>
        <w:t>p. Bułgarii</w:t>
      </w:r>
      <w:r w:rsidR="00826FC1">
        <w:rPr>
          <w:lang w:val="pl-PL"/>
        </w:rPr>
        <w:t xml:space="preserve"> (post</w:t>
      </w:r>
      <w:r w:rsidR="00E931BD">
        <w:rPr>
          <w:lang w:val="pl-PL"/>
        </w:rPr>
        <w:t>.), nr</w:t>
      </w:r>
      <w:r w:rsidR="00F061A3" w:rsidRPr="00AD1F81">
        <w:rPr>
          <w:lang w:val="pl-PL"/>
        </w:rPr>
        <w:t xml:space="preserve"> 9035/06, §§ 51-53, </w:t>
      </w:r>
      <w:r w:rsidR="00E931BD">
        <w:rPr>
          <w:lang w:val="pl-PL"/>
        </w:rPr>
        <w:t>dn. 19 czerwca</w:t>
      </w:r>
      <w:r w:rsidR="00F061A3" w:rsidRPr="00AD1F81">
        <w:rPr>
          <w:lang w:val="pl-PL"/>
        </w:rPr>
        <w:t xml:space="preserve"> 2012</w:t>
      </w:r>
      <w:r w:rsidR="00E931BD">
        <w:rPr>
          <w:lang w:val="pl-PL"/>
        </w:rPr>
        <w:t xml:space="preserve"> r.</w:t>
      </w:r>
      <w:r w:rsidR="00F061A3" w:rsidRPr="00AD1F81">
        <w:rPr>
          <w:lang w:val="pl-PL"/>
        </w:rPr>
        <w:t>).</w:t>
      </w:r>
    </w:p>
    <w:p w:rsidR="00F061A3" w:rsidRPr="00136623" w:rsidRDefault="003001A7" w:rsidP="00F061A3">
      <w:pPr>
        <w:pStyle w:val="JuPara"/>
        <w:ind w:firstLine="360"/>
        <w:rPr>
          <w:lang w:val="pl-PL"/>
        </w:rPr>
      </w:pPr>
      <w:r>
        <w:fldChar w:fldCharType="begin"/>
      </w:r>
      <w:r w:rsidR="00F061A3" w:rsidRPr="005D4027">
        <w:rPr>
          <w:lang w:val="pl-PL"/>
        </w:rPr>
        <w:instrText xml:space="preserve"> SEQ level0 \*arabic </w:instrText>
      </w:r>
      <w:r>
        <w:fldChar w:fldCharType="separate"/>
      </w:r>
      <w:r w:rsidR="004E0BEB">
        <w:rPr>
          <w:noProof/>
          <w:lang w:val="pl-PL"/>
        </w:rPr>
        <w:t>75</w:t>
      </w:r>
      <w:r>
        <w:fldChar w:fldCharType="end"/>
      </w:r>
      <w:r w:rsidR="00F061A3" w:rsidRPr="005D4027">
        <w:rPr>
          <w:lang w:val="pl-PL"/>
        </w:rPr>
        <w:t>. </w:t>
      </w:r>
      <w:r w:rsidR="00E931BD" w:rsidRPr="00E931BD">
        <w:rPr>
          <w:lang w:val="pl-PL"/>
        </w:rPr>
        <w:t>Trybunał przypomina następnie, że os</w:t>
      </w:r>
      <w:r w:rsidR="00826FC1">
        <w:rPr>
          <w:lang w:val="pl-PL"/>
        </w:rPr>
        <w:t>oba blisko powiązana rodzinnie -</w:t>
      </w:r>
      <w:r w:rsidR="00E931BD" w:rsidRPr="00E931BD">
        <w:rPr>
          <w:lang w:val="pl-PL"/>
        </w:rPr>
        <w:t xml:space="preserve"> tak jak </w:t>
      </w:r>
      <w:r w:rsidR="00826FC1">
        <w:rPr>
          <w:lang w:val="pl-PL"/>
        </w:rPr>
        <w:t>rodzic i dziecko -</w:t>
      </w:r>
      <w:r w:rsidR="00E931BD">
        <w:rPr>
          <w:lang w:val="pl-PL"/>
        </w:rPr>
        <w:t xml:space="preserve"> z osobą, która zmarła lub zniknęła w okolicznościach</w:t>
      </w:r>
      <w:r w:rsidR="00CC2503">
        <w:rPr>
          <w:lang w:val="pl-PL"/>
        </w:rPr>
        <w:t xml:space="preserve"> za które jest odpowiedzialne Państwo jest uprawniona do </w:t>
      </w:r>
      <w:r w:rsidR="00CC2503">
        <w:rPr>
          <w:lang w:val="pl-PL"/>
        </w:rPr>
        <w:lastRenderedPageBreak/>
        <w:t>występowania przez Trybunałem</w:t>
      </w:r>
      <w:r w:rsidR="00445F9B">
        <w:rPr>
          <w:lang w:val="pl-PL"/>
        </w:rPr>
        <w:t xml:space="preserve"> </w:t>
      </w:r>
      <w:r w:rsidR="00F061A3" w:rsidRPr="00E931BD">
        <w:rPr>
          <w:lang w:val="pl-PL"/>
        </w:rPr>
        <w:t>(</w:t>
      </w:r>
      <w:proofErr w:type="spellStart"/>
      <w:r w:rsidR="00F061A3" w:rsidRPr="00E931BD">
        <w:rPr>
          <w:i/>
          <w:lang w:val="pl-PL"/>
        </w:rPr>
        <w:t>Biç</w:t>
      </w:r>
      <w:proofErr w:type="spellEnd"/>
      <w:r w:rsidR="00CC0BD4">
        <w:rPr>
          <w:i/>
          <w:lang w:val="pl-PL"/>
        </w:rPr>
        <w:t xml:space="preserve"> </w:t>
      </w:r>
      <w:r w:rsidR="00CC2503">
        <w:rPr>
          <w:i/>
          <w:lang w:val="pl-PL"/>
        </w:rPr>
        <w:t>i inni</w:t>
      </w:r>
      <w:r w:rsidR="00CC2503">
        <w:rPr>
          <w:lang w:val="pl-PL"/>
        </w:rPr>
        <w:t xml:space="preserve"> p. Turcji, nr</w:t>
      </w:r>
      <w:r w:rsidR="00F061A3" w:rsidRPr="00E931BD">
        <w:rPr>
          <w:lang w:val="pl-PL"/>
        </w:rPr>
        <w:t xml:space="preserve"> 55955/00, §§ 22-23, </w:t>
      </w:r>
      <w:r w:rsidR="00CC2503">
        <w:rPr>
          <w:lang w:val="pl-PL"/>
        </w:rPr>
        <w:t>dn. 2 lutego</w:t>
      </w:r>
      <w:r w:rsidR="00F061A3" w:rsidRPr="00E931BD">
        <w:rPr>
          <w:lang w:val="pl-PL"/>
        </w:rPr>
        <w:t xml:space="preserve"> 2006</w:t>
      </w:r>
      <w:r w:rsidR="00CC2503">
        <w:rPr>
          <w:lang w:val="pl-PL"/>
        </w:rPr>
        <w:t xml:space="preserve"> r</w:t>
      </w:r>
      <w:r w:rsidR="00445F9B">
        <w:rPr>
          <w:lang w:val="pl-PL"/>
        </w:rPr>
        <w:t>.)</w:t>
      </w:r>
      <w:r w:rsidR="00445F9B" w:rsidRPr="00E931BD">
        <w:rPr>
          <w:lang w:val="pl-PL"/>
        </w:rPr>
        <w:t xml:space="preserve"> . Chodzi</w:t>
      </w:r>
      <w:r w:rsidR="00CC2503" w:rsidRPr="00136623">
        <w:rPr>
          <w:lang w:val="pl-PL"/>
        </w:rPr>
        <w:t xml:space="preserve"> tu o szczególną sytuację wynikającą z charakteru zarzucanego naruszenia </w:t>
      </w:r>
      <w:r w:rsidR="00136623">
        <w:rPr>
          <w:lang w:val="pl-PL"/>
        </w:rPr>
        <w:t>oraz ze względów wynikających ze skutecznego stosowania jednego z fundamentalnych przepisów systemu Konwencji</w:t>
      </w:r>
      <w:r w:rsidR="00826FC1">
        <w:rPr>
          <w:lang w:val="pl-PL"/>
        </w:rPr>
        <w:t>.</w:t>
      </w:r>
    </w:p>
    <w:p w:rsidR="00F061A3" w:rsidRPr="00136623" w:rsidRDefault="003001A7" w:rsidP="00F061A3">
      <w:pPr>
        <w:pStyle w:val="JuPara"/>
        <w:ind w:firstLine="360"/>
        <w:rPr>
          <w:lang w:val="pl-PL"/>
        </w:rPr>
      </w:pPr>
      <w:r>
        <w:fldChar w:fldCharType="begin"/>
      </w:r>
      <w:r w:rsidR="00F061A3" w:rsidRPr="005D4027">
        <w:rPr>
          <w:lang w:val="pl-PL"/>
        </w:rPr>
        <w:instrText xml:space="preserve"> SEQ level0 \*arabic </w:instrText>
      </w:r>
      <w:r>
        <w:fldChar w:fldCharType="separate"/>
      </w:r>
      <w:r w:rsidR="004E0BEB">
        <w:rPr>
          <w:noProof/>
          <w:lang w:val="pl-PL"/>
        </w:rPr>
        <w:t>76</w:t>
      </w:r>
      <w:r>
        <w:fldChar w:fldCharType="end"/>
      </w:r>
      <w:r w:rsidR="00F061A3" w:rsidRPr="005D4027">
        <w:rPr>
          <w:lang w:val="pl-PL"/>
        </w:rPr>
        <w:t>.  </w:t>
      </w:r>
      <w:r w:rsidR="00136623" w:rsidRPr="00136623">
        <w:rPr>
          <w:lang w:val="pl-PL"/>
        </w:rPr>
        <w:t xml:space="preserve">Nadto, Trybunał przypomina, że </w:t>
      </w:r>
      <w:r w:rsidR="00136623">
        <w:rPr>
          <w:lang w:val="pl-PL"/>
        </w:rPr>
        <w:t>skargi</w:t>
      </w:r>
      <w:r w:rsidR="00136623" w:rsidRPr="00136623">
        <w:rPr>
          <w:lang w:val="pl-PL"/>
        </w:rPr>
        <w:t xml:space="preserve"> oparte na artykule 3 Konwencji mogą</w:t>
      </w:r>
      <w:r w:rsidR="00136623">
        <w:rPr>
          <w:lang w:val="pl-PL"/>
        </w:rPr>
        <w:t xml:space="preserve"> być wnoszone do Trybunału przez bliską osobę w przypadku gdy śmierć krewnego nastąpiła w wyniku doznanego przez nią złego traktowania</w:t>
      </w:r>
      <w:r w:rsidR="00F061A3" w:rsidRPr="00136623">
        <w:rPr>
          <w:lang w:val="pl-PL"/>
        </w:rPr>
        <w:t xml:space="preserve"> (</w:t>
      </w:r>
      <w:proofErr w:type="spellStart"/>
      <w:r w:rsidR="00F061A3" w:rsidRPr="00136623">
        <w:rPr>
          <w:i/>
          <w:lang w:val="pl-PL"/>
        </w:rPr>
        <w:t>Keenan</w:t>
      </w:r>
      <w:proofErr w:type="spellEnd"/>
      <w:r w:rsidR="00004919">
        <w:rPr>
          <w:i/>
          <w:lang w:val="pl-PL"/>
        </w:rPr>
        <w:t xml:space="preserve"> </w:t>
      </w:r>
      <w:r w:rsidR="00136623">
        <w:rPr>
          <w:i/>
          <w:lang w:val="pl-PL"/>
        </w:rPr>
        <w:t>p. Zjednoczonemu Królestwu</w:t>
      </w:r>
      <w:r w:rsidR="00136623">
        <w:rPr>
          <w:lang w:val="pl-PL"/>
        </w:rPr>
        <w:t>, nr</w:t>
      </w:r>
      <w:r w:rsidR="00F061A3" w:rsidRPr="00136623">
        <w:rPr>
          <w:lang w:val="pl-PL"/>
        </w:rPr>
        <w:t xml:space="preserve"> 27229/95, §§ 83-116, </w:t>
      </w:r>
      <w:r w:rsidR="00136623">
        <w:rPr>
          <w:lang w:val="pl-PL"/>
        </w:rPr>
        <w:t>ETPC</w:t>
      </w:r>
      <w:r w:rsidR="00F061A3" w:rsidRPr="00136623">
        <w:rPr>
          <w:lang w:val="pl-PL"/>
        </w:rPr>
        <w:t>2001-III).</w:t>
      </w:r>
    </w:p>
    <w:p w:rsidR="00F061A3" w:rsidRPr="00136623" w:rsidRDefault="003001A7" w:rsidP="00F061A3">
      <w:pPr>
        <w:pStyle w:val="JuPara"/>
        <w:ind w:firstLine="360"/>
        <w:rPr>
          <w:lang w:val="pl-PL"/>
        </w:rPr>
      </w:pPr>
      <w:r>
        <w:fldChar w:fldCharType="begin"/>
      </w:r>
      <w:r w:rsidR="00F061A3" w:rsidRPr="005D4027">
        <w:rPr>
          <w:lang w:val="pl-PL"/>
        </w:rPr>
        <w:instrText xml:space="preserve"> SEQ level0 \*arabic </w:instrText>
      </w:r>
      <w:r>
        <w:fldChar w:fldCharType="separate"/>
      </w:r>
      <w:r w:rsidR="004E0BEB">
        <w:rPr>
          <w:noProof/>
          <w:lang w:val="pl-PL"/>
        </w:rPr>
        <w:t>77</w:t>
      </w:r>
      <w:r>
        <w:fldChar w:fldCharType="end"/>
      </w:r>
      <w:r w:rsidR="00F061A3" w:rsidRPr="005D4027">
        <w:rPr>
          <w:lang w:val="pl-PL"/>
        </w:rPr>
        <w:t>.  </w:t>
      </w:r>
      <w:r w:rsidR="00136623" w:rsidRPr="00136623">
        <w:rPr>
          <w:lang w:val="pl-PL"/>
        </w:rPr>
        <w:t xml:space="preserve">Co do praw wynikających z artykułu 5 Konwencji, Trybunał orzekł, że należą one do kategorii </w:t>
      </w:r>
      <w:r w:rsidR="00136623">
        <w:rPr>
          <w:lang w:val="pl-PL"/>
        </w:rPr>
        <w:t xml:space="preserve">praw niezbywalnych </w:t>
      </w:r>
      <w:r w:rsidR="00F061A3" w:rsidRPr="00136623">
        <w:rPr>
          <w:lang w:val="pl-PL"/>
        </w:rPr>
        <w:t>(</w:t>
      </w:r>
      <w:proofErr w:type="spellStart"/>
      <w:r w:rsidR="00F061A3" w:rsidRPr="00136623">
        <w:rPr>
          <w:i/>
          <w:lang w:val="pl-PL"/>
        </w:rPr>
        <w:t>Sanles</w:t>
      </w:r>
      <w:proofErr w:type="spellEnd"/>
      <w:r w:rsidR="00F061A3" w:rsidRPr="00136623">
        <w:rPr>
          <w:lang w:val="pl-PL"/>
        </w:rPr>
        <w:t xml:space="preserve">, </w:t>
      </w:r>
      <w:r w:rsidR="00136623">
        <w:rPr>
          <w:lang w:val="pl-PL"/>
        </w:rPr>
        <w:t>wyżej cytowane postanowienie, § 64, oraz</w:t>
      </w:r>
      <w:r w:rsidR="00004919">
        <w:rPr>
          <w:lang w:val="pl-PL"/>
        </w:rPr>
        <w:t xml:space="preserve"> </w:t>
      </w:r>
      <w:proofErr w:type="spellStart"/>
      <w:r w:rsidR="00F061A3" w:rsidRPr="00136623">
        <w:rPr>
          <w:i/>
          <w:lang w:val="pl-PL"/>
        </w:rPr>
        <w:t>Gengoux</w:t>
      </w:r>
      <w:proofErr w:type="spellEnd"/>
      <w:r w:rsidR="00004919">
        <w:rPr>
          <w:i/>
          <w:lang w:val="pl-PL"/>
        </w:rPr>
        <w:t xml:space="preserve"> </w:t>
      </w:r>
      <w:r w:rsidR="00136623">
        <w:rPr>
          <w:i/>
          <w:lang w:val="pl-PL"/>
        </w:rPr>
        <w:t>p. Belgii</w:t>
      </w:r>
      <w:r w:rsidR="002A66A1">
        <w:rPr>
          <w:lang w:val="pl-PL"/>
        </w:rPr>
        <w:t xml:space="preserve"> (post</w:t>
      </w:r>
      <w:r w:rsidR="00136623">
        <w:rPr>
          <w:lang w:val="pl-PL"/>
        </w:rPr>
        <w:t>.), nr</w:t>
      </w:r>
      <w:r w:rsidR="00F061A3" w:rsidRPr="00136623">
        <w:rPr>
          <w:lang w:val="pl-PL"/>
        </w:rPr>
        <w:t xml:space="preserve"> 76512/11, § 37, </w:t>
      </w:r>
      <w:r w:rsidR="00136623">
        <w:rPr>
          <w:lang w:val="pl-PL"/>
        </w:rPr>
        <w:t xml:space="preserve">dn. </w:t>
      </w:r>
      <w:r w:rsidR="00F061A3" w:rsidRPr="00136623">
        <w:rPr>
          <w:lang w:val="pl-PL"/>
        </w:rPr>
        <w:t>11</w:t>
      </w:r>
      <w:r w:rsidR="005657FA">
        <w:rPr>
          <w:lang w:val="pl-PL"/>
        </w:rPr>
        <w:t xml:space="preserve"> w</w:t>
      </w:r>
      <w:r w:rsidR="00136623">
        <w:rPr>
          <w:lang w:val="pl-PL"/>
        </w:rPr>
        <w:t>rześnia</w:t>
      </w:r>
      <w:r w:rsidR="00F061A3" w:rsidRPr="00136623">
        <w:rPr>
          <w:lang w:val="pl-PL"/>
        </w:rPr>
        <w:t xml:space="preserve"> 2012</w:t>
      </w:r>
      <w:r w:rsidR="00136623">
        <w:rPr>
          <w:lang w:val="pl-PL"/>
        </w:rPr>
        <w:t>r.</w:t>
      </w:r>
      <w:r w:rsidR="00F061A3" w:rsidRPr="00136623">
        <w:rPr>
          <w:lang w:val="pl-PL"/>
        </w:rPr>
        <w:t>).</w:t>
      </w:r>
    </w:p>
    <w:p w:rsidR="00F061A3" w:rsidRPr="00B376C4" w:rsidRDefault="003001A7" w:rsidP="00B376C4">
      <w:pPr>
        <w:pStyle w:val="JuPara"/>
        <w:ind w:firstLine="360"/>
        <w:rPr>
          <w:lang w:val="pl-PL"/>
        </w:rPr>
      </w:pPr>
      <w:r>
        <w:fldChar w:fldCharType="begin"/>
      </w:r>
      <w:r w:rsidR="00F061A3" w:rsidRPr="005D4027">
        <w:rPr>
          <w:lang w:val="pl-PL"/>
        </w:rPr>
        <w:instrText xml:space="preserve"> SEQ level0 \*arabic </w:instrText>
      </w:r>
      <w:r>
        <w:fldChar w:fldCharType="separate"/>
      </w:r>
      <w:r w:rsidR="004E0BEB">
        <w:rPr>
          <w:noProof/>
          <w:lang w:val="pl-PL"/>
        </w:rPr>
        <w:t>78</w:t>
      </w:r>
      <w:r>
        <w:fldChar w:fldCharType="end"/>
      </w:r>
      <w:r w:rsidR="00F061A3" w:rsidRPr="005D4027">
        <w:rPr>
          <w:lang w:val="pl-PL"/>
        </w:rPr>
        <w:t>.  </w:t>
      </w:r>
      <w:r w:rsidR="008A276A" w:rsidRPr="008A276A">
        <w:rPr>
          <w:lang w:val="pl-PL"/>
        </w:rPr>
        <w:t xml:space="preserve">Niemniej jednak, w niektórych sprawach </w:t>
      </w:r>
      <w:r w:rsidR="008A276A">
        <w:rPr>
          <w:lang w:val="pl-PL"/>
        </w:rPr>
        <w:t>dotyczących zarzutów opartych na artykułach 5,6, i 8 Konwencji Trybunał uznał, że bliscy mogą skorzystać z uprawnienia ofiary</w:t>
      </w:r>
      <w:r w:rsidR="00993BFC">
        <w:rPr>
          <w:lang w:val="pl-PL"/>
        </w:rPr>
        <w:t xml:space="preserve"> naruszenia</w:t>
      </w:r>
      <w:r w:rsidR="008A276A">
        <w:rPr>
          <w:lang w:val="pl-PL"/>
        </w:rPr>
        <w:t xml:space="preserve"> i wnieść skargę do Trybunału, jeżeli wykażą</w:t>
      </w:r>
      <w:r w:rsidR="00B376C4">
        <w:rPr>
          <w:lang w:val="pl-PL"/>
        </w:rPr>
        <w:t xml:space="preserve"> moralną wolę oczyszczenia zmarłeg</w:t>
      </w:r>
      <w:r w:rsidR="002A66A1">
        <w:rPr>
          <w:lang w:val="pl-PL"/>
        </w:rPr>
        <w:t>o z orzeczonej wobec niego winy</w:t>
      </w:r>
      <w:r w:rsidR="00445F9B">
        <w:rPr>
          <w:lang w:val="pl-PL"/>
        </w:rPr>
        <w:t xml:space="preserve"> </w:t>
      </w:r>
      <w:r w:rsidR="00F061A3" w:rsidRPr="00B376C4">
        <w:rPr>
          <w:lang w:val="pl-PL"/>
        </w:rPr>
        <w:t>(</w:t>
      </w:r>
      <w:proofErr w:type="spellStart"/>
      <w:r w:rsidR="00F061A3" w:rsidRPr="00B376C4">
        <w:rPr>
          <w:i/>
          <w:lang w:val="pl-PL"/>
        </w:rPr>
        <w:t>Nolkenbockhoff</w:t>
      </w:r>
      <w:proofErr w:type="spellEnd"/>
      <w:r w:rsidR="00B376C4">
        <w:rPr>
          <w:i/>
          <w:lang w:val="pl-PL"/>
        </w:rPr>
        <w:t xml:space="preserve"> </w:t>
      </w:r>
      <w:r w:rsidR="00004919">
        <w:rPr>
          <w:i/>
          <w:lang w:val="pl-PL"/>
        </w:rPr>
        <w:t xml:space="preserve"> </w:t>
      </w:r>
      <w:r w:rsidR="00B376C4">
        <w:rPr>
          <w:i/>
          <w:lang w:val="pl-PL"/>
        </w:rPr>
        <w:t>p. Niemcom</w:t>
      </w:r>
      <w:r w:rsidR="00B376C4">
        <w:rPr>
          <w:lang w:val="pl-PL"/>
        </w:rPr>
        <w:t>, nr</w:t>
      </w:r>
      <w:r w:rsidR="00F061A3" w:rsidRPr="00B376C4">
        <w:rPr>
          <w:lang w:val="pl-PL"/>
        </w:rPr>
        <w:t xml:space="preserve"> 10300/83, § 33, </w:t>
      </w:r>
      <w:r w:rsidR="00B376C4">
        <w:rPr>
          <w:lang w:val="pl-PL"/>
        </w:rPr>
        <w:t>dn. 25 sierpnia</w:t>
      </w:r>
      <w:r w:rsidR="00F061A3" w:rsidRPr="00B376C4">
        <w:rPr>
          <w:lang w:val="pl-PL"/>
        </w:rPr>
        <w:t xml:space="preserve"> 1987</w:t>
      </w:r>
      <w:r w:rsidR="00B376C4">
        <w:rPr>
          <w:lang w:val="pl-PL"/>
        </w:rPr>
        <w:t xml:space="preserve"> r.</w:t>
      </w:r>
      <w:r w:rsidR="00F061A3" w:rsidRPr="00B376C4">
        <w:rPr>
          <w:lang w:val="pl-PL"/>
        </w:rPr>
        <w:t>).</w:t>
      </w:r>
    </w:p>
    <w:p w:rsidR="00F061A3" w:rsidRPr="00B376C4" w:rsidRDefault="003001A7" w:rsidP="00F061A3">
      <w:pPr>
        <w:pStyle w:val="JuPara"/>
        <w:rPr>
          <w:lang w:val="pl-PL"/>
        </w:rPr>
      </w:pPr>
      <w:r>
        <w:fldChar w:fldCharType="begin"/>
      </w:r>
      <w:r w:rsidR="00F061A3" w:rsidRPr="005D4027">
        <w:rPr>
          <w:lang w:val="pl-PL"/>
        </w:rPr>
        <w:instrText xml:space="preserve"> SEQ level0 \*arabic </w:instrText>
      </w:r>
      <w:r>
        <w:fldChar w:fldCharType="separate"/>
      </w:r>
      <w:r w:rsidR="004E0BEB">
        <w:rPr>
          <w:noProof/>
          <w:lang w:val="pl-PL"/>
        </w:rPr>
        <w:t>79</w:t>
      </w:r>
      <w:r>
        <w:fldChar w:fldCharType="end"/>
      </w:r>
      <w:r w:rsidR="00F061A3" w:rsidRPr="005D4027">
        <w:rPr>
          <w:lang w:val="pl-PL"/>
        </w:rPr>
        <w:t>.  </w:t>
      </w:r>
      <w:r w:rsidR="00B376C4" w:rsidRPr="00B376C4">
        <w:rPr>
          <w:lang w:val="pl-PL"/>
        </w:rPr>
        <w:t xml:space="preserve">W przedmiotowej sprawie, Trybunał zauważa, że nie </w:t>
      </w:r>
      <w:r w:rsidR="00B376C4">
        <w:rPr>
          <w:lang w:val="pl-PL"/>
        </w:rPr>
        <w:t>twierdzi, iż Zbigniew Tomaszewski zmarł na sku</w:t>
      </w:r>
      <w:r w:rsidR="002A66A1">
        <w:rPr>
          <w:lang w:val="pl-PL"/>
        </w:rPr>
        <w:t>tek okoliczności, za które było</w:t>
      </w:r>
      <w:r w:rsidR="00B376C4">
        <w:rPr>
          <w:lang w:val="pl-PL"/>
        </w:rPr>
        <w:t xml:space="preserve">by odpowiedzialne Państwo, a w szczególności na skutek </w:t>
      </w:r>
      <w:r w:rsidR="002A66A1">
        <w:rPr>
          <w:lang w:val="pl-PL"/>
        </w:rPr>
        <w:t>złego traktowania</w:t>
      </w:r>
      <w:r w:rsidR="00B376C4">
        <w:rPr>
          <w:lang w:val="pl-PL"/>
        </w:rPr>
        <w:t xml:space="preserve"> przez policjantów. Krajowe postępowanie prowadzone w spra</w:t>
      </w:r>
      <w:r w:rsidR="00B375C2">
        <w:rPr>
          <w:lang w:val="pl-PL"/>
        </w:rPr>
        <w:t>wie złego traktowania zakończyło</w:t>
      </w:r>
      <w:r w:rsidR="00B376C4">
        <w:rPr>
          <w:lang w:val="pl-PL"/>
        </w:rPr>
        <w:t xml:space="preserve"> się umorzeniem </w:t>
      </w:r>
      <w:r w:rsidR="00B375C2">
        <w:rPr>
          <w:lang w:val="pl-PL"/>
        </w:rPr>
        <w:t>wobec braku potencjalnego pokrzywdzonego</w:t>
      </w:r>
      <w:r w:rsidR="001A10F3">
        <w:rPr>
          <w:lang w:val="pl-PL"/>
        </w:rPr>
        <w:t xml:space="preserve">. Sprawa przed sądem rodzinnym została również zamknięta w związku ze śmiercią wyżej wymienionego. Trybunał podkreśla, że to drugie postępowanie, tak jak to stwierdził sąd w ostatnim orzeczeniu, nie miało na celu rozstrzygnięcia o winie małoletniego a ustalenie czy powinny być powzięte wobec niego środki wychowawcze, medyczne czy </w:t>
      </w:r>
      <w:r w:rsidR="00F02534">
        <w:rPr>
          <w:lang w:val="pl-PL"/>
        </w:rPr>
        <w:t>poprawcze</w:t>
      </w:r>
      <w:r w:rsidR="001A10F3">
        <w:rPr>
          <w:lang w:val="pl-PL"/>
        </w:rPr>
        <w:t xml:space="preserve">. Trybunał zauważa, że obydwa postępowania były ściśle związane z osobą zmarłego.  </w:t>
      </w:r>
    </w:p>
    <w:p w:rsidR="00F061A3" w:rsidRPr="00767282" w:rsidRDefault="003001A7" w:rsidP="00F061A3">
      <w:pPr>
        <w:pStyle w:val="JuPara"/>
        <w:rPr>
          <w:lang w:val="pl-PL"/>
        </w:rPr>
      </w:pPr>
      <w:r>
        <w:fldChar w:fldCharType="begin"/>
      </w:r>
      <w:r w:rsidR="00F061A3" w:rsidRPr="005D4027">
        <w:rPr>
          <w:lang w:val="pl-PL"/>
        </w:rPr>
        <w:instrText xml:space="preserve"> SEQ level0 \*arabic </w:instrText>
      </w:r>
      <w:r>
        <w:fldChar w:fldCharType="separate"/>
      </w:r>
      <w:r w:rsidR="004E0BEB">
        <w:rPr>
          <w:noProof/>
          <w:lang w:val="pl-PL"/>
        </w:rPr>
        <w:t>80</w:t>
      </w:r>
      <w:r>
        <w:fldChar w:fldCharType="end"/>
      </w:r>
      <w:r w:rsidR="00F061A3" w:rsidRPr="005D4027">
        <w:rPr>
          <w:lang w:val="pl-PL"/>
        </w:rPr>
        <w:t>.  </w:t>
      </w:r>
      <w:r w:rsidR="001A10F3" w:rsidRPr="00767282">
        <w:rPr>
          <w:lang w:val="pl-PL"/>
        </w:rPr>
        <w:t>Pani Tomaszewska może</w:t>
      </w:r>
      <w:r w:rsidR="00004919">
        <w:rPr>
          <w:lang w:val="pl-PL"/>
        </w:rPr>
        <w:t xml:space="preserve"> </w:t>
      </w:r>
      <w:r w:rsidR="00EB32CF">
        <w:rPr>
          <w:lang w:val="pl-PL"/>
        </w:rPr>
        <w:t>czuć się dotknięta</w:t>
      </w:r>
      <w:r w:rsidR="008B6231">
        <w:rPr>
          <w:lang w:val="pl-PL"/>
        </w:rPr>
        <w:t xml:space="preserve"> okoliczności</w:t>
      </w:r>
      <w:r w:rsidR="00EB32CF">
        <w:rPr>
          <w:lang w:val="pl-PL"/>
        </w:rPr>
        <w:t>ami</w:t>
      </w:r>
      <w:r w:rsidR="00767282" w:rsidRPr="00767282">
        <w:rPr>
          <w:lang w:val="pl-PL"/>
        </w:rPr>
        <w:t>, które miały się wydarzyć w czasie zatrzymania jej syna.</w:t>
      </w:r>
      <w:r w:rsidR="00767282">
        <w:rPr>
          <w:lang w:val="pl-PL"/>
        </w:rPr>
        <w:t xml:space="preserve"> Jednak, prawo, o które wnosi z tytułu artykułów 3, 5 i 6 Konwencji są, w przedmiotowej sprawie, </w:t>
      </w:r>
      <w:r w:rsidR="00E61D26">
        <w:rPr>
          <w:lang w:val="pl-PL"/>
        </w:rPr>
        <w:t>zdecydowanie</w:t>
      </w:r>
      <w:r w:rsidR="00767282">
        <w:rPr>
          <w:lang w:val="pl-PL"/>
        </w:rPr>
        <w:t xml:space="preserve"> osobiste i niezbywalne.</w:t>
      </w:r>
    </w:p>
    <w:p w:rsidR="00F061A3" w:rsidRPr="00E64F94" w:rsidRDefault="003001A7" w:rsidP="00F061A3">
      <w:pPr>
        <w:pStyle w:val="JuPara"/>
        <w:rPr>
          <w:lang w:val="pl-PL"/>
        </w:rPr>
      </w:pPr>
      <w:r>
        <w:fldChar w:fldCharType="begin"/>
      </w:r>
      <w:r w:rsidR="00F061A3" w:rsidRPr="00767282">
        <w:rPr>
          <w:lang w:val="pl-PL"/>
        </w:rPr>
        <w:instrText xml:space="preserve"> SEQ level0 \*arabic </w:instrText>
      </w:r>
      <w:r>
        <w:fldChar w:fldCharType="separate"/>
      </w:r>
      <w:r w:rsidR="004E0BEB">
        <w:rPr>
          <w:noProof/>
          <w:lang w:val="pl-PL"/>
        </w:rPr>
        <w:t>81</w:t>
      </w:r>
      <w:r>
        <w:fldChar w:fldCharType="end"/>
      </w:r>
      <w:r w:rsidR="00F061A3" w:rsidRPr="00767282">
        <w:rPr>
          <w:lang w:val="pl-PL"/>
        </w:rPr>
        <w:t>.  </w:t>
      </w:r>
      <w:r w:rsidR="002F5805" w:rsidRPr="00E64F94">
        <w:rPr>
          <w:lang w:val="pl-PL"/>
        </w:rPr>
        <w:t xml:space="preserve">Z tego wynika, że Pani Tomaszewska nie może </w:t>
      </w:r>
      <w:r w:rsidR="00E64F94" w:rsidRPr="00E64F94">
        <w:rPr>
          <w:lang w:val="pl-PL"/>
        </w:rPr>
        <w:t xml:space="preserve">być dochodzić uznania jej za ofiarę naruszenia praw jak wymaga </w:t>
      </w:r>
      <w:r w:rsidR="00E64F94">
        <w:rPr>
          <w:lang w:val="pl-PL"/>
        </w:rPr>
        <w:t xml:space="preserve">tego </w:t>
      </w:r>
      <w:r w:rsidR="00E64F94" w:rsidRPr="00E64F94">
        <w:rPr>
          <w:lang w:val="pl-PL"/>
        </w:rPr>
        <w:t>artyku</w:t>
      </w:r>
      <w:r w:rsidR="00E64F94">
        <w:rPr>
          <w:lang w:val="pl-PL"/>
        </w:rPr>
        <w:t>ł 34 Konwencji, oraz, że skarga, pod warunkiem, że dotyczy ona skarżącej,</w:t>
      </w:r>
      <w:r w:rsidR="00004919">
        <w:rPr>
          <w:lang w:val="pl-PL"/>
        </w:rPr>
        <w:t xml:space="preserve"> </w:t>
      </w:r>
      <w:r w:rsidR="00E64F94">
        <w:rPr>
          <w:lang w:val="pl-PL"/>
        </w:rPr>
        <w:t xml:space="preserve">musi być oddalona jako sprzeczna </w:t>
      </w:r>
      <w:proofErr w:type="spellStart"/>
      <w:r w:rsidR="00445F9B">
        <w:rPr>
          <w:i/>
          <w:lang w:val="pl-PL"/>
        </w:rPr>
        <w:t>rat</w:t>
      </w:r>
      <w:r w:rsidR="00004919">
        <w:rPr>
          <w:i/>
          <w:lang w:val="pl-PL"/>
        </w:rPr>
        <w:t>ione</w:t>
      </w:r>
      <w:proofErr w:type="spellEnd"/>
      <w:r w:rsidR="00004919">
        <w:rPr>
          <w:i/>
          <w:lang w:val="pl-PL"/>
        </w:rPr>
        <w:t xml:space="preserve"> </w:t>
      </w:r>
      <w:proofErr w:type="spellStart"/>
      <w:r w:rsidR="00F061A3" w:rsidRPr="00E64F94">
        <w:rPr>
          <w:i/>
          <w:lang w:val="pl-PL"/>
        </w:rPr>
        <w:t>personae</w:t>
      </w:r>
      <w:proofErr w:type="spellEnd"/>
      <w:r w:rsidR="00004919">
        <w:rPr>
          <w:i/>
          <w:lang w:val="pl-PL"/>
        </w:rPr>
        <w:t xml:space="preserve"> </w:t>
      </w:r>
      <w:r w:rsidR="00E64F94">
        <w:rPr>
          <w:lang w:val="pl-PL"/>
        </w:rPr>
        <w:t>z Konwencją</w:t>
      </w:r>
      <w:r w:rsidR="00F061A3" w:rsidRPr="00E64F94">
        <w:rPr>
          <w:lang w:val="pl-PL"/>
        </w:rPr>
        <w:t xml:space="preserve">, </w:t>
      </w:r>
      <w:r w:rsidR="00E64F94">
        <w:rPr>
          <w:lang w:val="pl-PL"/>
        </w:rPr>
        <w:t xml:space="preserve">w </w:t>
      </w:r>
      <w:r w:rsidR="00E61D26">
        <w:rPr>
          <w:lang w:val="pl-PL"/>
        </w:rPr>
        <w:t>rozumieniu</w:t>
      </w:r>
      <w:r w:rsidR="00E64F94">
        <w:rPr>
          <w:lang w:val="pl-PL"/>
        </w:rPr>
        <w:t xml:space="preserve"> artykułu 35 §§ 3 i</w:t>
      </w:r>
      <w:r w:rsidR="00F061A3" w:rsidRPr="00E64F94">
        <w:rPr>
          <w:lang w:val="pl-PL"/>
        </w:rPr>
        <w:t xml:space="preserve"> 4 </w:t>
      </w:r>
      <w:r w:rsidR="00E64F94">
        <w:rPr>
          <w:lang w:val="pl-PL"/>
        </w:rPr>
        <w:t>Konwencji.</w:t>
      </w:r>
    </w:p>
    <w:p w:rsidR="00F061A3" w:rsidRPr="00902504" w:rsidRDefault="00F061A3" w:rsidP="00F061A3">
      <w:pPr>
        <w:pStyle w:val="JuHIRoman"/>
        <w:rPr>
          <w:lang w:val="pl-PL"/>
        </w:rPr>
      </w:pPr>
      <w:r w:rsidRPr="005D4027">
        <w:rPr>
          <w:lang w:val="pl-PL"/>
        </w:rPr>
        <w:lastRenderedPageBreak/>
        <w:t>II.  </w:t>
      </w:r>
      <w:r w:rsidR="002F5805" w:rsidRPr="00691CFA">
        <w:rPr>
          <w:lang w:val="pl-PL"/>
        </w:rPr>
        <w:t>NARUSZENIE</w:t>
      </w:r>
      <w:r w:rsidR="00421BFF">
        <w:rPr>
          <w:lang w:val="pl-PL"/>
        </w:rPr>
        <w:t xml:space="preserve"> </w:t>
      </w:r>
      <w:r w:rsidR="002F5805" w:rsidRPr="00691CFA">
        <w:rPr>
          <w:lang w:val="pl-PL"/>
        </w:rPr>
        <w:t>ARTYKUŁU</w:t>
      </w:r>
      <w:r w:rsidR="002F5805" w:rsidRPr="005D4027">
        <w:rPr>
          <w:lang w:val="pl-PL"/>
        </w:rPr>
        <w:t xml:space="preserve"> 3 </w:t>
      </w:r>
      <w:r w:rsidR="002F5805" w:rsidRPr="00691CFA">
        <w:rPr>
          <w:lang w:val="pl-PL"/>
        </w:rPr>
        <w:t>KONWENCJI</w:t>
      </w:r>
    </w:p>
    <w:p w:rsidR="00F061A3" w:rsidRPr="00691CFA" w:rsidRDefault="003001A7" w:rsidP="00F061A3">
      <w:pPr>
        <w:pStyle w:val="JuPara"/>
        <w:rPr>
          <w:lang w:val="pl-PL"/>
        </w:rPr>
      </w:pPr>
      <w:r>
        <w:fldChar w:fldCharType="begin"/>
      </w:r>
      <w:r w:rsidR="00F061A3" w:rsidRPr="00902504">
        <w:rPr>
          <w:lang w:val="pl-PL"/>
        </w:rPr>
        <w:instrText xml:space="preserve"> SEQ level0 \*arabic </w:instrText>
      </w:r>
      <w:r>
        <w:fldChar w:fldCharType="separate"/>
      </w:r>
      <w:r w:rsidR="004E0BEB">
        <w:rPr>
          <w:noProof/>
          <w:lang w:val="pl-PL"/>
        </w:rPr>
        <w:t>82</w:t>
      </w:r>
      <w:r>
        <w:fldChar w:fldCharType="end"/>
      </w:r>
      <w:r w:rsidR="00F061A3" w:rsidRPr="00902504">
        <w:rPr>
          <w:lang w:val="pl-PL"/>
        </w:rPr>
        <w:t>.  </w:t>
      </w:r>
      <w:r w:rsidR="00902504">
        <w:rPr>
          <w:lang w:val="pl-PL"/>
        </w:rPr>
        <w:t>N</w:t>
      </w:r>
      <w:r w:rsidR="00902504" w:rsidRPr="00691CFA">
        <w:rPr>
          <w:lang w:val="pl-PL"/>
        </w:rPr>
        <w:t xml:space="preserve">a podstawie artykułu 3,8 i 13 Konwencji </w:t>
      </w:r>
      <w:r w:rsidR="00902504">
        <w:rPr>
          <w:lang w:val="pl-PL"/>
        </w:rPr>
        <w:t>s</w:t>
      </w:r>
      <w:r w:rsidR="00691CFA" w:rsidRPr="00691CFA">
        <w:rPr>
          <w:lang w:val="pl-PL"/>
        </w:rPr>
        <w:t xml:space="preserve">karżący </w:t>
      </w:r>
      <w:r w:rsidR="00D0793F">
        <w:rPr>
          <w:lang w:val="pl-PL"/>
        </w:rPr>
        <w:t>podnieśli zarzut złego potraktowania</w:t>
      </w:r>
      <w:r w:rsidR="00902504">
        <w:rPr>
          <w:lang w:val="pl-PL"/>
        </w:rPr>
        <w:t xml:space="preserve"> przez policjantów oraz, że nie przeprowadzono skutecznego postępowania karnego w tej sprawie</w:t>
      </w:r>
      <w:r w:rsidR="00D0793F">
        <w:rPr>
          <w:lang w:val="pl-PL"/>
        </w:rPr>
        <w:t xml:space="preserve">. </w:t>
      </w:r>
    </w:p>
    <w:p w:rsidR="0010368A" w:rsidRPr="00902504" w:rsidRDefault="003001A7" w:rsidP="00CC0BD4">
      <w:pPr>
        <w:pStyle w:val="JuPara"/>
        <w:rPr>
          <w:lang w:val="pl-PL"/>
        </w:rPr>
      </w:pPr>
      <w:r>
        <w:fldChar w:fldCharType="begin"/>
      </w:r>
      <w:r w:rsidR="00F061A3" w:rsidRPr="005D4027">
        <w:rPr>
          <w:lang w:val="pl-PL"/>
        </w:rPr>
        <w:instrText xml:space="preserve"> SEQ level0 \*arabic </w:instrText>
      </w:r>
      <w:r>
        <w:fldChar w:fldCharType="separate"/>
      </w:r>
      <w:r w:rsidR="004E0BEB">
        <w:rPr>
          <w:noProof/>
          <w:lang w:val="pl-PL"/>
        </w:rPr>
        <w:t>83</w:t>
      </w:r>
      <w:r>
        <w:fldChar w:fldCharType="end"/>
      </w:r>
      <w:r w:rsidR="00F061A3" w:rsidRPr="005D4027">
        <w:rPr>
          <w:lang w:val="pl-PL"/>
        </w:rPr>
        <w:t>.  </w:t>
      </w:r>
      <w:r w:rsidR="00902504" w:rsidRPr="00902504">
        <w:rPr>
          <w:lang w:val="pl-PL"/>
        </w:rPr>
        <w:t>Trybunał uważa za stosowne rozpatrzenie tylko na podstawie artykułu 3 Konwencji</w:t>
      </w:r>
      <w:r w:rsidR="00D0793F">
        <w:rPr>
          <w:lang w:val="pl-PL"/>
        </w:rPr>
        <w:t xml:space="preserve"> wszystkich zarzutów skarżących w związku ze zły</w:t>
      </w:r>
      <w:r w:rsidR="00B870B0">
        <w:rPr>
          <w:lang w:val="pl-PL"/>
        </w:rPr>
        <w:t>m potraktowaniem przez policję</w:t>
      </w:r>
      <w:r w:rsidR="00F061A3" w:rsidRPr="00902504">
        <w:rPr>
          <w:lang w:val="pl-PL"/>
        </w:rPr>
        <w:t>:</w:t>
      </w:r>
    </w:p>
    <w:p w:rsidR="00F061A3" w:rsidRPr="0010368A" w:rsidRDefault="0010368A" w:rsidP="0010368A">
      <w:pPr>
        <w:ind w:left="1080"/>
        <w:jc w:val="both"/>
        <w:rPr>
          <w:i/>
          <w:lang w:val="pl-PL"/>
        </w:rPr>
      </w:pPr>
      <w:r w:rsidRPr="0010368A">
        <w:rPr>
          <w:i/>
          <w:lang w:val="pl-PL"/>
        </w:rPr>
        <w:t>„</w:t>
      </w:r>
      <w:r w:rsidRPr="0010368A">
        <w:rPr>
          <w:sz w:val="20"/>
          <w:lang w:val="pl-PL"/>
        </w:rPr>
        <w:t>Nikt nie może być poddany torturom ani nieludzkiemu lub poniżającego traktowaniu lub karaniu.”</w:t>
      </w:r>
    </w:p>
    <w:p w:rsidR="00F061A3" w:rsidRPr="005D4027" w:rsidRDefault="003001A7" w:rsidP="00F061A3">
      <w:pPr>
        <w:pStyle w:val="JuPara"/>
        <w:rPr>
          <w:lang w:val="pl-PL"/>
        </w:rPr>
      </w:pPr>
      <w:r>
        <w:fldChar w:fldCharType="begin"/>
      </w:r>
      <w:r w:rsidR="00F061A3" w:rsidRPr="005D4027">
        <w:rPr>
          <w:lang w:val="pl-PL"/>
        </w:rPr>
        <w:instrText xml:space="preserve"> SEQ level0 \*arabic </w:instrText>
      </w:r>
      <w:r>
        <w:fldChar w:fldCharType="separate"/>
      </w:r>
      <w:r w:rsidR="004E0BEB">
        <w:rPr>
          <w:noProof/>
          <w:lang w:val="pl-PL"/>
        </w:rPr>
        <w:t>84</w:t>
      </w:r>
      <w:r>
        <w:fldChar w:fldCharType="end"/>
      </w:r>
      <w:r w:rsidR="00F061A3" w:rsidRPr="005D4027">
        <w:rPr>
          <w:lang w:val="pl-PL"/>
        </w:rPr>
        <w:t>.  </w:t>
      </w:r>
      <w:r w:rsidR="005D4027" w:rsidRPr="005D4027">
        <w:rPr>
          <w:lang w:val="pl-PL"/>
        </w:rPr>
        <w:t>Rząd przywołuje niewycze</w:t>
      </w:r>
      <w:r w:rsidR="005D4027">
        <w:rPr>
          <w:lang w:val="pl-PL"/>
        </w:rPr>
        <w:t>r</w:t>
      </w:r>
      <w:r w:rsidR="005D4027" w:rsidRPr="005D4027">
        <w:rPr>
          <w:lang w:val="pl-PL"/>
        </w:rPr>
        <w:t>panie krajowych środków odwoła</w:t>
      </w:r>
      <w:r w:rsidR="005D4027">
        <w:rPr>
          <w:lang w:val="pl-PL"/>
        </w:rPr>
        <w:t>wczych gdyż po zakończeniu postę</w:t>
      </w:r>
      <w:r w:rsidR="005D4027" w:rsidRPr="005D4027">
        <w:rPr>
          <w:lang w:val="pl-PL"/>
        </w:rPr>
        <w:t>powania</w:t>
      </w:r>
      <w:r w:rsidR="005D4027">
        <w:rPr>
          <w:lang w:val="pl-PL"/>
        </w:rPr>
        <w:t xml:space="preserve"> karnego, a przed wniesieniem sprawy do Trybunału, dwaj starsi bracia nie wnieśli prywatnego aktu oskarżenia przeciwko funkcjonariuszom policji, mimo możliwości przewidzianej w artykule 157 </w:t>
      </w:r>
      <w:r w:rsidR="00F061A3" w:rsidRPr="005D4027">
        <w:rPr>
          <w:lang w:val="pl-PL"/>
        </w:rPr>
        <w:t xml:space="preserve">§ 4 </w:t>
      </w:r>
      <w:r w:rsidR="005D4027">
        <w:rPr>
          <w:lang w:val="pl-PL"/>
        </w:rPr>
        <w:t>Kodeksu postępowania karnego</w:t>
      </w:r>
      <w:r w:rsidR="00F061A3" w:rsidRPr="005D4027">
        <w:rPr>
          <w:lang w:val="pl-PL"/>
        </w:rPr>
        <w:t>.</w:t>
      </w:r>
    </w:p>
    <w:p w:rsidR="00F061A3" w:rsidRPr="0008361F" w:rsidRDefault="003001A7" w:rsidP="00F061A3">
      <w:pPr>
        <w:pStyle w:val="JuPara"/>
        <w:tabs>
          <w:tab w:val="left" w:pos="426"/>
        </w:tabs>
        <w:rPr>
          <w:lang w:val="pl-PL"/>
        </w:rPr>
      </w:pPr>
      <w:r>
        <w:fldChar w:fldCharType="begin"/>
      </w:r>
      <w:r w:rsidR="00F061A3" w:rsidRPr="00B4740E">
        <w:rPr>
          <w:lang w:val="pl-PL"/>
        </w:rPr>
        <w:instrText xml:space="preserve"> SEQ level0 \*arabic </w:instrText>
      </w:r>
      <w:r>
        <w:fldChar w:fldCharType="separate"/>
      </w:r>
      <w:r w:rsidR="004E0BEB">
        <w:rPr>
          <w:noProof/>
          <w:lang w:val="pl-PL"/>
        </w:rPr>
        <w:t>85</w:t>
      </w:r>
      <w:r>
        <w:fldChar w:fldCharType="end"/>
      </w:r>
      <w:r w:rsidR="00F061A3" w:rsidRPr="00B4740E">
        <w:rPr>
          <w:lang w:val="pl-PL"/>
        </w:rPr>
        <w:t>.  </w:t>
      </w:r>
      <w:r w:rsidR="0008361F" w:rsidRPr="0008361F">
        <w:rPr>
          <w:lang w:val="pl-PL"/>
        </w:rPr>
        <w:t xml:space="preserve">Co do meritum, Rząd utrzymuje, że skarżący nie </w:t>
      </w:r>
      <w:r w:rsidR="0008361F">
        <w:rPr>
          <w:lang w:val="pl-PL"/>
        </w:rPr>
        <w:t>zostali</w:t>
      </w:r>
      <w:r w:rsidR="005C0091">
        <w:rPr>
          <w:lang w:val="pl-PL"/>
        </w:rPr>
        <w:t xml:space="preserve"> poddani traktowaniu niezgodnemu</w:t>
      </w:r>
      <w:r w:rsidR="0008361F">
        <w:rPr>
          <w:lang w:val="pl-PL"/>
        </w:rPr>
        <w:t xml:space="preserve"> z </w:t>
      </w:r>
      <w:r w:rsidR="009F4BCF">
        <w:rPr>
          <w:lang w:val="pl-PL"/>
        </w:rPr>
        <w:t>artykułem</w:t>
      </w:r>
      <w:r w:rsidR="0008361F">
        <w:rPr>
          <w:lang w:val="pl-PL"/>
        </w:rPr>
        <w:t xml:space="preserve"> 3 Konwencji. Artur Tomaszewski nie przedstawił żadnego dowodu mogącego potwierdzić jego </w:t>
      </w:r>
      <w:r w:rsidR="005C0091">
        <w:rPr>
          <w:lang w:val="pl-PL"/>
        </w:rPr>
        <w:t>domniemane obrażenia</w:t>
      </w:r>
      <w:r w:rsidR="0008361F">
        <w:rPr>
          <w:lang w:val="pl-PL"/>
        </w:rPr>
        <w:t xml:space="preserve">. Natomiast dowody dotyczące </w:t>
      </w:r>
      <w:r w:rsidR="005C0091">
        <w:rPr>
          <w:lang w:val="pl-PL"/>
        </w:rPr>
        <w:t>obrażeń</w:t>
      </w:r>
      <w:r w:rsidR="0008361F">
        <w:rPr>
          <w:lang w:val="pl-PL"/>
        </w:rPr>
        <w:t xml:space="preserve"> jego brata Sebastiana wykazują, że uraz stopy nastąpił przed zatrzymaniem przez policję. Oprócz tego, według Rządu, zarzuty skarżących nie zostały poparte przez żadnego naocznego świadka. </w:t>
      </w:r>
    </w:p>
    <w:p w:rsidR="00F061A3" w:rsidRPr="008A15CA" w:rsidRDefault="003001A7" w:rsidP="00F061A3">
      <w:pPr>
        <w:pStyle w:val="JuPara"/>
        <w:tabs>
          <w:tab w:val="left" w:pos="426"/>
        </w:tabs>
        <w:rPr>
          <w:lang w:val="pl-PL"/>
        </w:rPr>
      </w:pPr>
      <w:r>
        <w:fldChar w:fldCharType="begin"/>
      </w:r>
      <w:r w:rsidR="00F061A3" w:rsidRPr="00B4740E">
        <w:rPr>
          <w:lang w:val="pl-PL"/>
        </w:rPr>
        <w:instrText xml:space="preserve"> SEQ level0 \*arabic </w:instrText>
      </w:r>
      <w:r>
        <w:fldChar w:fldCharType="separate"/>
      </w:r>
      <w:r w:rsidR="004E0BEB">
        <w:rPr>
          <w:noProof/>
          <w:lang w:val="pl-PL"/>
        </w:rPr>
        <w:t>86</w:t>
      </w:r>
      <w:r>
        <w:fldChar w:fldCharType="end"/>
      </w:r>
      <w:r w:rsidR="00F061A3" w:rsidRPr="00B4740E">
        <w:rPr>
          <w:lang w:val="pl-PL"/>
        </w:rPr>
        <w:t>.  </w:t>
      </w:r>
      <w:r w:rsidR="0008361F" w:rsidRPr="008A15CA">
        <w:rPr>
          <w:lang w:val="pl-PL"/>
        </w:rPr>
        <w:t>Nadto Rząd uważa, że</w:t>
      </w:r>
      <w:r w:rsidR="008A15CA" w:rsidRPr="008A15CA">
        <w:rPr>
          <w:lang w:val="pl-PL"/>
        </w:rPr>
        <w:t xml:space="preserve"> zarzuty </w:t>
      </w:r>
      <w:r w:rsidR="008A15CA">
        <w:rPr>
          <w:lang w:val="pl-PL"/>
        </w:rPr>
        <w:t>skarżących na</w:t>
      </w:r>
      <w:r w:rsidR="005C0091">
        <w:rPr>
          <w:lang w:val="pl-PL"/>
        </w:rPr>
        <w:t>,</w:t>
      </w:r>
      <w:r w:rsidR="008A15CA">
        <w:rPr>
          <w:lang w:val="pl-PL"/>
        </w:rPr>
        <w:t xml:space="preserve"> w ich mniemaniu</w:t>
      </w:r>
      <w:r w:rsidR="005C0091">
        <w:rPr>
          <w:lang w:val="pl-PL"/>
        </w:rPr>
        <w:t>,</w:t>
      </w:r>
      <w:r w:rsidR="008A15CA">
        <w:rPr>
          <w:lang w:val="pl-PL"/>
        </w:rPr>
        <w:t xml:space="preserve"> poniżającą kontrolę osobistą, której zostali poddani są niespójne, niewiarygodne i nie mają poparcia w materiale dowodowym. Tylko Artur i Zbigniew Tomaszewscy zeznali, że kazano im się rozebrać do przeszukania osobistego, natomiast ich brat Sebastian nie przedstawił takiego zarzutu w czasie zeznań w prokuraturze. Rząd zakłada, że w czasie zatrzymania o</w:t>
      </w:r>
      <w:r w:rsidR="00E61D26">
        <w:rPr>
          <w:lang w:val="pl-PL"/>
        </w:rPr>
        <w:t>raz po przybyciu na posterunek p</w:t>
      </w:r>
      <w:r w:rsidR="008A15CA">
        <w:rPr>
          <w:lang w:val="pl-PL"/>
        </w:rPr>
        <w:t>olicja</w:t>
      </w:r>
      <w:r w:rsidR="00E61D26">
        <w:rPr>
          <w:lang w:val="pl-PL"/>
        </w:rPr>
        <w:t>nci</w:t>
      </w:r>
      <w:r w:rsidR="008A15CA">
        <w:rPr>
          <w:lang w:val="pl-PL"/>
        </w:rPr>
        <w:t xml:space="preserve"> m</w:t>
      </w:r>
      <w:r w:rsidR="00E61D26">
        <w:rPr>
          <w:lang w:val="pl-PL"/>
        </w:rPr>
        <w:t>ogli</w:t>
      </w:r>
      <w:r w:rsidR="008A15CA">
        <w:rPr>
          <w:lang w:val="pl-PL"/>
        </w:rPr>
        <w:t xml:space="preserve"> przeszukać im kieszenie. A ten dozwolony przez artykuł 15 ustęp 1 punkt 4 Ustawy o Policji środek jest zgodny z prawem i był uzasadniony w świetle okoliczności sprawy.</w:t>
      </w:r>
    </w:p>
    <w:p w:rsidR="00F061A3" w:rsidRPr="00791CBD" w:rsidRDefault="003001A7" w:rsidP="00F061A3">
      <w:pPr>
        <w:pStyle w:val="JuPara"/>
        <w:tabs>
          <w:tab w:val="left" w:pos="426"/>
        </w:tabs>
        <w:rPr>
          <w:lang w:val="pl-PL"/>
        </w:rPr>
      </w:pPr>
      <w:r>
        <w:fldChar w:fldCharType="begin"/>
      </w:r>
      <w:r w:rsidR="00F061A3" w:rsidRPr="00B4740E">
        <w:rPr>
          <w:lang w:val="pl-PL"/>
        </w:rPr>
        <w:instrText xml:space="preserve"> SEQ level0 \*arabic </w:instrText>
      </w:r>
      <w:r>
        <w:fldChar w:fldCharType="separate"/>
      </w:r>
      <w:r w:rsidR="004E0BEB">
        <w:rPr>
          <w:noProof/>
          <w:lang w:val="pl-PL"/>
        </w:rPr>
        <w:t>87</w:t>
      </w:r>
      <w:r>
        <w:fldChar w:fldCharType="end"/>
      </w:r>
      <w:r w:rsidR="00F061A3" w:rsidRPr="00B4740E">
        <w:rPr>
          <w:lang w:val="pl-PL"/>
        </w:rPr>
        <w:t>.  </w:t>
      </w:r>
      <w:r w:rsidR="00791CBD" w:rsidRPr="00791CBD">
        <w:rPr>
          <w:lang w:val="pl-PL"/>
        </w:rPr>
        <w:t xml:space="preserve">Rząd ponadto podnosi, że postępowanie karne </w:t>
      </w:r>
      <w:r w:rsidR="00E70D2F">
        <w:rPr>
          <w:lang w:val="pl-PL"/>
        </w:rPr>
        <w:t>prowadzone w związku z zarzutami</w:t>
      </w:r>
      <w:r w:rsidR="00791CBD" w:rsidRPr="00791CBD">
        <w:rPr>
          <w:lang w:val="pl-PL"/>
        </w:rPr>
        <w:t xml:space="preserve"> skarżących</w:t>
      </w:r>
      <w:r w:rsidR="00E70D2F">
        <w:rPr>
          <w:lang w:val="pl-PL"/>
        </w:rPr>
        <w:t xml:space="preserve"> spełniło</w:t>
      </w:r>
      <w:r w:rsidR="00791CBD">
        <w:rPr>
          <w:lang w:val="pl-PL"/>
        </w:rPr>
        <w:t xml:space="preserve"> wymagania artykułu 3 Konwencji. Czynności dochodzeniowo-śledcze zostały wszczęte bez zbędnej zwłoki i były prowadzone bez udziału funkcjonariuszy, którzy ucz</w:t>
      </w:r>
      <w:r w:rsidR="001775B7">
        <w:rPr>
          <w:lang w:val="pl-PL"/>
        </w:rPr>
        <w:t xml:space="preserve">estniczyli w zdarzeniu oraz </w:t>
      </w:r>
      <w:r w:rsidR="00791CBD">
        <w:rPr>
          <w:lang w:val="pl-PL"/>
        </w:rPr>
        <w:t>przesłuchano tych policjantów, jak również funkcjonariuszy obecnych na miejscu zdarzenia. Rząd zauważa, że prokuratura zebrała dowody z zez</w:t>
      </w:r>
      <w:r w:rsidR="001775B7">
        <w:rPr>
          <w:lang w:val="pl-PL"/>
        </w:rPr>
        <w:t>nań osób zatrzymanych na miejscu z</w:t>
      </w:r>
      <w:r w:rsidR="00791CBD">
        <w:rPr>
          <w:lang w:val="pl-PL"/>
        </w:rPr>
        <w:t>darzenia w tym samym czasie co skarżący oraz przesłuchała osoby niezaangażowane bezpośre</w:t>
      </w:r>
      <w:r w:rsidR="001775B7">
        <w:rPr>
          <w:lang w:val="pl-PL"/>
        </w:rPr>
        <w:t>dnio w to wydarzenie, ale obecne</w:t>
      </w:r>
      <w:r w:rsidR="00791CBD">
        <w:rPr>
          <w:lang w:val="pl-PL"/>
        </w:rPr>
        <w:t xml:space="preserve"> na jego miejscu. </w:t>
      </w:r>
      <w:r w:rsidR="00476DFD">
        <w:rPr>
          <w:lang w:val="pl-PL"/>
        </w:rPr>
        <w:t>Nadto, p</w:t>
      </w:r>
      <w:r w:rsidR="00791CBD">
        <w:rPr>
          <w:lang w:val="pl-PL"/>
        </w:rPr>
        <w:t>rokuratura</w:t>
      </w:r>
      <w:r w:rsidR="00476DFD">
        <w:rPr>
          <w:lang w:val="pl-PL"/>
        </w:rPr>
        <w:t xml:space="preserve"> przeprowadziła czynności identyfikacyjne i konfrontacje między skarżącymi i pozwanymi funkcjonariuszami policji</w:t>
      </w:r>
      <w:r w:rsidR="00004919">
        <w:rPr>
          <w:lang w:val="pl-PL"/>
        </w:rPr>
        <w:t xml:space="preserve"> </w:t>
      </w:r>
      <w:r w:rsidR="00476DFD">
        <w:rPr>
          <w:lang w:val="pl-PL"/>
        </w:rPr>
        <w:t xml:space="preserve">oraz zebrała stosowną dokumentację lekarską, w tym opinię biegłego z zakresu medycyny. Nie można przypisać władzom, że opinia biegłego była niejednoznaczna. </w:t>
      </w:r>
      <w:r w:rsidR="00476DFD">
        <w:rPr>
          <w:lang w:val="pl-PL"/>
        </w:rPr>
        <w:lastRenderedPageBreak/>
        <w:t>Następnie Rząd wskazuje, ż</w:t>
      </w:r>
      <w:r w:rsidR="00E61D26">
        <w:rPr>
          <w:lang w:val="pl-PL"/>
        </w:rPr>
        <w:t>e w wyniku uchylenia pierwszego</w:t>
      </w:r>
      <w:r w:rsidR="00476DFD">
        <w:rPr>
          <w:lang w:val="pl-PL"/>
        </w:rPr>
        <w:t xml:space="preserve"> postanowienia o umorzeniu, zostały wykonane dodatkowe czynności. </w:t>
      </w:r>
      <w:r w:rsidR="000D5900">
        <w:rPr>
          <w:lang w:val="pl-PL"/>
        </w:rPr>
        <w:t>Jednak zarzuty skarżących nie znalazły poparcia w</w:t>
      </w:r>
      <w:r w:rsidR="00F01481">
        <w:rPr>
          <w:lang w:val="pl-PL"/>
        </w:rPr>
        <w:t xml:space="preserve"> zebranym materiale</w:t>
      </w:r>
      <w:r w:rsidR="000D5900">
        <w:rPr>
          <w:lang w:val="pl-PL"/>
        </w:rPr>
        <w:t xml:space="preserve"> dowodowym i w związku z tym postępowanie zostało zamknięte, a zasadność tego postanowienia została potwierdzona przez sąd.   </w:t>
      </w:r>
    </w:p>
    <w:p w:rsidR="00F061A3" w:rsidRPr="000D5900" w:rsidRDefault="003001A7" w:rsidP="00F061A3">
      <w:pPr>
        <w:pStyle w:val="JuPara"/>
        <w:tabs>
          <w:tab w:val="left" w:pos="426"/>
        </w:tabs>
        <w:rPr>
          <w:lang w:val="pl-PL"/>
        </w:rPr>
      </w:pPr>
      <w:r>
        <w:fldChar w:fldCharType="begin"/>
      </w:r>
      <w:r w:rsidR="00F061A3" w:rsidRPr="000D5900">
        <w:rPr>
          <w:lang w:val="pl-PL"/>
        </w:rPr>
        <w:instrText xml:space="preserve"> SEQ level0 \*arabic </w:instrText>
      </w:r>
      <w:r>
        <w:fldChar w:fldCharType="separate"/>
      </w:r>
      <w:r w:rsidR="004E0BEB">
        <w:rPr>
          <w:noProof/>
          <w:lang w:val="pl-PL"/>
        </w:rPr>
        <w:t>88</w:t>
      </w:r>
      <w:r>
        <w:fldChar w:fldCharType="end"/>
      </w:r>
      <w:r w:rsidR="00F061A3" w:rsidRPr="000D5900">
        <w:rPr>
          <w:lang w:val="pl-PL"/>
        </w:rPr>
        <w:t>.  </w:t>
      </w:r>
      <w:r w:rsidR="000D5900" w:rsidRPr="000D5900">
        <w:rPr>
          <w:lang w:val="pl-PL"/>
        </w:rPr>
        <w:t xml:space="preserve">Rząd dodaje, że </w:t>
      </w:r>
      <w:r w:rsidR="000D5900">
        <w:rPr>
          <w:lang w:val="pl-PL"/>
        </w:rPr>
        <w:t xml:space="preserve">przeprowadzone niezależnie od postępowania prokuratury </w:t>
      </w:r>
      <w:r w:rsidR="000D5900" w:rsidRPr="000D5900">
        <w:rPr>
          <w:lang w:val="pl-PL"/>
        </w:rPr>
        <w:t>wewn</w:t>
      </w:r>
      <w:r w:rsidR="000D5900">
        <w:rPr>
          <w:lang w:val="pl-PL"/>
        </w:rPr>
        <w:t>ętrzne postępowanie policji nie potwierdziło również zarzutów skarżących wobec funkcjonariuszy policji.</w:t>
      </w:r>
    </w:p>
    <w:p w:rsidR="00F061A3" w:rsidRPr="000D5900" w:rsidRDefault="003001A7" w:rsidP="00F061A3">
      <w:pPr>
        <w:pStyle w:val="JuPara"/>
        <w:tabs>
          <w:tab w:val="left" w:pos="426"/>
        </w:tabs>
        <w:rPr>
          <w:lang w:val="pl-PL"/>
        </w:rPr>
      </w:pPr>
      <w:r>
        <w:fldChar w:fldCharType="begin"/>
      </w:r>
      <w:r w:rsidR="00F061A3" w:rsidRPr="00B4740E">
        <w:rPr>
          <w:lang w:val="pl-PL"/>
        </w:rPr>
        <w:instrText xml:space="preserve"> SEQ level0 \*arabic </w:instrText>
      </w:r>
      <w:r>
        <w:fldChar w:fldCharType="separate"/>
      </w:r>
      <w:r w:rsidR="004E0BEB">
        <w:rPr>
          <w:noProof/>
          <w:lang w:val="pl-PL"/>
        </w:rPr>
        <w:t>89</w:t>
      </w:r>
      <w:r>
        <w:fldChar w:fldCharType="end"/>
      </w:r>
      <w:r w:rsidR="00F061A3" w:rsidRPr="00B4740E">
        <w:rPr>
          <w:lang w:val="pl-PL"/>
        </w:rPr>
        <w:t>.  </w:t>
      </w:r>
      <w:r w:rsidR="000D5900" w:rsidRPr="000D5900">
        <w:rPr>
          <w:lang w:val="pl-PL"/>
        </w:rPr>
        <w:t xml:space="preserve">Skarżący podtrzymują zarzuty i podkreślają brak skutecznego </w:t>
      </w:r>
      <w:r w:rsidR="00E61D26">
        <w:rPr>
          <w:lang w:val="pl-PL"/>
        </w:rPr>
        <w:t>działania</w:t>
      </w:r>
      <w:r w:rsidR="000D5900" w:rsidRPr="000D5900">
        <w:rPr>
          <w:lang w:val="pl-PL"/>
        </w:rPr>
        <w:t xml:space="preserve"> prokuratury. </w:t>
      </w:r>
    </w:p>
    <w:p w:rsidR="00F061A3" w:rsidRPr="00CB7EDD" w:rsidRDefault="003001A7" w:rsidP="00F061A3">
      <w:pPr>
        <w:pStyle w:val="JuPara"/>
        <w:rPr>
          <w:szCs w:val="24"/>
          <w:lang w:val="pl-PL"/>
        </w:rPr>
      </w:pPr>
      <w:r>
        <w:rPr>
          <w:szCs w:val="24"/>
        </w:rPr>
        <w:fldChar w:fldCharType="begin"/>
      </w:r>
      <w:r w:rsidR="00F061A3" w:rsidRPr="00B4740E">
        <w:rPr>
          <w:szCs w:val="24"/>
          <w:lang w:val="pl-PL"/>
        </w:rPr>
        <w:instrText xml:space="preserve"> SEQ level0 \*arabic </w:instrText>
      </w:r>
      <w:r>
        <w:rPr>
          <w:szCs w:val="24"/>
        </w:rPr>
        <w:fldChar w:fldCharType="separate"/>
      </w:r>
      <w:r w:rsidR="004E0BEB">
        <w:rPr>
          <w:noProof/>
          <w:szCs w:val="24"/>
          <w:lang w:val="pl-PL"/>
        </w:rPr>
        <w:t>90</w:t>
      </w:r>
      <w:r>
        <w:rPr>
          <w:szCs w:val="24"/>
        </w:rPr>
        <w:fldChar w:fldCharType="end"/>
      </w:r>
      <w:r w:rsidR="00F061A3" w:rsidRPr="00B4740E">
        <w:rPr>
          <w:szCs w:val="24"/>
          <w:lang w:val="pl-PL"/>
        </w:rPr>
        <w:t>.  </w:t>
      </w:r>
      <w:r w:rsidR="00957F76">
        <w:rPr>
          <w:szCs w:val="24"/>
          <w:lang w:val="pl-PL"/>
        </w:rPr>
        <w:t>W przedmiotowej sprawie T</w:t>
      </w:r>
      <w:r w:rsidR="00CB7EDD" w:rsidRPr="00CB7EDD">
        <w:rPr>
          <w:szCs w:val="24"/>
          <w:lang w:val="pl-PL"/>
        </w:rPr>
        <w:t xml:space="preserve">rybunał nie uważa za konieczne </w:t>
      </w:r>
      <w:r w:rsidR="00CB7EDD">
        <w:rPr>
          <w:szCs w:val="24"/>
          <w:lang w:val="pl-PL"/>
        </w:rPr>
        <w:t>wypowiadanie się w kwestii czy krajowe środki odwoławcze zostały wyczerpane, ponieważ</w:t>
      </w:r>
      <w:r w:rsidR="0010368A">
        <w:rPr>
          <w:szCs w:val="24"/>
          <w:lang w:val="pl-PL"/>
        </w:rPr>
        <w:t>, tak czy inaczej, zarzut jest niedopuszczalny z innego powodu.</w:t>
      </w:r>
    </w:p>
    <w:p w:rsidR="00CB7EDD" w:rsidRDefault="003001A7" w:rsidP="00F061A3">
      <w:pPr>
        <w:pStyle w:val="JuPara"/>
        <w:rPr>
          <w:lang w:val="pl-PL"/>
        </w:rPr>
      </w:pPr>
      <w:r>
        <w:fldChar w:fldCharType="begin"/>
      </w:r>
      <w:r w:rsidR="00F061A3" w:rsidRPr="00CB7EDD">
        <w:rPr>
          <w:lang w:val="pl-PL"/>
        </w:rPr>
        <w:instrText xml:space="preserve"> SEQ level0 \*arabic </w:instrText>
      </w:r>
      <w:r>
        <w:fldChar w:fldCharType="separate"/>
      </w:r>
      <w:r w:rsidR="004E0BEB">
        <w:rPr>
          <w:noProof/>
          <w:lang w:val="pl-PL"/>
        </w:rPr>
        <w:t>91</w:t>
      </w:r>
      <w:r>
        <w:fldChar w:fldCharType="end"/>
      </w:r>
      <w:r w:rsidR="00F061A3" w:rsidRPr="00CB7EDD">
        <w:rPr>
          <w:lang w:val="pl-PL"/>
        </w:rPr>
        <w:t>.  </w:t>
      </w:r>
      <w:r w:rsidR="00CB7EDD">
        <w:rPr>
          <w:lang w:val="pl-PL"/>
        </w:rPr>
        <w:t xml:space="preserve">Trybunał przypomina, </w:t>
      </w:r>
      <w:r w:rsidR="00CB7EDD" w:rsidRPr="00A3415D">
        <w:rPr>
          <w:lang w:val="pl-PL"/>
        </w:rPr>
        <w:t xml:space="preserve">że złe traktowanie, które </w:t>
      </w:r>
      <w:r w:rsidR="00CB7EDD">
        <w:rPr>
          <w:lang w:val="pl-PL"/>
        </w:rPr>
        <w:t>wchodzi w zakres artykułu 3 Konwencji, powinno</w:t>
      </w:r>
      <w:r w:rsidR="00CB7EDD" w:rsidRPr="00A3415D">
        <w:rPr>
          <w:lang w:val="pl-PL"/>
        </w:rPr>
        <w:t xml:space="preserve"> odznaczać się </w:t>
      </w:r>
      <w:r w:rsidR="00CB7EDD">
        <w:rPr>
          <w:lang w:val="pl-PL"/>
        </w:rPr>
        <w:t xml:space="preserve">pewnym </w:t>
      </w:r>
      <w:r w:rsidR="00CB7EDD" w:rsidRPr="00A3415D">
        <w:rPr>
          <w:lang w:val="pl-PL"/>
        </w:rPr>
        <w:t>m</w:t>
      </w:r>
      <w:r w:rsidR="00CB7EDD">
        <w:rPr>
          <w:lang w:val="pl-PL"/>
        </w:rPr>
        <w:t>inimalnym stopniem dolegliwości.</w:t>
      </w:r>
      <w:r w:rsidR="00004919">
        <w:rPr>
          <w:lang w:val="pl-PL"/>
        </w:rPr>
        <w:t xml:space="preserve"> </w:t>
      </w:r>
      <w:r w:rsidR="00CB7EDD">
        <w:rPr>
          <w:lang w:val="pl-PL"/>
        </w:rPr>
        <w:t>Ocena tego minimum jest co do zasady względna; zależy od wszystkich elementów stanu faktycznego, a szczególnie od czasu trwania traktowania, jego skutków dla stanu psychofizycznego, a także niekiedy od płci, wieku</w:t>
      </w:r>
      <w:r w:rsidR="00004919">
        <w:rPr>
          <w:lang w:val="pl-PL"/>
        </w:rPr>
        <w:t xml:space="preserve"> </w:t>
      </w:r>
      <w:r w:rsidR="00CB7EDD">
        <w:rPr>
          <w:lang w:val="pl-PL"/>
        </w:rPr>
        <w:t xml:space="preserve">i stanu zdrowia ofiary. </w:t>
      </w:r>
    </w:p>
    <w:p w:rsidR="00F061A3" w:rsidRPr="00644DDF" w:rsidRDefault="003001A7" w:rsidP="00644DDF">
      <w:pPr>
        <w:pStyle w:val="JuPara"/>
        <w:tabs>
          <w:tab w:val="left" w:pos="426"/>
        </w:tabs>
        <w:rPr>
          <w:rStyle w:val="sb8d990e2"/>
          <w:lang w:val="pl-PL"/>
        </w:rPr>
      </w:pPr>
      <w:r>
        <w:rPr>
          <w:rStyle w:val="sb8d990e2"/>
        </w:rPr>
        <w:fldChar w:fldCharType="begin"/>
      </w:r>
      <w:r w:rsidR="00F061A3" w:rsidRPr="007E6B28">
        <w:rPr>
          <w:rStyle w:val="sb8d990e2"/>
          <w:lang w:val="pl-PL"/>
        </w:rPr>
        <w:instrText xml:space="preserve"> SEQ level0 \*arabic </w:instrText>
      </w:r>
      <w:r>
        <w:rPr>
          <w:rStyle w:val="sb8d990e2"/>
        </w:rPr>
        <w:fldChar w:fldCharType="separate"/>
      </w:r>
      <w:r w:rsidR="004E0BEB">
        <w:rPr>
          <w:rStyle w:val="sb8d990e2"/>
          <w:noProof/>
          <w:lang w:val="pl-PL"/>
        </w:rPr>
        <w:t>92</w:t>
      </w:r>
      <w:r>
        <w:rPr>
          <w:rStyle w:val="sb8d990e2"/>
        </w:rPr>
        <w:fldChar w:fldCharType="end"/>
      </w:r>
      <w:r w:rsidR="00F061A3" w:rsidRPr="007E6B28">
        <w:rPr>
          <w:rStyle w:val="sb8d990e2"/>
          <w:lang w:val="pl-PL"/>
        </w:rPr>
        <w:t>.  </w:t>
      </w:r>
      <w:r w:rsidR="007E6B28" w:rsidRPr="007E6B28">
        <w:rPr>
          <w:rStyle w:val="sb8d990e2"/>
          <w:lang w:val="pl-PL"/>
        </w:rPr>
        <w:t xml:space="preserve">Trybunał powtarza również, że </w:t>
      </w:r>
      <w:r w:rsidR="007E6B28">
        <w:rPr>
          <w:rStyle w:val="sb8d990e2"/>
          <w:lang w:val="pl-PL"/>
        </w:rPr>
        <w:t xml:space="preserve">jeżeli </w:t>
      </w:r>
      <w:r w:rsidR="00F116AC">
        <w:rPr>
          <w:rStyle w:val="sb8d990e2"/>
          <w:lang w:val="pl-PL"/>
        </w:rPr>
        <w:t>osoba d</w:t>
      </w:r>
      <w:r w:rsidR="001D513E">
        <w:rPr>
          <w:rStyle w:val="sb8d990e2"/>
          <w:lang w:val="pl-PL"/>
        </w:rPr>
        <w:t>oznaje obrażeń</w:t>
      </w:r>
      <w:r w:rsidR="00004919">
        <w:rPr>
          <w:rStyle w:val="sb8d990e2"/>
          <w:lang w:val="pl-PL"/>
        </w:rPr>
        <w:t xml:space="preserve"> </w:t>
      </w:r>
      <w:r w:rsidR="007E6B28">
        <w:rPr>
          <w:rStyle w:val="sb8d990e2"/>
          <w:lang w:val="pl-PL"/>
        </w:rPr>
        <w:t xml:space="preserve">w </w:t>
      </w:r>
      <w:r w:rsidR="00644DDF">
        <w:rPr>
          <w:rStyle w:val="sb8d990e2"/>
          <w:lang w:val="pl-PL"/>
        </w:rPr>
        <w:t>chwili</w:t>
      </w:r>
      <w:r w:rsidR="00004919">
        <w:rPr>
          <w:rStyle w:val="sb8d990e2"/>
          <w:lang w:val="pl-PL"/>
        </w:rPr>
        <w:t xml:space="preserve"> </w:t>
      </w:r>
      <w:r w:rsidR="00F116AC">
        <w:rPr>
          <w:rStyle w:val="sb8d990e2"/>
          <w:lang w:val="pl-PL"/>
        </w:rPr>
        <w:t>zatrzyman</w:t>
      </w:r>
      <w:r w:rsidR="00957F76">
        <w:rPr>
          <w:rStyle w:val="sb8d990e2"/>
          <w:lang w:val="pl-PL"/>
        </w:rPr>
        <w:t>i</w:t>
      </w:r>
      <w:r w:rsidR="00F116AC">
        <w:rPr>
          <w:rStyle w:val="sb8d990e2"/>
          <w:lang w:val="pl-PL"/>
        </w:rPr>
        <w:t xml:space="preserve">a przez policję </w:t>
      </w:r>
      <w:r w:rsidR="00957F76">
        <w:rPr>
          <w:rStyle w:val="sb8d990e2"/>
          <w:lang w:val="pl-PL"/>
        </w:rPr>
        <w:t xml:space="preserve">i </w:t>
      </w:r>
      <w:r w:rsidR="00F116AC">
        <w:rPr>
          <w:rStyle w:val="sb8d990e2"/>
          <w:lang w:val="pl-PL"/>
        </w:rPr>
        <w:t>będąc wówczas całkowicie pod kontrolą funkcj</w:t>
      </w:r>
      <w:r w:rsidR="00E61D26">
        <w:rPr>
          <w:rStyle w:val="sb8d990e2"/>
          <w:lang w:val="pl-PL"/>
        </w:rPr>
        <w:t>onariuszy policji, to każde</w:t>
      </w:r>
      <w:r w:rsidR="00957F76">
        <w:rPr>
          <w:rStyle w:val="sb8d990e2"/>
          <w:lang w:val="pl-PL"/>
        </w:rPr>
        <w:t xml:space="preserve"> doznane</w:t>
      </w:r>
      <w:r w:rsidR="00FF75B6">
        <w:rPr>
          <w:rStyle w:val="sb8d990e2"/>
          <w:lang w:val="pl-PL"/>
        </w:rPr>
        <w:t xml:space="preserve"> w tym czasie</w:t>
      </w:r>
      <w:r w:rsidR="00957F76">
        <w:rPr>
          <w:rStyle w:val="sb8d990e2"/>
          <w:lang w:val="pl-PL"/>
        </w:rPr>
        <w:t xml:space="preserve"> obrażenie </w:t>
      </w:r>
      <w:r w:rsidR="00F116AC">
        <w:rPr>
          <w:lang w:val="pl-PL"/>
        </w:rPr>
        <w:t>przemawia</w:t>
      </w:r>
      <w:r w:rsidR="00F116AC" w:rsidRPr="00F116AC">
        <w:rPr>
          <w:lang w:val="pl-PL"/>
        </w:rPr>
        <w:t xml:space="preserve"> za tym, iż w czasie zatrzymania mogło dojść</w:t>
      </w:r>
      <w:r w:rsidR="00F116AC">
        <w:rPr>
          <w:lang w:val="pl-PL"/>
        </w:rPr>
        <w:t xml:space="preserve"> do </w:t>
      </w:r>
      <w:r w:rsidR="001D513E">
        <w:rPr>
          <w:lang w:val="pl-PL"/>
        </w:rPr>
        <w:t>naruszenia</w:t>
      </w:r>
      <w:r w:rsidR="001D513E">
        <w:rPr>
          <w:rStyle w:val="sb8d990e2"/>
          <w:lang w:val="pl-PL"/>
        </w:rPr>
        <w:t xml:space="preserve"> (zob</w:t>
      </w:r>
      <w:r w:rsidR="001D513E">
        <w:rPr>
          <w:lang w:val="pl-PL"/>
        </w:rPr>
        <w:t>.</w:t>
      </w:r>
      <w:r w:rsidR="00636971">
        <w:rPr>
          <w:lang w:val="pl-PL"/>
        </w:rPr>
        <w:t xml:space="preserve"> </w:t>
      </w:r>
      <w:r w:rsidR="00F061A3" w:rsidRPr="007E6B28">
        <w:rPr>
          <w:i/>
          <w:lang w:val="pl-PL"/>
        </w:rPr>
        <w:t xml:space="preserve">Salman </w:t>
      </w:r>
      <w:r w:rsidR="00E61D26">
        <w:rPr>
          <w:i/>
          <w:lang w:val="pl-PL"/>
        </w:rPr>
        <w:t xml:space="preserve">p. </w:t>
      </w:r>
      <w:r w:rsidR="001D513E">
        <w:rPr>
          <w:i/>
          <w:lang w:val="pl-PL"/>
        </w:rPr>
        <w:t xml:space="preserve">Turcji </w:t>
      </w:r>
      <w:r w:rsidR="001D513E">
        <w:rPr>
          <w:lang w:val="pl-PL"/>
        </w:rPr>
        <w:t>[WI], nr 21986/93, § 100, ETPC</w:t>
      </w:r>
      <w:r w:rsidR="00F061A3" w:rsidRPr="007E6B28">
        <w:rPr>
          <w:lang w:val="pl-PL"/>
        </w:rPr>
        <w:t xml:space="preserve"> 2000</w:t>
      </w:r>
      <w:r w:rsidR="00F061A3" w:rsidRPr="007E6B28">
        <w:rPr>
          <w:lang w:val="pl-PL"/>
        </w:rPr>
        <w:noBreakHyphen/>
        <w:t xml:space="preserve">VII). </w:t>
      </w:r>
      <w:r w:rsidR="001D513E" w:rsidRPr="001D513E">
        <w:rPr>
          <w:szCs w:val="24"/>
          <w:lang w:val="pl-PL"/>
        </w:rPr>
        <w:t>Na państwie spoczywa obowiązek udzielenia przekonującego wyjaśnienia, co spowodowało te obrażenia oraz</w:t>
      </w:r>
      <w:r w:rsidR="001D513E">
        <w:rPr>
          <w:szCs w:val="24"/>
          <w:lang w:val="pl-PL"/>
        </w:rPr>
        <w:t xml:space="preserve"> przedstawienia dowodów </w:t>
      </w:r>
      <w:r w:rsidR="0035272D">
        <w:rPr>
          <w:szCs w:val="24"/>
          <w:lang w:val="pl-PL"/>
        </w:rPr>
        <w:t xml:space="preserve">podających w </w:t>
      </w:r>
      <w:r w:rsidR="00E61D26">
        <w:rPr>
          <w:szCs w:val="24"/>
          <w:lang w:val="pl-PL"/>
        </w:rPr>
        <w:t>wątpliwość zarzuty</w:t>
      </w:r>
      <w:r w:rsidR="001D513E">
        <w:rPr>
          <w:szCs w:val="24"/>
          <w:lang w:val="pl-PL"/>
        </w:rPr>
        <w:t xml:space="preserve"> pokrzywdzonego, a szczególnie jeśli zarzuty s</w:t>
      </w:r>
      <w:r w:rsidR="00C715E3">
        <w:rPr>
          <w:szCs w:val="24"/>
          <w:lang w:val="pl-PL"/>
        </w:rPr>
        <w:t>ą poparte dokumentacją lekarską</w:t>
      </w:r>
      <w:r w:rsidR="00F061A3" w:rsidRPr="001D513E">
        <w:rPr>
          <w:rStyle w:val="sb8d990e2"/>
          <w:lang w:val="pl-PL"/>
        </w:rPr>
        <w:t>(</w:t>
      </w:r>
      <w:proofErr w:type="spellStart"/>
      <w:r w:rsidR="00644DDF">
        <w:rPr>
          <w:rStyle w:val="s6b621b36"/>
          <w:i/>
          <w:lang w:val="pl-PL"/>
        </w:rPr>
        <w:t>Selmouni</w:t>
      </w:r>
      <w:proofErr w:type="spellEnd"/>
      <w:r w:rsidR="00644DDF">
        <w:rPr>
          <w:rStyle w:val="s6b621b36"/>
          <w:i/>
          <w:lang w:val="pl-PL"/>
        </w:rPr>
        <w:t xml:space="preserve"> p. Francji </w:t>
      </w:r>
      <w:r w:rsidR="00644DDF">
        <w:rPr>
          <w:rStyle w:val="sb8d990e2"/>
          <w:lang w:val="pl-PL"/>
        </w:rPr>
        <w:t>[WI], nr 25803/94, § 87, ETPC</w:t>
      </w:r>
      <w:r w:rsidR="00F061A3" w:rsidRPr="001D513E">
        <w:rPr>
          <w:rStyle w:val="sb8d990e2"/>
          <w:lang w:val="pl-PL"/>
        </w:rPr>
        <w:t xml:space="preserve"> 1999</w:t>
      </w:r>
      <w:r w:rsidR="00F061A3" w:rsidRPr="001D513E">
        <w:rPr>
          <w:rStyle w:val="sb8d990e2"/>
          <w:lang w:val="pl-PL"/>
        </w:rPr>
        <w:noBreakHyphen/>
        <w:t xml:space="preserve">V, </w:t>
      </w:r>
      <w:proofErr w:type="spellStart"/>
      <w:r w:rsidR="00F061A3" w:rsidRPr="001D513E">
        <w:rPr>
          <w:rStyle w:val="s6b621b36"/>
          <w:i/>
          <w:lang w:val="pl-PL"/>
        </w:rPr>
        <w:t>Altay</w:t>
      </w:r>
      <w:proofErr w:type="spellEnd"/>
      <w:r w:rsidR="00C715E3">
        <w:rPr>
          <w:rStyle w:val="s6b621b36"/>
          <w:i/>
          <w:lang w:val="pl-PL"/>
        </w:rPr>
        <w:t xml:space="preserve"> p</w:t>
      </w:r>
      <w:r w:rsidR="00644DDF">
        <w:rPr>
          <w:rStyle w:val="s6b621b36"/>
          <w:i/>
          <w:lang w:val="pl-PL"/>
        </w:rPr>
        <w:t>. Turcji</w:t>
      </w:r>
      <w:r w:rsidR="00644DDF">
        <w:rPr>
          <w:rStyle w:val="sb8d990e2"/>
          <w:lang w:val="pl-PL"/>
        </w:rPr>
        <w:t>, nr</w:t>
      </w:r>
      <w:r w:rsidR="00F061A3" w:rsidRPr="001D513E">
        <w:rPr>
          <w:rStyle w:val="sb8d990e2"/>
          <w:lang w:val="pl-PL"/>
        </w:rPr>
        <w:t xml:space="preserve"> 22279/93, § 50, </w:t>
      </w:r>
      <w:r w:rsidR="00644DDF">
        <w:rPr>
          <w:rStyle w:val="sb8d990e2"/>
          <w:lang w:val="pl-PL"/>
        </w:rPr>
        <w:t xml:space="preserve">dn. 22 maja </w:t>
      </w:r>
      <w:r w:rsidR="00F061A3" w:rsidRPr="001D513E">
        <w:rPr>
          <w:rStyle w:val="sb8d990e2"/>
          <w:lang w:val="pl-PL"/>
        </w:rPr>
        <w:t>2001</w:t>
      </w:r>
      <w:r w:rsidR="00644DDF">
        <w:rPr>
          <w:rStyle w:val="sb8d990e2"/>
          <w:lang w:val="pl-PL"/>
        </w:rPr>
        <w:t xml:space="preserve"> r.</w:t>
      </w:r>
      <w:r w:rsidR="00F061A3" w:rsidRPr="001D513E">
        <w:rPr>
          <w:rStyle w:val="sb8d990e2"/>
          <w:lang w:val="pl-PL"/>
        </w:rPr>
        <w:t xml:space="preserve">, </w:t>
      </w:r>
      <w:r w:rsidR="00F061A3" w:rsidRPr="001D513E">
        <w:rPr>
          <w:rStyle w:val="sb8d990e2"/>
          <w:i/>
          <w:lang w:val="pl-PL"/>
        </w:rPr>
        <w:t xml:space="preserve">Dzwonkowski </w:t>
      </w:r>
      <w:r w:rsidR="00644DDF">
        <w:rPr>
          <w:rStyle w:val="sb8d990e2"/>
          <w:i/>
          <w:lang w:val="pl-PL"/>
        </w:rPr>
        <w:t>p. Polsce</w:t>
      </w:r>
      <w:r w:rsidR="00644DDF">
        <w:rPr>
          <w:rStyle w:val="sb8d990e2"/>
          <w:lang w:val="pl-PL"/>
        </w:rPr>
        <w:t>, nr</w:t>
      </w:r>
      <w:r w:rsidR="00F061A3" w:rsidRPr="001D513E">
        <w:rPr>
          <w:rStyle w:val="sb8d990e2"/>
          <w:lang w:val="pl-PL"/>
        </w:rPr>
        <w:t xml:space="preserve"> 46702/99, § 48, </w:t>
      </w:r>
      <w:r w:rsidR="00644DDF">
        <w:rPr>
          <w:rStyle w:val="sb8d990e2"/>
          <w:lang w:val="pl-PL"/>
        </w:rPr>
        <w:t>dn. 12 kwietnia</w:t>
      </w:r>
      <w:r w:rsidR="00F061A3" w:rsidRPr="001D513E">
        <w:rPr>
          <w:rStyle w:val="sb8d990e2"/>
          <w:lang w:val="pl-PL"/>
        </w:rPr>
        <w:t xml:space="preserve"> 2007</w:t>
      </w:r>
      <w:r w:rsidR="00CC0BD4">
        <w:rPr>
          <w:rStyle w:val="sb8d990e2"/>
          <w:lang w:val="pl-PL"/>
        </w:rPr>
        <w:t xml:space="preserve"> </w:t>
      </w:r>
      <w:r w:rsidR="00644DDF">
        <w:rPr>
          <w:rStyle w:val="sb8d990e2"/>
          <w:lang w:val="pl-PL"/>
        </w:rPr>
        <w:t>r.</w:t>
      </w:r>
      <w:r w:rsidR="00CC0BD4">
        <w:rPr>
          <w:rStyle w:val="sb8d990e2"/>
          <w:lang w:val="pl-PL"/>
        </w:rPr>
        <w:t xml:space="preserve"> </w:t>
      </w:r>
      <w:r w:rsidR="00644DDF">
        <w:rPr>
          <w:rStyle w:val="sb8d990e2"/>
          <w:lang w:val="pl-PL"/>
        </w:rPr>
        <w:t>oraz</w:t>
      </w:r>
      <w:r w:rsidR="00636971">
        <w:rPr>
          <w:rStyle w:val="sb8d990e2"/>
          <w:lang w:val="pl-PL"/>
        </w:rPr>
        <w:t xml:space="preserve"> </w:t>
      </w:r>
      <w:r w:rsidR="00F061A3" w:rsidRPr="001D513E">
        <w:rPr>
          <w:rStyle w:val="sb8d990e2"/>
          <w:i/>
          <w:lang w:val="pl-PL"/>
        </w:rPr>
        <w:t>Lewa</w:t>
      </w:r>
      <w:r w:rsidR="00644DDF">
        <w:rPr>
          <w:rStyle w:val="sb8d990e2"/>
          <w:i/>
          <w:lang w:val="pl-PL"/>
        </w:rPr>
        <w:t>ndowski i</w:t>
      </w:r>
      <w:r w:rsidR="00F061A3" w:rsidRPr="001D513E">
        <w:rPr>
          <w:rStyle w:val="sb8d990e2"/>
          <w:i/>
          <w:lang w:val="pl-PL"/>
        </w:rPr>
        <w:t xml:space="preserve"> Lewandowska </w:t>
      </w:r>
      <w:r w:rsidR="00644DDF">
        <w:rPr>
          <w:rStyle w:val="sb8d990e2"/>
          <w:i/>
          <w:lang w:val="pl-PL"/>
        </w:rPr>
        <w:t>p. Polsce</w:t>
      </w:r>
      <w:r w:rsidR="00644DDF">
        <w:rPr>
          <w:rStyle w:val="sb8d990e2"/>
          <w:lang w:val="pl-PL"/>
        </w:rPr>
        <w:t xml:space="preserve">, nr </w:t>
      </w:r>
      <w:r w:rsidR="00F061A3" w:rsidRPr="001D513E">
        <w:rPr>
          <w:rStyle w:val="sb8d990e2"/>
          <w:lang w:val="pl-PL"/>
        </w:rPr>
        <w:t xml:space="preserve">15562/02, § 58, </w:t>
      </w:r>
      <w:r w:rsidR="00644DDF">
        <w:rPr>
          <w:rStyle w:val="sb8d990e2"/>
          <w:lang w:val="pl-PL"/>
        </w:rPr>
        <w:t xml:space="preserve">dn. </w:t>
      </w:r>
      <w:r w:rsidR="00F061A3" w:rsidRPr="001D513E">
        <w:rPr>
          <w:rStyle w:val="sb8d990e2"/>
          <w:lang w:val="pl-PL"/>
        </w:rPr>
        <w:t xml:space="preserve">13 </w:t>
      </w:r>
      <w:r w:rsidR="00644DDF">
        <w:rPr>
          <w:rStyle w:val="sb8d990e2"/>
          <w:lang w:val="pl-PL"/>
        </w:rPr>
        <w:t>stycznia</w:t>
      </w:r>
      <w:r w:rsidR="00F061A3" w:rsidRPr="001D513E">
        <w:rPr>
          <w:rStyle w:val="sb8d990e2"/>
          <w:lang w:val="pl-PL"/>
        </w:rPr>
        <w:t xml:space="preserve"> 2009</w:t>
      </w:r>
      <w:r w:rsidR="00644DDF">
        <w:rPr>
          <w:rStyle w:val="sb8d990e2"/>
          <w:lang w:val="pl-PL"/>
        </w:rPr>
        <w:t xml:space="preserve"> r.</w:t>
      </w:r>
      <w:r w:rsidR="00F061A3" w:rsidRPr="001D513E">
        <w:rPr>
          <w:rStyle w:val="sb8d990e2"/>
          <w:lang w:val="pl-PL"/>
        </w:rPr>
        <w:t>).</w:t>
      </w:r>
    </w:p>
    <w:p w:rsidR="00F061A3" w:rsidRPr="00566293" w:rsidRDefault="003001A7" w:rsidP="00566293">
      <w:pPr>
        <w:pStyle w:val="JuPara"/>
        <w:rPr>
          <w:rStyle w:val="sb8d990e2"/>
          <w:szCs w:val="24"/>
          <w:lang w:val="pl-PL"/>
        </w:rPr>
      </w:pPr>
      <w:r>
        <w:fldChar w:fldCharType="begin"/>
      </w:r>
      <w:r w:rsidR="00F061A3" w:rsidRPr="00B4740E">
        <w:rPr>
          <w:lang w:val="pl-PL"/>
        </w:rPr>
        <w:instrText xml:space="preserve"> SEQ level0 \*arabic </w:instrText>
      </w:r>
      <w:r>
        <w:fldChar w:fldCharType="separate"/>
      </w:r>
      <w:r w:rsidR="004E0BEB">
        <w:rPr>
          <w:noProof/>
          <w:lang w:val="pl-PL"/>
        </w:rPr>
        <w:t>93</w:t>
      </w:r>
      <w:r>
        <w:fldChar w:fldCharType="end"/>
      </w:r>
      <w:r w:rsidR="00F061A3" w:rsidRPr="00B4740E">
        <w:rPr>
          <w:lang w:val="pl-PL"/>
        </w:rPr>
        <w:t>. </w:t>
      </w:r>
      <w:r w:rsidR="007649DE">
        <w:rPr>
          <w:lang w:val="pl-PL"/>
        </w:rPr>
        <w:t>Trybunał przypomina również, że zarzut złego traktowania musi być poparty prze</w:t>
      </w:r>
      <w:r w:rsidR="00C8785B">
        <w:rPr>
          <w:lang w:val="pl-PL"/>
        </w:rPr>
        <w:t>z</w:t>
      </w:r>
      <w:r w:rsidR="007649DE">
        <w:rPr>
          <w:lang w:val="pl-PL"/>
        </w:rPr>
        <w:t xml:space="preserve"> odpowiedni materiał dowodowy. </w:t>
      </w:r>
      <w:r w:rsidR="00F061A3" w:rsidRPr="00B4740E">
        <w:rPr>
          <w:lang w:val="pl-PL"/>
        </w:rPr>
        <w:t> </w:t>
      </w:r>
      <w:r w:rsidR="00292EF3" w:rsidRPr="00292EF3">
        <w:rPr>
          <w:szCs w:val="24"/>
          <w:lang w:val="pl-PL"/>
        </w:rPr>
        <w:t>Badając sprawę Trybunał stosuje kryterium dowodu „ponad jakąkolwiek wątpliwość”</w:t>
      </w:r>
      <w:r w:rsidR="00812724">
        <w:rPr>
          <w:szCs w:val="24"/>
          <w:lang w:val="pl-PL"/>
        </w:rPr>
        <w:t>, j</w:t>
      </w:r>
      <w:r w:rsidR="00292EF3" w:rsidRPr="00292EF3">
        <w:rPr>
          <w:szCs w:val="24"/>
          <w:lang w:val="pl-PL"/>
        </w:rPr>
        <w:t>ednakże dowód taki może</w:t>
      </w:r>
      <w:r w:rsidR="00004919">
        <w:rPr>
          <w:szCs w:val="24"/>
          <w:lang w:val="pl-PL"/>
        </w:rPr>
        <w:t xml:space="preserve"> </w:t>
      </w:r>
      <w:r w:rsidR="00292EF3" w:rsidRPr="00292EF3">
        <w:rPr>
          <w:szCs w:val="24"/>
          <w:lang w:val="pl-PL"/>
        </w:rPr>
        <w:t>wynikać ze współistnienia wystarczająco silnych, jasnych i spójnych przesłanek lub z podobnego, ni</w:t>
      </w:r>
      <w:r w:rsidR="00292EF3">
        <w:rPr>
          <w:szCs w:val="24"/>
          <w:lang w:val="pl-PL"/>
        </w:rPr>
        <w:t>e</w:t>
      </w:r>
      <w:r w:rsidR="00292EF3" w:rsidRPr="00292EF3">
        <w:rPr>
          <w:szCs w:val="24"/>
          <w:lang w:val="pl-PL"/>
        </w:rPr>
        <w:t>podważ</w:t>
      </w:r>
      <w:r w:rsidR="00566293">
        <w:rPr>
          <w:szCs w:val="24"/>
          <w:lang w:val="pl-PL"/>
        </w:rPr>
        <w:t>alnego domniemania faktycznego</w:t>
      </w:r>
      <w:r w:rsidR="00F061A3" w:rsidRPr="00566293">
        <w:rPr>
          <w:lang w:val="pl-PL"/>
        </w:rPr>
        <w:t xml:space="preserve"> (</w:t>
      </w:r>
      <w:proofErr w:type="spellStart"/>
      <w:r w:rsidR="00C715E3">
        <w:rPr>
          <w:rStyle w:val="s6b621b36"/>
          <w:i/>
          <w:lang w:val="pl-PL"/>
        </w:rPr>
        <w:t>Berktay</w:t>
      </w:r>
      <w:proofErr w:type="spellEnd"/>
      <w:r w:rsidR="00C715E3">
        <w:rPr>
          <w:rStyle w:val="s6b621b36"/>
          <w:i/>
          <w:lang w:val="pl-PL"/>
        </w:rPr>
        <w:t xml:space="preserve"> p</w:t>
      </w:r>
      <w:r w:rsidR="00F061A3" w:rsidRPr="00566293">
        <w:rPr>
          <w:rStyle w:val="s6b621b36"/>
          <w:i/>
          <w:lang w:val="pl-PL"/>
        </w:rPr>
        <w:t>. Tu</w:t>
      </w:r>
      <w:r w:rsidR="00125C66">
        <w:rPr>
          <w:rStyle w:val="s6b621b36"/>
          <w:i/>
          <w:lang w:val="pl-PL"/>
        </w:rPr>
        <w:t>rcji</w:t>
      </w:r>
      <w:r w:rsidR="00F061A3" w:rsidRPr="00566293">
        <w:rPr>
          <w:rStyle w:val="sb8d990e2"/>
          <w:lang w:val="pl-PL"/>
        </w:rPr>
        <w:t xml:space="preserve">, </w:t>
      </w:r>
      <w:r w:rsidR="00125C66">
        <w:rPr>
          <w:rStyle w:val="sb8d990e2"/>
          <w:lang w:val="pl-PL"/>
        </w:rPr>
        <w:t xml:space="preserve">nr </w:t>
      </w:r>
      <w:r w:rsidR="00F061A3" w:rsidRPr="00566293">
        <w:rPr>
          <w:rStyle w:val="sb8d990e2"/>
          <w:lang w:val="pl-PL"/>
        </w:rPr>
        <w:t xml:space="preserve">22493/93, § 165, </w:t>
      </w:r>
      <w:r w:rsidR="00BB7DCA">
        <w:rPr>
          <w:rStyle w:val="sb8d990e2"/>
          <w:lang w:val="pl-PL"/>
        </w:rPr>
        <w:t>dn. 1 marca</w:t>
      </w:r>
      <w:r w:rsidR="00F061A3" w:rsidRPr="00566293">
        <w:rPr>
          <w:rStyle w:val="sb8d990e2"/>
          <w:lang w:val="pl-PL"/>
        </w:rPr>
        <w:t xml:space="preserve"> 2001</w:t>
      </w:r>
      <w:r w:rsidR="00BB7DCA">
        <w:rPr>
          <w:rStyle w:val="sb8d990e2"/>
          <w:lang w:val="pl-PL"/>
        </w:rPr>
        <w:t xml:space="preserve"> r.</w:t>
      </w:r>
      <w:r w:rsidR="00F061A3" w:rsidRPr="00566293">
        <w:rPr>
          <w:rStyle w:val="sb8d990e2"/>
          <w:lang w:val="pl-PL"/>
        </w:rPr>
        <w:t xml:space="preserve">, </w:t>
      </w:r>
      <w:r w:rsidR="00BB7DCA">
        <w:rPr>
          <w:rStyle w:val="sb8d990e2"/>
          <w:i/>
          <w:lang w:val="pl-PL"/>
        </w:rPr>
        <w:t>Jasiń</w:t>
      </w:r>
      <w:r w:rsidR="00F061A3" w:rsidRPr="00566293">
        <w:rPr>
          <w:rStyle w:val="sb8d990e2"/>
          <w:i/>
          <w:lang w:val="pl-PL"/>
        </w:rPr>
        <w:t xml:space="preserve">ski </w:t>
      </w:r>
      <w:r w:rsidR="00BB7DCA">
        <w:rPr>
          <w:rStyle w:val="sb8d990e2"/>
          <w:i/>
          <w:lang w:val="pl-PL"/>
        </w:rPr>
        <w:t>p. Polsce</w:t>
      </w:r>
      <w:r w:rsidR="00BB7DCA">
        <w:rPr>
          <w:rStyle w:val="sb8d990e2"/>
          <w:lang w:val="pl-PL"/>
        </w:rPr>
        <w:t>, nr</w:t>
      </w:r>
      <w:r w:rsidR="00F061A3" w:rsidRPr="00566293">
        <w:rPr>
          <w:rStyle w:val="sb8d990e2"/>
          <w:lang w:val="pl-PL"/>
        </w:rPr>
        <w:t xml:space="preserve"> 72976/01 , § 35, </w:t>
      </w:r>
      <w:r w:rsidR="00DB1193">
        <w:rPr>
          <w:rStyle w:val="sb8d990e2"/>
          <w:lang w:val="pl-PL"/>
        </w:rPr>
        <w:t>dn. 6 grudnia</w:t>
      </w:r>
      <w:r w:rsidR="00F061A3" w:rsidRPr="00566293">
        <w:rPr>
          <w:rStyle w:val="sb8d990e2"/>
          <w:lang w:val="pl-PL"/>
        </w:rPr>
        <w:t xml:space="preserve"> 2007</w:t>
      </w:r>
      <w:r w:rsidR="00DB1193">
        <w:rPr>
          <w:rStyle w:val="sb8d990e2"/>
          <w:lang w:val="pl-PL"/>
        </w:rPr>
        <w:t xml:space="preserve"> r.</w:t>
      </w:r>
      <w:r w:rsidR="00F061A3" w:rsidRPr="00566293">
        <w:rPr>
          <w:rStyle w:val="sb8d990e2"/>
          <w:lang w:val="pl-PL"/>
        </w:rPr>
        <w:t xml:space="preserve">, </w:t>
      </w:r>
      <w:proofErr w:type="spellStart"/>
      <w:r w:rsidR="00F061A3" w:rsidRPr="00566293">
        <w:rPr>
          <w:rStyle w:val="sb8d990e2"/>
          <w:i/>
          <w:lang w:val="pl-PL"/>
        </w:rPr>
        <w:t>Grimailovs</w:t>
      </w:r>
      <w:proofErr w:type="spellEnd"/>
      <w:r w:rsidR="00004919">
        <w:rPr>
          <w:rStyle w:val="sb8d990e2"/>
          <w:i/>
          <w:lang w:val="pl-PL"/>
        </w:rPr>
        <w:t xml:space="preserve"> </w:t>
      </w:r>
      <w:r w:rsidR="00DB1193">
        <w:rPr>
          <w:rStyle w:val="sb8d990e2"/>
          <w:i/>
          <w:lang w:val="pl-PL"/>
        </w:rPr>
        <w:t>p. Łotwie</w:t>
      </w:r>
      <w:r w:rsidR="00DB1193">
        <w:rPr>
          <w:rStyle w:val="sb8d990e2"/>
          <w:lang w:val="pl-PL"/>
        </w:rPr>
        <w:t>, nr</w:t>
      </w:r>
      <w:r w:rsidR="00F061A3" w:rsidRPr="00566293">
        <w:rPr>
          <w:rStyle w:val="sb8d990e2"/>
          <w:lang w:val="pl-PL"/>
        </w:rPr>
        <w:t xml:space="preserve"> 6087/03, § 101, </w:t>
      </w:r>
      <w:r w:rsidR="00DB1193">
        <w:rPr>
          <w:rStyle w:val="sb8d990e2"/>
          <w:lang w:val="pl-PL"/>
        </w:rPr>
        <w:t>dn. 25 czerwca</w:t>
      </w:r>
      <w:r w:rsidR="00F061A3" w:rsidRPr="00566293">
        <w:rPr>
          <w:rStyle w:val="sb8d990e2"/>
          <w:lang w:val="pl-PL"/>
        </w:rPr>
        <w:t xml:space="preserve"> 2013</w:t>
      </w:r>
      <w:r w:rsidR="00DB1193">
        <w:rPr>
          <w:rStyle w:val="sb8d990e2"/>
          <w:lang w:val="pl-PL"/>
        </w:rPr>
        <w:t xml:space="preserve"> r.</w:t>
      </w:r>
      <w:r w:rsidR="00F061A3" w:rsidRPr="00566293">
        <w:rPr>
          <w:lang w:val="pl-PL"/>
        </w:rPr>
        <w:t>).</w:t>
      </w:r>
    </w:p>
    <w:p w:rsidR="00F061A3" w:rsidRPr="00AD2D7E" w:rsidRDefault="003001A7" w:rsidP="00F061A3">
      <w:pPr>
        <w:pStyle w:val="JuPara"/>
        <w:tabs>
          <w:tab w:val="left" w:pos="426"/>
        </w:tabs>
        <w:rPr>
          <w:lang w:val="pl-PL"/>
        </w:rPr>
      </w:pPr>
      <w:r>
        <w:fldChar w:fldCharType="begin"/>
      </w:r>
      <w:r w:rsidR="00F061A3" w:rsidRPr="00E90B0C">
        <w:rPr>
          <w:lang w:val="pl-PL"/>
        </w:rPr>
        <w:instrText xml:space="preserve"> SEQ level0 \*arabic </w:instrText>
      </w:r>
      <w:r>
        <w:fldChar w:fldCharType="separate"/>
      </w:r>
      <w:r w:rsidR="004E0BEB">
        <w:rPr>
          <w:noProof/>
          <w:lang w:val="pl-PL"/>
        </w:rPr>
        <w:t>94</w:t>
      </w:r>
      <w:r>
        <w:fldChar w:fldCharType="end"/>
      </w:r>
      <w:r w:rsidR="00F061A3" w:rsidRPr="00E90B0C">
        <w:rPr>
          <w:lang w:val="pl-PL"/>
        </w:rPr>
        <w:t>.  </w:t>
      </w:r>
      <w:r w:rsidR="0066735F" w:rsidRPr="0066735F">
        <w:rPr>
          <w:lang w:val="pl-PL"/>
        </w:rPr>
        <w:t>Następnie Trybunał przypomina, że jeżeli oso</w:t>
      </w:r>
      <w:r w:rsidR="0066735F">
        <w:rPr>
          <w:lang w:val="pl-PL"/>
        </w:rPr>
        <w:t xml:space="preserve">ba w sposób wiarygodny twierdzi, że </w:t>
      </w:r>
      <w:r w:rsidR="00E90B0C">
        <w:rPr>
          <w:lang w:val="pl-PL"/>
        </w:rPr>
        <w:t>została potraktowana</w:t>
      </w:r>
      <w:r w:rsidR="0066735F">
        <w:rPr>
          <w:lang w:val="pl-PL"/>
        </w:rPr>
        <w:t xml:space="preserve"> przez policję lub inne organy państwowe w sposób niezgodny z artykułem 3 Konwencji, to na Państwie </w:t>
      </w:r>
      <w:r w:rsidR="0066735F">
        <w:rPr>
          <w:lang w:val="pl-PL"/>
        </w:rPr>
        <w:lastRenderedPageBreak/>
        <w:t xml:space="preserve">ciąży obowiązek </w:t>
      </w:r>
      <w:r w:rsidR="004F5E35">
        <w:rPr>
          <w:lang w:val="pl-PL"/>
        </w:rPr>
        <w:t>przeprowadzenia skutecznego postępowania w tej sprawie</w:t>
      </w:r>
      <w:r w:rsidR="00F061A3" w:rsidRPr="0066735F">
        <w:rPr>
          <w:lang w:val="pl-PL"/>
        </w:rPr>
        <w:t xml:space="preserve"> (</w:t>
      </w:r>
      <w:proofErr w:type="spellStart"/>
      <w:r w:rsidR="00F061A3" w:rsidRPr="0066735F">
        <w:rPr>
          <w:rStyle w:val="ju-005fpara-002cleft-002cfirst-0020line-003a-0020-00200-0020cm--char"/>
          <w:i/>
          <w:iCs/>
          <w:lang w:val="pl-PL"/>
        </w:rPr>
        <w:t>Assenov</w:t>
      </w:r>
      <w:proofErr w:type="spellEnd"/>
      <w:r w:rsidR="00F33D63">
        <w:rPr>
          <w:rStyle w:val="ju-005fpara-002cleft-002cfirst-0020line-003a-0020-00200-0020cm--char"/>
          <w:i/>
          <w:iCs/>
          <w:lang w:val="pl-PL"/>
        </w:rPr>
        <w:t xml:space="preserve"> </w:t>
      </w:r>
      <w:r w:rsidR="00E90B0C">
        <w:rPr>
          <w:rStyle w:val="ju-005fpara-002cleft-002cfirst-0020line-003a-0020-00200-0020cm--char"/>
          <w:i/>
          <w:iCs/>
          <w:lang w:val="pl-PL"/>
        </w:rPr>
        <w:t>i inni p. Bułgarii</w:t>
      </w:r>
      <w:r w:rsidR="00E90B0C">
        <w:rPr>
          <w:lang w:val="pl-PL"/>
        </w:rPr>
        <w:t>, nr</w:t>
      </w:r>
      <w:r w:rsidR="00F061A3" w:rsidRPr="00E90B0C">
        <w:rPr>
          <w:lang w:val="pl-PL"/>
        </w:rPr>
        <w:t xml:space="preserve"> 24760/94,§ 102, </w:t>
      </w:r>
      <w:r w:rsidR="00E90B0C">
        <w:rPr>
          <w:lang w:val="pl-PL"/>
        </w:rPr>
        <w:t>dn. 28 października</w:t>
      </w:r>
      <w:r w:rsidR="00F061A3" w:rsidRPr="00E90B0C">
        <w:rPr>
          <w:lang w:val="pl-PL"/>
        </w:rPr>
        <w:t xml:space="preserve"> 1998</w:t>
      </w:r>
      <w:r w:rsidR="00E90B0C">
        <w:rPr>
          <w:lang w:val="pl-PL"/>
        </w:rPr>
        <w:t xml:space="preserve"> r.</w:t>
      </w:r>
      <w:r w:rsidR="00F061A3" w:rsidRPr="00E90B0C">
        <w:rPr>
          <w:lang w:val="pl-PL"/>
        </w:rPr>
        <w:t xml:space="preserve">, </w:t>
      </w:r>
      <w:proofErr w:type="spellStart"/>
      <w:r w:rsidR="00E90B0C">
        <w:rPr>
          <w:rStyle w:val="ju-005fpara-002cleft-002cfirst-0020line-003a-0020-00200-0020cm--char"/>
          <w:i/>
          <w:iCs/>
          <w:lang w:val="pl-PL"/>
        </w:rPr>
        <w:t>Labita</w:t>
      </w:r>
      <w:proofErr w:type="spellEnd"/>
      <w:r w:rsidR="00E90B0C">
        <w:rPr>
          <w:rStyle w:val="ju-005fpara-002cleft-002cfirst-0020line-003a-0020-00200-0020cm--char"/>
          <w:i/>
          <w:iCs/>
          <w:lang w:val="pl-PL"/>
        </w:rPr>
        <w:t xml:space="preserve"> p. Włochom </w:t>
      </w:r>
      <w:r w:rsidR="00E90B0C">
        <w:rPr>
          <w:lang w:val="pl-PL"/>
        </w:rPr>
        <w:t xml:space="preserve"> [WI], nr</w:t>
      </w:r>
      <w:r w:rsidR="00F061A3" w:rsidRPr="00E90B0C">
        <w:rPr>
          <w:lang w:val="pl-PL"/>
        </w:rPr>
        <w:t xml:space="preserve"> 26772/95, § 131, </w:t>
      </w:r>
      <w:r w:rsidR="00E90B0C">
        <w:rPr>
          <w:lang w:val="pl-PL"/>
        </w:rPr>
        <w:t>ETPC 2000-IV, oraz</w:t>
      </w:r>
      <w:r w:rsidR="00F33D63">
        <w:rPr>
          <w:lang w:val="pl-PL"/>
        </w:rPr>
        <w:t xml:space="preserve"> </w:t>
      </w:r>
      <w:proofErr w:type="spellStart"/>
      <w:r w:rsidR="00E90B0C">
        <w:rPr>
          <w:i/>
          <w:lang w:val="pl-PL"/>
        </w:rPr>
        <w:t>Sorokins</w:t>
      </w:r>
      <w:proofErr w:type="spellEnd"/>
      <w:r w:rsidR="00E90B0C">
        <w:rPr>
          <w:i/>
          <w:lang w:val="pl-PL"/>
        </w:rPr>
        <w:t xml:space="preserve"> i</w:t>
      </w:r>
      <w:r w:rsidR="00F33D63">
        <w:rPr>
          <w:i/>
          <w:lang w:val="pl-PL"/>
        </w:rPr>
        <w:t xml:space="preserve"> </w:t>
      </w:r>
      <w:proofErr w:type="spellStart"/>
      <w:r w:rsidR="00E90B0C">
        <w:rPr>
          <w:i/>
          <w:lang w:val="pl-PL"/>
        </w:rPr>
        <w:t>Sorokina</w:t>
      </w:r>
      <w:proofErr w:type="spellEnd"/>
      <w:r w:rsidR="00E90B0C">
        <w:rPr>
          <w:i/>
          <w:lang w:val="pl-PL"/>
        </w:rPr>
        <w:t xml:space="preserve"> p. Łotwie</w:t>
      </w:r>
      <w:r w:rsidR="00E90B0C">
        <w:rPr>
          <w:lang w:val="pl-PL"/>
        </w:rPr>
        <w:t>, nr</w:t>
      </w:r>
      <w:r w:rsidR="00F061A3" w:rsidRPr="00E90B0C">
        <w:rPr>
          <w:lang w:val="pl-PL"/>
        </w:rPr>
        <w:t xml:space="preserve"> 45476/04, § 95, </w:t>
      </w:r>
      <w:r w:rsidR="00E90B0C">
        <w:rPr>
          <w:lang w:val="pl-PL"/>
        </w:rPr>
        <w:t>dn. 28 maja</w:t>
      </w:r>
      <w:r w:rsidR="00F061A3" w:rsidRPr="00E90B0C">
        <w:rPr>
          <w:lang w:val="pl-PL"/>
        </w:rPr>
        <w:t xml:space="preserve"> 2013</w:t>
      </w:r>
      <w:r w:rsidR="00E90B0C">
        <w:rPr>
          <w:lang w:val="pl-PL"/>
        </w:rPr>
        <w:t xml:space="preserve"> r.</w:t>
      </w:r>
      <w:r w:rsidR="00F061A3" w:rsidRPr="00E90B0C">
        <w:rPr>
          <w:lang w:val="pl-PL"/>
        </w:rPr>
        <w:t xml:space="preserve">). </w:t>
      </w:r>
      <w:r w:rsidR="00E90B0C">
        <w:rPr>
          <w:lang w:val="pl-PL"/>
        </w:rPr>
        <w:t xml:space="preserve">Jednak, </w:t>
      </w:r>
      <w:r w:rsidR="00E90B0C">
        <w:rPr>
          <w:szCs w:val="24"/>
          <w:lang w:val="pl-PL"/>
        </w:rPr>
        <w:t>nie chodzi tu o zobowiązanie rezultatu ale o zobowiązanie użycia środków. Władze winny podjąć, będące w ich dyspozycji, uzasadnione kro</w:t>
      </w:r>
      <w:r w:rsidR="005C5789">
        <w:rPr>
          <w:szCs w:val="24"/>
          <w:lang w:val="pl-PL"/>
        </w:rPr>
        <w:t xml:space="preserve">ki aby uzyskać dowody w sprawie </w:t>
      </w:r>
      <w:r w:rsidR="00F061A3" w:rsidRPr="00AD2D7E">
        <w:rPr>
          <w:lang w:val="pl-PL"/>
        </w:rPr>
        <w:t>(</w:t>
      </w:r>
      <w:proofErr w:type="spellStart"/>
      <w:r w:rsidR="00F061A3" w:rsidRPr="00AD2D7E">
        <w:rPr>
          <w:rStyle w:val="ju-005fpara-002cleft-002cfirst-0020line-003a-0020-00200-0020cm--char"/>
          <w:i/>
          <w:iCs/>
          <w:lang w:val="pl-PL"/>
        </w:rPr>
        <w:t>Šečić</w:t>
      </w:r>
      <w:proofErr w:type="spellEnd"/>
      <w:r w:rsidR="00F33D63">
        <w:rPr>
          <w:rStyle w:val="ju-005fpara-002cleft-002cfirst-0020line-003a-0020-00200-0020cm--char"/>
          <w:i/>
          <w:iCs/>
          <w:lang w:val="pl-PL"/>
        </w:rPr>
        <w:t xml:space="preserve"> </w:t>
      </w:r>
      <w:r w:rsidR="00E90B0C" w:rsidRPr="00AD2D7E">
        <w:rPr>
          <w:rStyle w:val="ju-005fpara-002cleft-002cfirst-0020line-003a-0020-00200-0020cm--char"/>
          <w:i/>
          <w:iCs/>
          <w:lang w:val="pl-PL"/>
        </w:rPr>
        <w:t>p. Chorwacji</w:t>
      </w:r>
      <w:r w:rsidR="00E90B0C" w:rsidRPr="00AD2D7E">
        <w:rPr>
          <w:lang w:val="pl-PL"/>
        </w:rPr>
        <w:t>, nr</w:t>
      </w:r>
      <w:r w:rsidR="00F061A3" w:rsidRPr="00AD2D7E">
        <w:rPr>
          <w:lang w:val="pl-PL"/>
        </w:rPr>
        <w:t xml:space="preserve"> 40116/02, § 54, </w:t>
      </w:r>
      <w:r w:rsidR="00B132CB" w:rsidRPr="00AD2D7E">
        <w:rPr>
          <w:lang w:val="pl-PL"/>
        </w:rPr>
        <w:t>ETPC</w:t>
      </w:r>
      <w:r w:rsidR="00F061A3" w:rsidRPr="00AD2D7E">
        <w:rPr>
          <w:lang w:val="pl-PL"/>
        </w:rPr>
        <w:t xml:space="preserve"> 2007-VI).</w:t>
      </w:r>
    </w:p>
    <w:p w:rsidR="00F061A3" w:rsidRPr="0012042E" w:rsidRDefault="003001A7" w:rsidP="00F061A3">
      <w:pPr>
        <w:pStyle w:val="JuPara"/>
        <w:rPr>
          <w:lang w:val="pl-PL"/>
        </w:rPr>
      </w:pPr>
      <w:r>
        <w:fldChar w:fldCharType="begin"/>
      </w:r>
      <w:r w:rsidR="00F061A3" w:rsidRPr="00A1797C">
        <w:rPr>
          <w:lang w:val="pl-PL"/>
        </w:rPr>
        <w:instrText xml:space="preserve"> SEQ level0 \*arabic </w:instrText>
      </w:r>
      <w:r>
        <w:fldChar w:fldCharType="separate"/>
      </w:r>
      <w:r w:rsidR="004E0BEB">
        <w:rPr>
          <w:noProof/>
          <w:lang w:val="pl-PL"/>
        </w:rPr>
        <w:t>95</w:t>
      </w:r>
      <w:r>
        <w:fldChar w:fldCharType="end"/>
      </w:r>
      <w:r w:rsidR="00F061A3" w:rsidRPr="00A1797C">
        <w:rPr>
          <w:lang w:val="pl-PL"/>
        </w:rPr>
        <w:t>.  </w:t>
      </w:r>
      <w:r w:rsidR="00FE41D3" w:rsidRPr="00FE41D3">
        <w:rPr>
          <w:lang w:val="pl-PL"/>
        </w:rPr>
        <w:t xml:space="preserve">W tym kontekście </w:t>
      </w:r>
      <w:r w:rsidR="00FE41D3">
        <w:rPr>
          <w:lang w:val="pl-PL"/>
        </w:rPr>
        <w:t>w</w:t>
      </w:r>
      <w:r w:rsidR="00FE41D3" w:rsidRPr="00FE41D3">
        <w:rPr>
          <w:lang w:val="pl-PL"/>
        </w:rPr>
        <w:t xml:space="preserve">ymóg przestrzegania terminów i </w:t>
      </w:r>
      <w:r w:rsidR="00FE41D3">
        <w:rPr>
          <w:lang w:val="pl-PL"/>
        </w:rPr>
        <w:t xml:space="preserve">należytej </w:t>
      </w:r>
      <w:r w:rsidR="00FE41D3" w:rsidRPr="00FE41D3">
        <w:rPr>
          <w:lang w:val="pl-PL"/>
        </w:rPr>
        <w:t>staranności</w:t>
      </w:r>
      <w:r w:rsidR="00CE2822">
        <w:rPr>
          <w:lang w:val="pl-PL"/>
        </w:rPr>
        <w:t xml:space="preserve"> rozumie się sam przez się</w:t>
      </w:r>
      <w:r w:rsidR="00FE41D3">
        <w:rPr>
          <w:lang w:val="pl-PL"/>
        </w:rPr>
        <w:t xml:space="preserve">. Ważne jest </w:t>
      </w:r>
      <w:r w:rsidR="0012042E">
        <w:rPr>
          <w:lang w:val="pl-PL"/>
        </w:rPr>
        <w:t>by czynności śledcze były prowadzone w krótkim czasie, gdyż upływ czasu wpływa negatywnie na ilość i ja</w:t>
      </w:r>
      <w:r w:rsidR="00572EDD">
        <w:rPr>
          <w:lang w:val="pl-PL"/>
        </w:rPr>
        <w:t>kość dostępnych dowodów, a brak</w:t>
      </w:r>
      <w:r w:rsidR="0012042E">
        <w:rPr>
          <w:lang w:val="pl-PL"/>
        </w:rPr>
        <w:t xml:space="preserve"> staranności </w:t>
      </w:r>
      <w:r w:rsidR="00B132CB">
        <w:rPr>
          <w:lang w:val="pl-PL"/>
        </w:rPr>
        <w:t>nasuwa wątpliwości co do dobrej wiary prowad</w:t>
      </w:r>
      <w:r w:rsidR="00572EDD">
        <w:rPr>
          <w:lang w:val="pl-PL"/>
        </w:rPr>
        <w:t xml:space="preserve">zonego śledztwa i powoduje, że </w:t>
      </w:r>
      <w:r w:rsidR="008968BB">
        <w:rPr>
          <w:lang w:val="pl-PL"/>
        </w:rPr>
        <w:t xml:space="preserve">ciężkie przeżycia </w:t>
      </w:r>
      <w:r w:rsidR="00B132CB">
        <w:rPr>
          <w:lang w:val="pl-PL"/>
        </w:rPr>
        <w:t>na które narażone zain</w:t>
      </w:r>
      <w:r w:rsidR="008968BB">
        <w:rPr>
          <w:lang w:val="pl-PL"/>
        </w:rPr>
        <w:t xml:space="preserve">teresowane osoby trwają dalej </w:t>
      </w:r>
      <w:r w:rsidR="00F061A3" w:rsidRPr="0012042E">
        <w:rPr>
          <w:lang w:val="pl-PL"/>
        </w:rPr>
        <w:t>(</w:t>
      </w:r>
      <w:r w:rsidR="00F061A3" w:rsidRPr="0012042E">
        <w:rPr>
          <w:i/>
          <w:lang w:val="pl-PL" w:eastAsia="en-US"/>
        </w:rPr>
        <w:t>Paul</w:t>
      </w:r>
      <w:r w:rsidR="00D127C1">
        <w:rPr>
          <w:i/>
          <w:lang w:val="pl-PL" w:eastAsia="en-US"/>
        </w:rPr>
        <w:t xml:space="preserve"> </w:t>
      </w:r>
      <w:r w:rsidR="003D0403">
        <w:rPr>
          <w:i/>
          <w:lang w:val="pl-PL" w:eastAsia="en-US"/>
        </w:rPr>
        <w:t>i</w:t>
      </w:r>
      <w:r w:rsidR="00F061A3" w:rsidRPr="0012042E">
        <w:rPr>
          <w:i/>
          <w:lang w:val="pl-PL" w:eastAsia="en-US"/>
        </w:rPr>
        <w:t xml:space="preserve"> Audrey Edwards </w:t>
      </w:r>
      <w:r w:rsidR="00B132CB">
        <w:rPr>
          <w:i/>
          <w:lang w:val="pl-PL" w:eastAsia="en-US"/>
        </w:rPr>
        <w:t>p. Zjednoczonemu Królestwu</w:t>
      </w:r>
      <w:r w:rsidR="00B132CB">
        <w:rPr>
          <w:lang w:val="pl-PL" w:eastAsia="en-US"/>
        </w:rPr>
        <w:t>, nr</w:t>
      </w:r>
      <w:r w:rsidR="00F061A3" w:rsidRPr="0012042E">
        <w:rPr>
          <w:lang w:val="pl-PL" w:eastAsia="en-US"/>
        </w:rPr>
        <w:t xml:space="preserve"> 46477/99, § 86, </w:t>
      </w:r>
      <w:r w:rsidR="00B132CB">
        <w:rPr>
          <w:lang w:val="pl-PL" w:eastAsia="en-US"/>
        </w:rPr>
        <w:t>ETPC</w:t>
      </w:r>
      <w:r w:rsidR="00F061A3" w:rsidRPr="0012042E">
        <w:rPr>
          <w:lang w:val="pl-PL" w:eastAsia="en-US"/>
        </w:rPr>
        <w:t xml:space="preserve"> 2002</w:t>
      </w:r>
      <w:r w:rsidR="00F061A3" w:rsidRPr="0012042E">
        <w:rPr>
          <w:lang w:val="pl-PL" w:eastAsia="en-US"/>
        </w:rPr>
        <w:noBreakHyphen/>
        <w:t>II</w:t>
      </w:r>
      <w:r w:rsidR="00F061A3" w:rsidRPr="0012042E">
        <w:rPr>
          <w:szCs w:val="24"/>
          <w:lang w:val="pl-PL"/>
        </w:rPr>
        <w:t>).</w:t>
      </w:r>
    </w:p>
    <w:p w:rsidR="00F061A3" w:rsidRPr="00B132CB" w:rsidRDefault="003001A7" w:rsidP="00F061A3">
      <w:pPr>
        <w:pStyle w:val="JuPara"/>
        <w:rPr>
          <w:lang w:val="pl-PL" w:eastAsia="en-US"/>
        </w:rPr>
      </w:pPr>
      <w:r>
        <w:fldChar w:fldCharType="begin"/>
      </w:r>
      <w:r w:rsidR="00F061A3" w:rsidRPr="00A1797C">
        <w:rPr>
          <w:lang w:val="pl-PL"/>
        </w:rPr>
        <w:instrText xml:space="preserve"> SEQ level0 \*arabic </w:instrText>
      </w:r>
      <w:r>
        <w:fldChar w:fldCharType="separate"/>
      </w:r>
      <w:r w:rsidR="004E0BEB">
        <w:rPr>
          <w:noProof/>
          <w:lang w:val="pl-PL"/>
        </w:rPr>
        <w:t>96</w:t>
      </w:r>
      <w:r>
        <w:fldChar w:fldCharType="end"/>
      </w:r>
      <w:r w:rsidR="00F061A3" w:rsidRPr="00A1797C">
        <w:rPr>
          <w:lang w:val="pl-PL"/>
        </w:rPr>
        <w:t>.  </w:t>
      </w:r>
      <w:r w:rsidR="00B132CB" w:rsidRPr="00B132CB">
        <w:rPr>
          <w:lang w:val="pl-PL"/>
        </w:rPr>
        <w:t>Co do funkcjonariuszy prowadzących postępowanie, to dla jego skuteczności</w:t>
      </w:r>
      <w:r w:rsidR="00B132CB">
        <w:rPr>
          <w:lang w:val="pl-PL"/>
        </w:rPr>
        <w:t xml:space="preserve"> po pierwsze ważne jest, żeby osoby odpowiedzialne za jego prowadzenie</w:t>
      </w:r>
      <w:r w:rsidR="003D0403">
        <w:rPr>
          <w:lang w:val="pl-PL"/>
        </w:rPr>
        <w:t xml:space="preserve"> nie były </w:t>
      </w:r>
      <w:r w:rsidR="00BF203F">
        <w:rPr>
          <w:lang w:val="pl-PL"/>
        </w:rPr>
        <w:t>zależne</w:t>
      </w:r>
      <w:r w:rsidR="003D0403">
        <w:rPr>
          <w:lang w:val="pl-PL"/>
        </w:rPr>
        <w:t xml:space="preserve"> od osób zamieszanych w zaistniałe wydarzenia; z jednej strony nie mogą im podlegać hierarchicznie, a z drug</w:t>
      </w:r>
      <w:r w:rsidR="00BF203F">
        <w:rPr>
          <w:lang w:val="pl-PL"/>
        </w:rPr>
        <w:t>iej muszą być od nich niezależne</w:t>
      </w:r>
      <w:r w:rsidR="003D0403">
        <w:rPr>
          <w:lang w:val="pl-PL"/>
        </w:rPr>
        <w:t xml:space="preserve"> w praktyce</w:t>
      </w:r>
      <w:r w:rsidR="00F061A3" w:rsidRPr="00B132CB">
        <w:rPr>
          <w:lang w:val="pl-PL"/>
        </w:rPr>
        <w:t xml:space="preserve"> (</w:t>
      </w:r>
      <w:r w:rsidR="003D0403">
        <w:rPr>
          <w:lang w:val="pl-PL"/>
        </w:rPr>
        <w:t>zob. na przykład</w:t>
      </w:r>
      <w:r w:rsidR="00F061A3" w:rsidRPr="00B132CB">
        <w:rPr>
          <w:lang w:val="pl-PL"/>
        </w:rPr>
        <w:t xml:space="preserve">, </w:t>
      </w:r>
      <w:proofErr w:type="spellStart"/>
      <w:r w:rsidR="00F061A3" w:rsidRPr="00B132CB">
        <w:rPr>
          <w:i/>
          <w:lang w:val="pl-PL" w:eastAsia="en-US"/>
        </w:rPr>
        <w:t>Slimani</w:t>
      </w:r>
      <w:proofErr w:type="spellEnd"/>
      <w:r w:rsidR="00F33D63">
        <w:rPr>
          <w:i/>
          <w:lang w:val="pl-PL" w:eastAsia="en-US"/>
        </w:rPr>
        <w:t xml:space="preserve"> </w:t>
      </w:r>
      <w:r w:rsidR="003D0403">
        <w:rPr>
          <w:i/>
          <w:lang w:val="pl-PL" w:eastAsia="en-US"/>
        </w:rPr>
        <w:t>p. Francji</w:t>
      </w:r>
      <w:r w:rsidR="00F061A3" w:rsidRPr="00B132CB">
        <w:rPr>
          <w:iCs/>
          <w:lang w:val="pl-PL" w:eastAsia="en-US"/>
        </w:rPr>
        <w:t xml:space="preserve">, </w:t>
      </w:r>
      <w:r w:rsidR="003D0403">
        <w:rPr>
          <w:lang w:val="pl-PL" w:eastAsia="en-US"/>
        </w:rPr>
        <w:t>nr</w:t>
      </w:r>
      <w:r w:rsidR="00F061A3" w:rsidRPr="00B132CB">
        <w:rPr>
          <w:vertAlign w:val="superscript"/>
          <w:lang w:val="pl-PL" w:eastAsia="en-US"/>
        </w:rPr>
        <w:t> </w:t>
      </w:r>
      <w:r w:rsidR="003D0403">
        <w:rPr>
          <w:lang w:val="pl-PL" w:eastAsia="en-US"/>
        </w:rPr>
        <w:t>57671/00, § 32, ETPC</w:t>
      </w:r>
      <w:r w:rsidR="00F061A3" w:rsidRPr="00B132CB">
        <w:rPr>
          <w:lang w:val="pl-PL" w:eastAsia="en-US"/>
        </w:rPr>
        <w:t xml:space="preserve"> 2004</w:t>
      </w:r>
      <w:r w:rsidR="00F061A3" w:rsidRPr="00B132CB">
        <w:rPr>
          <w:lang w:val="pl-PL" w:eastAsia="en-US"/>
        </w:rPr>
        <w:noBreakHyphen/>
        <w:t>IX,</w:t>
      </w:r>
      <w:r w:rsidR="003D0403">
        <w:rPr>
          <w:lang w:val="pl-PL"/>
        </w:rPr>
        <w:t xml:space="preserve"> oraz wyżej cytowany </w:t>
      </w:r>
      <w:r w:rsidR="00F061A3" w:rsidRPr="00B132CB">
        <w:rPr>
          <w:rStyle w:val="ju-005fpara--char"/>
          <w:i/>
          <w:iCs/>
          <w:lang w:val="pl-PL"/>
        </w:rPr>
        <w:t>Paul </w:t>
      </w:r>
      <w:r w:rsidR="003D0403">
        <w:rPr>
          <w:rStyle w:val="ju-005fpara--char"/>
          <w:i/>
          <w:iCs/>
          <w:lang w:val="pl-PL"/>
        </w:rPr>
        <w:t>i</w:t>
      </w:r>
      <w:r w:rsidR="00F061A3" w:rsidRPr="00B132CB">
        <w:rPr>
          <w:rStyle w:val="ju-005fpara--char"/>
          <w:i/>
          <w:iCs/>
          <w:lang w:val="pl-PL"/>
        </w:rPr>
        <w:t> Audrey Edwards</w:t>
      </w:r>
      <w:r w:rsidR="00F061A3" w:rsidRPr="00B132CB">
        <w:rPr>
          <w:lang w:val="pl-PL"/>
        </w:rPr>
        <w:t xml:space="preserve">, § 70, </w:t>
      </w:r>
      <w:proofErr w:type="spellStart"/>
      <w:r w:rsidR="00F061A3" w:rsidRPr="00B132CB">
        <w:rPr>
          <w:i/>
          <w:lang w:val="pl-PL"/>
        </w:rPr>
        <w:t>Yotova</w:t>
      </w:r>
      <w:proofErr w:type="spellEnd"/>
      <w:r w:rsidR="00F33D63">
        <w:rPr>
          <w:i/>
          <w:lang w:val="pl-PL"/>
        </w:rPr>
        <w:t xml:space="preserve"> </w:t>
      </w:r>
      <w:r w:rsidR="003D0403">
        <w:rPr>
          <w:i/>
          <w:lang w:val="pl-PL"/>
        </w:rPr>
        <w:t>p. Bułgarii</w:t>
      </w:r>
      <w:r w:rsidR="003D0403">
        <w:rPr>
          <w:lang w:val="pl-PL"/>
        </w:rPr>
        <w:t xml:space="preserve"> , nr</w:t>
      </w:r>
      <w:r w:rsidR="00F061A3" w:rsidRPr="00B132CB">
        <w:rPr>
          <w:lang w:val="pl-PL"/>
        </w:rPr>
        <w:t xml:space="preserve"> 43606/04, § 77, </w:t>
      </w:r>
      <w:r w:rsidR="003D0403">
        <w:rPr>
          <w:lang w:val="pl-PL"/>
        </w:rPr>
        <w:t xml:space="preserve">dn. </w:t>
      </w:r>
      <w:r w:rsidR="00F061A3" w:rsidRPr="00B132CB">
        <w:rPr>
          <w:lang w:val="pl-PL"/>
        </w:rPr>
        <w:t xml:space="preserve">23 </w:t>
      </w:r>
      <w:r w:rsidR="003D0403">
        <w:rPr>
          <w:lang w:val="pl-PL"/>
        </w:rPr>
        <w:t xml:space="preserve">października </w:t>
      </w:r>
      <w:r w:rsidR="00F061A3" w:rsidRPr="00B132CB">
        <w:rPr>
          <w:lang w:val="pl-PL"/>
        </w:rPr>
        <w:t>2012</w:t>
      </w:r>
      <w:r w:rsidR="003D0403">
        <w:rPr>
          <w:lang w:val="pl-PL"/>
        </w:rPr>
        <w:t xml:space="preserve"> r., oraz</w:t>
      </w:r>
      <w:r w:rsidR="00F33D63">
        <w:rPr>
          <w:lang w:val="pl-PL"/>
        </w:rPr>
        <w:t xml:space="preserve"> </w:t>
      </w:r>
      <w:proofErr w:type="spellStart"/>
      <w:r w:rsidR="00F061A3" w:rsidRPr="00B132CB">
        <w:rPr>
          <w:i/>
          <w:lang w:val="pl-PL"/>
        </w:rPr>
        <w:t>Bursuc</w:t>
      </w:r>
      <w:proofErr w:type="spellEnd"/>
      <w:r w:rsidR="00F33D63">
        <w:rPr>
          <w:i/>
          <w:lang w:val="pl-PL"/>
        </w:rPr>
        <w:t xml:space="preserve"> </w:t>
      </w:r>
      <w:r w:rsidR="003D0403">
        <w:rPr>
          <w:i/>
          <w:lang w:val="pl-PL"/>
        </w:rPr>
        <w:t>p. Rumunii</w:t>
      </w:r>
      <w:r w:rsidR="003D0403">
        <w:rPr>
          <w:lang w:val="pl-PL"/>
        </w:rPr>
        <w:t>, nr</w:t>
      </w:r>
      <w:r w:rsidR="00F061A3" w:rsidRPr="00B132CB">
        <w:rPr>
          <w:lang w:val="pl-PL"/>
        </w:rPr>
        <w:t xml:space="preserve"> 42066/98, § 103, </w:t>
      </w:r>
      <w:r w:rsidR="003D0403">
        <w:rPr>
          <w:lang w:val="pl-PL"/>
        </w:rPr>
        <w:t xml:space="preserve">dn. </w:t>
      </w:r>
      <w:r w:rsidR="00F061A3" w:rsidRPr="00B132CB">
        <w:rPr>
          <w:lang w:val="pl-PL"/>
        </w:rPr>
        <w:t xml:space="preserve">12 </w:t>
      </w:r>
      <w:r w:rsidR="003D0403">
        <w:rPr>
          <w:lang w:val="pl-PL"/>
        </w:rPr>
        <w:t>stycznia</w:t>
      </w:r>
      <w:r w:rsidR="00F061A3" w:rsidRPr="00B132CB">
        <w:rPr>
          <w:lang w:val="pl-PL"/>
        </w:rPr>
        <w:t xml:space="preserve"> 2005</w:t>
      </w:r>
      <w:r w:rsidR="003D0403">
        <w:rPr>
          <w:lang w:val="pl-PL"/>
        </w:rPr>
        <w:t>r.</w:t>
      </w:r>
      <w:r w:rsidR="00F061A3" w:rsidRPr="00B132CB">
        <w:rPr>
          <w:lang w:val="pl-PL"/>
        </w:rPr>
        <w:t>).</w:t>
      </w:r>
    </w:p>
    <w:p w:rsidR="00F061A3" w:rsidRPr="00AD6045" w:rsidRDefault="003001A7" w:rsidP="00F061A3">
      <w:pPr>
        <w:pStyle w:val="JuPara"/>
        <w:rPr>
          <w:lang w:val="pl-PL" w:eastAsia="en-US"/>
        </w:rPr>
      </w:pPr>
      <w:r>
        <w:fldChar w:fldCharType="begin"/>
      </w:r>
      <w:r w:rsidR="00F061A3" w:rsidRPr="00A1797C">
        <w:rPr>
          <w:lang w:val="pl-PL"/>
        </w:rPr>
        <w:instrText xml:space="preserve"> SEQ level0 \*arabic </w:instrText>
      </w:r>
      <w:r>
        <w:fldChar w:fldCharType="separate"/>
      </w:r>
      <w:r w:rsidR="004E0BEB">
        <w:rPr>
          <w:noProof/>
          <w:lang w:val="pl-PL"/>
        </w:rPr>
        <w:t>97</w:t>
      </w:r>
      <w:r>
        <w:fldChar w:fldCharType="end"/>
      </w:r>
      <w:r w:rsidR="00F061A3" w:rsidRPr="00A1797C">
        <w:rPr>
          <w:lang w:val="pl-PL"/>
        </w:rPr>
        <w:t>.  </w:t>
      </w:r>
      <w:r w:rsidR="00DD2574" w:rsidRPr="003D0403">
        <w:rPr>
          <w:lang w:val="pl-PL"/>
        </w:rPr>
        <w:t>Trybunał</w:t>
      </w:r>
      <w:r w:rsidR="003D0403" w:rsidRPr="003D0403">
        <w:rPr>
          <w:lang w:val="pl-PL"/>
        </w:rPr>
        <w:t xml:space="preserve"> przypomina w końcu, że</w:t>
      </w:r>
      <w:r w:rsidR="00DD2574">
        <w:rPr>
          <w:lang w:val="pl-PL"/>
        </w:rPr>
        <w:t xml:space="preserve"> w przypadku krajowego postępowania, </w:t>
      </w:r>
      <w:r w:rsidR="00BF203F">
        <w:rPr>
          <w:lang w:val="pl-PL"/>
        </w:rPr>
        <w:t xml:space="preserve">zadaniem </w:t>
      </w:r>
      <w:r w:rsidR="00DD2574">
        <w:rPr>
          <w:lang w:val="pl-PL"/>
        </w:rPr>
        <w:t xml:space="preserve">Trybunału </w:t>
      </w:r>
      <w:r w:rsidR="00BF203F">
        <w:rPr>
          <w:lang w:val="pl-PL"/>
        </w:rPr>
        <w:t>nie jest zastępowanie</w:t>
      </w:r>
      <w:r w:rsidR="00DD2574">
        <w:rPr>
          <w:lang w:val="pl-PL"/>
        </w:rPr>
        <w:t xml:space="preserve"> własną wizją sprawy sposobu w jaki ją postrzegają sądy, do których</w:t>
      </w:r>
      <w:r w:rsidR="00636971">
        <w:rPr>
          <w:lang w:val="pl-PL"/>
        </w:rPr>
        <w:t>,</w:t>
      </w:r>
      <w:r w:rsidR="00DD2574">
        <w:rPr>
          <w:lang w:val="pl-PL"/>
        </w:rPr>
        <w:t xml:space="preserve"> co do zasady</w:t>
      </w:r>
      <w:r w:rsidR="00636971">
        <w:rPr>
          <w:lang w:val="pl-PL"/>
        </w:rPr>
        <w:t>,</w:t>
      </w:r>
      <w:r w:rsidR="00DD2574">
        <w:rPr>
          <w:lang w:val="pl-PL"/>
        </w:rPr>
        <w:t xml:space="preserve"> </w:t>
      </w:r>
      <w:r w:rsidR="000F4CB6">
        <w:rPr>
          <w:lang w:val="pl-PL"/>
        </w:rPr>
        <w:t>należy zbadanie</w:t>
      </w:r>
      <w:r w:rsidR="00DD2574">
        <w:rPr>
          <w:lang w:val="pl-PL"/>
        </w:rPr>
        <w:t xml:space="preserve"> zebranych danych </w:t>
      </w:r>
      <w:r w:rsidR="00F061A3" w:rsidRPr="003D0403">
        <w:rPr>
          <w:lang w:val="pl-PL"/>
        </w:rPr>
        <w:t>(</w:t>
      </w:r>
      <w:proofErr w:type="spellStart"/>
      <w:r w:rsidR="00F061A3" w:rsidRPr="003D0403">
        <w:rPr>
          <w:rStyle w:val="ju-005fpara-002cleft-002cfirst-0020line-003a-0020-00200-0020cm--char"/>
          <w:i/>
          <w:iCs/>
          <w:lang w:val="pl-PL"/>
        </w:rPr>
        <w:t>Jasar</w:t>
      </w:r>
      <w:proofErr w:type="spellEnd"/>
      <w:r w:rsidR="00D127C1">
        <w:rPr>
          <w:rStyle w:val="ju-005fpara-002cleft-002cfirst-0020line-003a-0020-00200-0020cm--char"/>
          <w:i/>
          <w:iCs/>
          <w:lang w:val="pl-PL"/>
        </w:rPr>
        <w:t xml:space="preserve"> </w:t>
      </w:r>
      <w:r w:rsidR="003D0403">
        <w:rPr>
          <w:rStyle w:val="ju-005fpara-002cleft-002cfirst-0020line-003a-0020-00200-0020cm--char"/>
          <w:i/>
          <w:iCs/>
          <w:lang w:val="pl-PL"/>
        </w:rPr>
        <w:t xml:space="preserve">p. byłej Jugosłowiańskiej Republice Macedonii </w:t>
      </w:r>
      <w:r w:rsidR="003D0403">
        <w:rPr>
          <w:lang w:val="pl-PL"/>
        </w:rPr>
        <w:t>nr</w:t>
      </w:r>
      <w:r w:rsidR="00F061A3" w:rsidRPr="003D0403">
        <w:rPr>
          <w:lang w:val="pl-PL"/>
        </w:rPr>
        <w:t xml:space="preserve"> 69908/01, § 49, </w:t>
      </w:r>
      <w:r w:rsidR="00DD2574">
        <w:rPr>
          <w:lang w:val="pl-PL"/>
        </w:rPr>
        <w:t>dn. 15 stycznia</w:t>
      </w:r>
      <w:r w:rsidR="00F061A3" w:rsidRPr="003D0403">
        <w:rPr>
          <w:lang w:val="pl-PL"/>
        </w:rPr>
        <w:t xml:space="preserve"> 2007</w:t>
      </w:r>
      <w:r w:rsidR="00DD2574">
        <w:rPr>
          <w:lang w:val="pl-PL"/>
        </w:rPr>
        <w:t xml:space="preserve"> r</w:t>
      </w:r>
      <w:r w:rsidR="00636971">
        <w:rPr>
          <w:lang w:val="pl-PL"/>
        </w:rPr>
        <w:t>.</w:t>
      </w:r>
      <w:r w:rsidR="00636971" w:rsidRPr="003D0403">
        <w:rPr>
          <w:lang w:val="pl-PL"/>
        </w:rPr>
        <w:t>) . Chociaż</w:t>
      </w:r>
      <w:r w:rsidR="00AD6045" w:rsidRPr="00AD6045">
        <w:rPr>
          <w:lang w:val="pl-PL"/>
        </w:rPr>
        <w:t xml:space="preserve"> Trybunał nie jest związany orzeczeniami sądów krajowych, to potrzebne są jednak przekonujące </w:t>
      </w:r>
      <w:r w:rsidR="00AD6045">
        <w:rPr>
          <w:lang w:val="pl-PL"/>
        </w:rPr>
        <w:t>dowody</w:t>
      </w:r>
      <w:r w:rsidR="00AD6045" w:rsidRPr="00AD6045">
        <w:rPr>
          <w:lang w:val="pl-PL"/>
        </w:rPr>
        <w:t xml:space="preserve"> by</w:t>
      </w:r>
      <w:r w:rsidR="00AD6045">
        <w:rPr>
          <w:lang w:val="pl-PL"/>
        </w:rPr>
        <w:t xml:space="preserve"> mógł </w:t>
      </w:r>
      <w:r w:rsidR="00BC494E">
        <w:rPr>
          <w:lang w:val="pl-PL"/>
        </w:rPr>
        <w:t>orzec inaczej.</w:t>
      </w:r>
    </w:p>
    <w:p w:rsidR="00F061A3" w:rsidRPr="000F4CB6" w:rsidRDefault="003001A7" w:rsidP="00F061A3">
      <w:pPr>
        <w:pStyle w:val="ju-005fpara"/>
        <w:spacing w:before="0" w:beforeAutospacing="0" w:after="0" w:afterAutospacing="0"/>
        <w:ind w:firstLine="340"/>
        <w:jc w:val="both"/>
        <w:rPr>
          <w:lang w:val="pl-PL"/>
        </w:rPr>
      </w:pPr>
      <w:r>
        <w:rPr>
          <w:lang w:val="fr-FR"/>
        </w:rPr>
        <w:fldChar w:fldCharType="begin"/>
      </w:r>
      <w:r w:rsidR="00F061A3" w:rsidRPr="00A1797C">
        <w:rPr>
          <w:lang w:val="pl-PL"/>
        </w:rPr>
        <w:instrText xml:space="preserve"> SEQ level0 \*arabic </w:instrText>
      </w:r>
      <w:r>
        <w:rPr>
          <w:lang w:val="fr-FR"/>
        </w:rPr>
        <w:fldChar w:fldCharType="separate"/>
      </w:r>
      <w:r w:rsidR="004E0BEB">
        <w:rPr>
          <w:noProof/>
          <w:lang w:val="pl-PL"/>
        </w:rPr>
        <w:t>98</w:t>
      </w:r>
      <w:r>
        <w:rPr>
          <w:lang w:val="fr-FR"/>
        </w:rPr>
        <w:fldChar w:fldCharType="end"/>
      </w:r>
      <w:r w:rsidR="00F061A3" w:rsidRPr="00A1797C">
        <w:rPr>
          <w:lang w:val="pl-PL"/>
        </w:rPr>
        <w:t>.  </w:t>
      </w:r>
      <w:r w:rsidR="000F4CB6" w:rsidRPr="000F4CB6">
        <w:rPr>
          <w:rStyle w:val="JuParaCar"/>
          <w:lang w:val="pl-PL"/>
        </w:rPr>
        <w:t xml:space="preserve">W przedmiotowej sprawie Trybunał podnosi, że </w:t>
      </w:r>
      <w:r w:rsidR="000F4CB6">
        <w:rPr>
          <w:rStyle w:val="JuParaCar"/>
          <w:lang w:val="pl-PL"/>
        </w:rPr>
        <w:t>w otrzymanym przez Sebastiana Tomaszewskiego zaświadczeniu lekarskim, które otrzymał</w:t>
      </w:r>
      <w:r w:rsidR="00227C9E">
        <w:rPr>
          <w:rStyle w:val="JuParaCar"/>
          <w:lang w:val="pl-PL"/>
        </w:rPr>
        <w:t xml:space="preserve"> w czasie </w:t>
      </w:r>
      <w:r w:rsidR="002C7A89">
        <w:rPr>
          <w:rStyle w:val="JuParaCar"/>
          <w:lang w:val="pl-PL"/>
        </w:rPr>
        <w:t>badania a</w:t>
      </w:r>
      <w:r w:rsidR="000F4CB6">
        <w:rPr>
          <w:rStyle w:val="JuParaCar"/>
          <w:lang w:val="pl-PL"/>
        </w:rPr>
        <w:t xml:space="preserve"> na które się udał po wyjściu z komisariatu, jest mowa o </w:t>
      </w:r>
      <w:r w:rsidR="00227C9E">
        <w:rPr>
          <w:rStyle w:val="JuParaCar"/>
          <w:lang w:val="pl-PL"/>
        </w:rPr>
        <w:t>obrażeniach</w:t>
      </w:r>
      <w:r w:rsidR="000F4CB6">
        <w:rPr>
          <w:rStyle w:val="JuParaCar"/>
          <w:lang w:val="pl-PL"/>
        </w:rPr>
        <w:t xml:space="preserve"> głowy i prawej stopy. Trybunał zauważa, że biegły powołany w czasie postępowania w sprawie naruszeń policji stwierdził, że obrażenia te spowodowały niezdolność do pracy na okres powyżej siedmiu dni. Zdaniem Trybunału obrażenia doznane przez Sebastiana Tomaszewskiego są wystarczająco poważne by </w:t>
      </w:r>
      <w:r w:rsidR="00B740E7">
        <w:rPr>
          <w:rStyle w:val="JuParaCar"/>
          <w:lang w:val="pl-PL"/>
        </w:rPr>
        <w:t>wejść w zakres zastosowania artykułu 3.</w:t>
      </w:r>
    </w:p>
    <w:p w:rsidR="00F061A3" w:rsidRPr="00B740E7" w:rsidRDefault="003001A7" w:rsidP="00F061A3">
      <w:pPr>
        <w:pStyle w:val="ju-005fpara"/>
        <w:spacing w:before="0" w:beforeAutospacing="0" w:after="0" w:afterAutospacing="0"/>
        <w:ind w:firstLine="340"/>
        <w:jc w:val="both"/>
        <w:rPr>
          <w:lang w:val="pl-PL"/>
        </w:rPr>
      </w:pPr>
      <w:r>
        <w:rPr>
          <w:lang w:val="fr-FR"/>
        </w:rPr>
        <w:fldChar w:fldCharType="begin"/>
      </w:r>
      <w:r w:rsidR="00F061A3" w:rsidRPr="00A1797C">
        <w:rPr>
          <w:lang w:val="pl-PL"/>
        </w:rPr>
        <w:instrText xml:space="preserve"> SEQ level0 \*arabic </w:instrText>
      </w:r>
      <w:r>
        <w:rPr>
          <w:lang w:val="fr-FR"/>
        </w:rPr>
        <w:fldChar w:fldCharType="separate"/>
      </w:r>
      <w:r w:rsidR="004E0BEB">
        <w:rPr>
          <w:noProof/>
          <w:lang w:val="pl-PL"/>
        </w:rPr>
        <w:t>99</w:t>
      </w:r>
      <w:r>
        <w:rPr>
          <w:lang w:val="fr-FR"/>
        </w:rPr>
        <w:fldChar w:fldCharType="end"/>
      </w:r>
      <w:r w:rsidR="00F061A3" w:rsidRPr="00A1797C">
        <w:rPr>
          <w:lang w:val="pl-PL"/>
        </w:rPr>
        <w:t>.  </w:t>
      </w:r>
      <w:r w:rsidR="00B740E7" w:rsidRPr="00B740E7">
        <w:rPr>
          <w:rStyle w:val="JuParaCar"/>
          <w:lang w:val="pl-PL"/>
        </w:rPr>
        <w:t>Trybunał zauważa natomiast, że w przeciwieństwie do starszego brata</w:t>
      </w:r>
      <w:r w:rsidR="00AD65BE">
        <w:rPr>
          <w:rStyle w:val="JuParaCar"/>
          <w:lang w:val="pl-PL"/>
        </w:rPr>
        <w:t>,</w:t>
      </w:r>
      <w:r w:rsidR="00B740E7" w:rsidRPr="00B740E7">
        <w:rPr>
          <w:rStyle w:val="JuParaCar"/>
          <w:lang w:val="pl-PL"/>
        </w:rPr>
        <w:t xml:space="preserve"> Artur Tomaszewski nie przedstawił żadnego dowodu </w:t>
      </w:r>
      <w:r w:rsidR="002C7A89">
        <w:rPr>
          <w:rStyle w:val="JuParaCar"/>
          <w:lang w:val="pl-PL"/>
        </w:rPr>
        <w:t>na poparcie doznanych</w:t>
      </w:r>
      <w:r w:rsidR="00B740E7" w:rsidRPr="00B740E7">
        <w:rPr>
          <w:rStyle w:val="JuParaCar"/>
          <w:lang w:val="pl-PL"/>
        </w:rPr>
        <w:t xml:space="preserve"> obrażeń</w:t>
      </w:r>
      <w:r w:rsidR="00F061A3" w:rsidRPr="00B740E7">
        <w:rPr>
          <w:rStyle w:val="JuParaCar"/>
          <w:lang w:val="pl-PL"/>
        </w:rPr>
        <w:t>.</w:t>
      </w:r>
      <w:r w:rsidR="00B740E7">
        <w:rPr>
          <w:rStyle w:val="JuParaCar"/>
          <w:lang w:val="pl-PL"/>
        </w:rPr>
        <w:t xml:space="preserve"> Ten skarżący nie zwrócił się o pomoc medyczną po opuszczeniu komisariatu i nie wytłumaczył z jakiego powodu nie udał się do lekarza </w:t>
      </w:r>
      <w:r w:rsidR="00AD65BE">
        <w:rPr>
          <w:rStyle w:val="JuParaCar"/>
          <w:lang w:val="pl-PL"/>
        </w:rPr>
        <w:t>na badanie</w:t>
      </w:r>
      <w:r w:rsidR="00B740E7">
        <w:rPr>
          <w:rStyle w:val="JuParaCar"/>
          <w:lang w:val="pl-PL"/>
        </w:rPr>
        <w:t>.</w:t>
      </w:r>
    </w:p>
    <w:p w:rsidR="00F061A3" w:rsidRPr="00B740E7" w:rsidRDefault="003001A7" w:rsidP="00F061A3">
      <w:pPr>
        <w:pStyle w:val="ju-005fpara"/>
        <w:spacing w:before="0" w:beforeAutospacing="0" w:after="0" w:afterAutospacing="0"/>
        <w:ind w:firstLine="340"/>
        <w:jc w:val="both"/>
        <w:rPr>
          <w:lang w:val="pl-PL"/>
        </w:rPr>
      </w:pPr>
      <w:r>
        <w:rPr>
          <w:lang w:val="fr-FR"/>
        </w:rPr>
        <w:lastRenderedPageBreak/>
        <w:fldChar w:fldCharType="begin"/>
      </w:r>
      <w:r w:rsidR="00F061A3" w:rsidRPr="00B740E7">
        <w:rPr>
          <w:lang w:val="pl-PL"/>
        </w:rPr>
        <w:instrText xml:space="preserve"> SEQ level0 \*arabic </w:instrText>
      </w:r>
      <w:r>
        <w:rPr>
          <w:lang w:val="fr-FR"/>
        </w:rPr>
        <w:fldChar w:fldCharType="separate"/>
      </w:r>
      <w:r w:rsidR="004E0BEB">
        <w:rPr>
          <w:noProof/>
          <w:lang w:val="pl-PL"/>
        </w:rPr>
        <w:t>100</w:t>
      </w:r>
      <w:r>
        <w:rPr>
          <w:lang w:val="fr-FR"/>
        </w:rPr>
        <w:fldChar w:fldCharType="end"/>
      </w:r>
      <w:r w:rsidR="00F061A3" w:rsidRPr="00B740E7">
        <w:rPr>
          <w:lang w:val="pl-PL"/>
        </w:rPr>
        <w:t>.  </w:t>
      </w:r>
      <w:r w:rsidR="00B740E7" w:rsidRPr="00B740E7">
        <w:rPr>
          <w:rStyle w:val="JuParaCar"/>
          <w:lang w:val="pl-PL"/>
        </w:rPr>
        <w:t>Trybunał podnosi, że postępowanie karn</w:t>
      </w:r>
      <w:r w:rsidR="00B740E7">
        <w:rPr>
          <w:rStyle w:val="JuParaCar"/>
          <w:lang w:val="pl-PL"/>
        </w:rPr>
        <w:t xml:space="preserve">e prowadzone przez organy krajowe w sprawie złego traktowania skarżących zakończyło się wydaniem postanowienia o umorzeniu z powodu braku dowodów, </w:t>
      </w:r>
      <w:r w:rsidR="00D17A5A">
        <w:rPr>
          <w:rStyle w:val="JuParaCar"/>
          <w:lang w:val="pl-PL"/>
        </w:rPr>
        <w:t>na podstawie których można by</w:t>
      </w:r>
      <w:r w:rsidR="00B740E7">
        <w:rPr>
          <w:rStyle w:val="JuParaCar"/>
          <w:lang w:val="pl-PL"/>
        </w:rPr>
        <w:t xml:space="preserve"> zarzucić</w:t>
      </w:r>
      <w:r w:rsidR="00D17A5A">
        <w:rPr>
          <w:rStyle w:val="JuParaCar"/>
          <w:lang w:val="pl-PL"/>
        </w:rPr>
        <w:t xml:space="preserve"> funkcjonariuszom</w:t>
      </w:r>
      <w:r w:rsidR="00B740E7">
        <w:rPr>
          <w:rStyle w:val="JuParaCar"/>
          <w:lang w:val="pl-PL"/>
        </w:rPr>
        <w:t xml:space="preserve"> spowodowanie tych obrażeń. Postanowienie o umorzeniu zostało uzasadnion</w:t>
      </w:r>
      <w:r w:rsidR="00D17A5A">
        <w:rPr>
          <w:rStyle w:val="JuParaCar"/>
          <w:lang w:val="pl-PL"/>
        </w:rPr>
        <w:t>e zebranymi w sprawie dowodami</w:t>
      </w:r>
      <w:r w:rsidR="00B740E7">
        <w:rPr>
          <w:rStyle w:val="JuParaCar"/>
          <w:lang w:val="pl-PL"/>
        </w:rPr>
        <w:t xml:space="preserve">, w tym opinią lekarską sporządzoną na wniosek władz przez biegłego chirurga.  </w:t>
      </w:r>
    </w:p>
    <w:p w:rsidR="00F061A3" w:rsidRPr="00B740E7" w:rsidRDefault="003001A7" w:rsidP="00F061A3">
      <w:pPr>
        <w:pStyle w:val="ju-005fpara"/>
        <w:spacing w:before="0" w:beforeAutospacing="0" w:after="0" w:afterAutospacing="0"/>
        <w:ind w:firstLine="340"/>
        <w:jc w:val="both"/>
        <w:rPr>
          <w:lang w:val="pl-PL"/>
        </w:rPr>
      </w:pPr>
      <w:r>
        <w:rPr>
          <w:lang w:val="fr-FR"/>
        </w:rPr>
        <w:fldChar w:fldCharType="begin"/>
      </w:r>
      <w:r w:rsidR="00F061A3" w:rsidRPr="00A1797C">
        <w:rPr>
          <w:lang w:val="pl-PL"/>
        </w:rPr>
        <w:instrText xml:space="preserve"> SEQ level0 \*arabic </w:instrText>
      </w:r>
      <w:r>
        <w:rPr>
          <w:lang w:val="fr-FR"/>
        </w:rPr>
        <w:fldChar w:fldCharType="separate"/>
      </w:r>
      <w:r w:rsidR="004E0BEB">
        <w:rPr>
          <w:noProof/>
          <w:lang w:val="pl-PL"/>
        </w:rPr>
        <w:t>101</w:t>
      </w:r>
      <w:r>
        <w:rPr>
          <w:lang w:val="fr-FR"/>
        </w:rPr>
        <w:fldChar w:fldCharType="end"/>
      </w:r>
      <w:r w:rsidR="00F061A3" w:rsidRPr="00A1797C">
        <w:rPr>
          <w:lang w:val="pl-PL"/>
        </w:rPr>
        <w:t>.  </w:t>
      </w:r>
      <w:r w:rsidR="00D60A17" w:rsidRPr="00B740E7">
        <w:rPr>
          <w:rStyle w:val="JuParaCar"/>
          <w:lang w:val="pl-PL"/>
        </w:rPr>
        <w:t>Trybunał</w:t>
      </w:r>
      <w:r w:rsidR="00B740E7" w:rsidRPr="00B740E7">
        <w:rPr>
          <w:rStyle w:val="JuParaCar"/>
          <w:lang w:val="pl-PL"/>
        </w:rPr>
        <w:t xml:space="preserve"> zauważa, że biegły stwierdził w </w:t>
      </w:r>
      <w:r w:rsidR="00D60A17" w:rsidRPr="00B740E7">
        <w:rPr>
          <w:rStyle w:val="JuParaCar"/>
          <w:lang w:val="pl-PL"/>
        </w:rPr>
        <w:t>sp</w:t>
      </w:r>
      <w:r w:rsidR="00D60A17">
        <w:rPr>
          <w:rStyle w:val="JuParaCar"/>
          <w:lang w:val="pl-PL"/>
        </w:rPr>
        <w:t>rawie Sebastiana Tomaszewskiego, iż nie można jednoznacznie stwierdzić pochodzenia obrażeń jakich skarżący doznał w głowę i stopę. Z uwagi na ogólnikowy opis oraz brak szczegółów dotyczących przyczyn obrażeń w przedstawionej przez skarżącego dokumentacji lekarskiej, biegły nie był w stanie</w:t>
      </w:r>
      <w:r w:rsidR="006F7564">
        <w:rPr>
          <w:rStyle w:val="JuParaCar"/>
          <w:lang w:val="pl-PL"/>
        </w:rPr>
        <w:t xml:space="preserve"> stwierdzić</w:t>
      </w:r>
      <w:r w:rsidR="00D60A17">
        <w:rPr>
          <w:rStyle w:val="JuParaCar"/>
          <w:lang w:val="pl-PL"/>
        </w:rPr>
        <w:t xml:space="preserve">, która wersja faktów skarżącego czy policjantów była bardziej wiarygodna z medycznego punktu widzenia. Jednocześnie biegły wykluczył wersję skarżącego, że doznane przez niego obrażenia powstały od uderzeń policyjną pałką.   </w:t>
      </w:r>
    </w:p>
    <w:p w:rsidR="00F061A3" w:rsidRPr="00105CCC" w:rsidRDefault="00D60A17" w:rsidP="00F061A3">
      <w:pPr>
        <w:pStyle w:val="JuPara"/>
        <w:rPr>
          <w:lang w:val="pl-PL"/>
        </w:rPr>
      </w:pPr>
      <w:r w:rsidRPr="00105CCC">
        <w:rPr>
          <w:lang w:val="pl-PL"/>
        </w:rPr>
        <w:t>Opinia biegłego</w:t>
      </w:r>
      <w:r w:rsidR="00105CCC" w:rsidRPr="00105CCC">
        <w:rPr>
          <w:lang w:val="pl-PL"/>
        </w:rPr>
        <w:t xml:space="preserve"> ujawniła również, że w dokumentacji lekarskiej nie ma mowy o niektórych obrażeniach</w:t>
      </w:r>
      <w:r w:rsidR="0008352C">
        <w:rPr>
          <w:lang w:val="pl-PL"/>
        </w:rPr>
        <w:t xml:space="preserve"> zgłaszanych przez</w:t>
      </w:r>
      <w:r w:rsidR="00F33D63">
        <w:rPr>
          <w:lang w:val="pl-PL"/>
        </w:rPr>
        <w:t xml:space="preserve"> </w:t>
      </w:r>
      <w:r w:rsidR="0008352C">
        <w:rPr>
          <w:lang w:val="pl-PL"/>
        </w:rPr>
        <w:t>skarżącego</w:t>
      </w:r>
      <w:r w:rsidR="00105CCC" w:rsidRPr="00105CCC">
        <w:rPr>
          <w:lang w:val="pl-PL"/>
        </w:rPr>
        <w:t>.</w:t>
      </w:r>
      <w:r w:rsidR="00105CCC">
        <w:rPr>
          <w:lang w:val="pl-PL"/>
        </w:rPr>
        <w:t xml:space="preserve"> Trybunał stwierdza, że nie można czynić odpowiedzialnymi władz krajowych za niepełną dokumentację lekarską przedstawioną przez skarżącego, wziąwszy pod uwagę, że została ona sporządzona przez lekarza </w:t>
      </w:r>
      <w:r w:rsidR="0008352C">
        <w:rPr>
          <w:lang w:val="pl-PL"/>
        </w:rPr>
        <w:t xml:space="preserve">ze szpitala </w:t>
      </w:r>
      <w:r w:rsidR="00105CCC">
        <w:rPr>
          <w:lang w:val="pl-PL"/>
        </w:rPr>
        <w:t>publicznego gdzie skarżący udał się z własnej woli</w:t>
      </w:r>
      <w:r w:rsidR="0008352C">
        <w:rPr>
          <w:lang w:val="pl-PL"/>
        </w:rPr>
        <w:t>, a nie na po</w:t>
      </w:r>
      <w:r w:rsidR="00105CCC">
        <w:rPr>
          <w:lang w:val="pl-PL"/>
        </w:rPr>
        <w:t xml:space="preserve">lecenie władz. Trybunał sądzi, że skarżący powinien dopilnować, by wszystkie obrażenia, których spowodowanie zarzucano funkcjonariuszom znalazły się w dokumentacji </w:t>
      </w:r>
      <w:r w:rsidR="006F7564">
        <w:rPr>
          <w:lang w:val="pl-PL"/>
        </w:rPr>
        <w:t>lekarskiej</w:t>
      </w:r>
      <w:r w:rsidR="00105CCC">
        <w:rPr>
          <w:lang w:val="pl-PL"/>
        </w:rPr>
        <w:t xml:space="preserve">.  </w:t>
      </w:r>
    </w:p>
    <w:p w:rsidR="00F061A3" w:rsidRPr="00E4365A" w:rsidRDefault="003001A7" w:rsidP="00F061A3">
      <w:pPr>
        <w:pStyle w:val="ju-005fpara"/>
        <w:spacing w:before="0" w:beforeAutospacing="0" w:after="0" w:afterAutospacing="0"/>
        <w:ind w:firstLine="340"/>
        <w:jc w:val="both"/>
        <w:rPr>
          <w:lang w:val="pl-PL"/>
        </w:rPr>
      </w:pPr>
      <w:r>
        <w:rPr>
          <w:lang w:val="fr-FR"/>
        </w:rPr>
        <w:fldChar w:fldCharType="begin"/>
      </w:r>
      <w:r w:rsidR="00F061A3" w:rsidRPr="00105CCC">
        <w:rPr>
          <w:lang w:val="pl-PL"/>
        </w:rPr>
        <w:instrText xml:space="preserve"> SEQ level0 \*arabic </w:instrText>
      </w:r>
      <w:r>
        <w:rPr>
          <w:lang w:val="fr-FR"/>
        </w:rPr>
        <w:fldChar w:fldCharType="separate"/>
      </w:r>
      <w:r w:rsidR="004E0BEB">
        <w:rPr>
          <w:noProof/>
          <w:lang w:val="pl-PL"/>
        </w:rPr>
        <w:t>102</w:t>
      </w:r>
      <w:r>
        <w:rPr>
          <w:lang w:val="fr-FR"/>
        </w:rPr>
        <w:fldChar w:fldCharType="end"/>
      </w:r>
      <w:r w:rsidR="00F061A3" w:rsidRPr="00105CCC">
        <w:rPr>
          <w:lang w:val="pl-PL"/>
        </w:rPr>
        <w:t>.  </w:t>
      </w:r>
      <w:r w:rsidR="00463196">
        <w:rPr>
          <w:rStyle w:val="JuParaCar"/>
          <w:lang w:val="pl-PL"/>
        </w:rPr>
        <w:t xml:space="preserve">Co do Artura Tomaszewskiego, </w:t>
      </w:r>
      <w:r w:rsidR="00E4365A" w:rsidRPr="00E4365A">
        <w:rPr>
          <w:rStyle w:val="JuParaCar"/>
          <w:lang w:val="pl-PL"/>
        </w:rPr>
        <w:t>Trybunał podnosi, że wobec braku jakiegokolwiek zaświadcze</w:t>
      </w:r>
      <w:r w:rsidR="00463196">
        <w:rPr>
          <w:rStyle w:val="JuParaCar"/>
          <w:lang w:val="pl-PL"/>
        </w:rPr>
        <w:t>nia lekarskiego</w:t>
      </w:r>
      <w:r w:rsidR="002C018A">
        <w:rPr>
          <w:rStyle w:val="JuParaCar"/>
          <w:lang w:val="pl-PL"/>
        </w:rPr>
        <w:t xml:space="preserve">, </w:t>
      </w:r>
      <w:r w:rsidR="00E4365A" w:rsidRPr="00E4365A">
        <w:rPr>
          <w:rStyle w:val="JuParaCar"/>
          <w:lang w:val="pl-PL"/>
        </w:rPr>
        <w:t>biegły nie</w:t>
      </w:r>
      <w:r w:rsidR="00E4365A">
        <w:rPr>
          <w:rStyle w:val="JuParaCar"/>
          <w:lang w:val="pl-PL"/>
        </w:rPr>
        <w:t xml:space="preserve"> był w stanie ustalić, jedynie na podstawie opisu faktów przekazanego przez skarżącego, przyczyn jego domniemanych obrażeń.</w:t>
      </w:r>
    </w:p>
    <w:p w:rsidR="00F061A3" w:rsidRPr="00E4365A" w:rsidRDefault="003001A7" w:rsidP="00F061A3">
      <w:pPr>
        <w:pStyle w:val="ju-005fpara"/>
        <w:spacing w:before="0" w:beforeAutospacing="0" w:after="0" w:afterAutospacing="0"/>
        <w:ind w:firstLine="340"/>
        <w:jc w:val="both"/>
        <w:rPr>
          <w:lang w:val="pl-PL"/>
        </w:rPr>
      </w:pPr>
      <w:r>
        <w:rPr>
          <w:lang w:val="fr-FR"/>
        </w:rPr>
        <w:fldChar w:fldCharType="begin"/>
      </w:r>
      <w:r w:rsidR="00F061A3" w:rsidRPr="00E4365A">
        <w:rPr>
          <w:lang w:val="pl-PL"/>
        </w:rPr>
        <w:instrText xml:space="preserve"> SEQ level0 \*arabic </w:instrText>
      </w:r>
      <w:r>
        <w:rPr>
          <w:lang w:val="fr-FR"/>
        </w:rPr>
        <w:fldChar w:fldCharType="separate"/>
      </w:r>
      <w:r w:rsidR="004E0BEB">
        <w:rPr>
          <w:noProof/>
          <w:lang w:val="pl-PL"/>
        </w:rPr>
        <w:t>103</w:t>
      </w:r>
      <w:r>
        <w:rPr>
          <w:lang w:val="fr-FR"/>
        </w:rPr>
        <w:fldChar w:fldCharType="end"/>
      </w:r>
      <w:r w:rsidR="00E4365A" w:rsidRPr="00E4365A">
        <w:rPr>
          <w:lang w:val="pl-PL"/>
        </w:rPr>
        <w:t>. Trybunał podnosi</w:t>
      </w:r>
      <w:r w:rsidR="00E4365A">
        <w:rPr>
          <w:rStyle w:val="JuParaCar"/>
          <w:lang w:val="pl-PL"/>
        </w:rPr>
        <w:t xml:space="preserve">, że oprócz </w:t>
      </w:r>
      <w:r w:rsidR="00E4365A" w:rsidRPr="00E4365A">
        <w:rPr>
          <w:rStyle w:val="JuParaCar"/>
          <w:lang w:val="pl-PL"/>
        </w:rPr>
        <w:t>wyżej wspominanej dokumentacji lekarskiej władze zgromadziły inny materiał dowodowy, w tym szereg zezna</w:t>
      </w:r>
      <w:r w:rsidR="00823EEB">
        <w:rPr>
          <w:rStyle w:val="JuParaCar"/>
          <w:lang w:val="pl-PL"/>
        </w:rPr>
        <w:t>ń. Niemniej jednak</w:t>
      </w:r>
      <w:r w:rsidR="00E4365A">
        <w:rPr>
          <w:rStyle w:val="JuParaCar"/>
          <w:lang w:val="pl-PL"/>
        </w:rPr>
        <w:t>, żaden z dowodów, a w szczególności zeznania młodych ludzi zatrzymanych przez policję w tym samym czasie co skarżący</w:t>
      </w:r>
      <w:r w:rsidR="00823EEB">
        <w:rPr>
          <w:rStyle w:val="JuParaCar"/>
          <w:lang w:val="pl-PL"/>
        </w:rPr>
        <w:t>,</w:t>
      </w:r>
      <w:r w:rsidR="00E4365A">
        <w:rPr>
          <w:rStyle w:val="JuParaCar"/>
          <w:lang w:val="pl-PL"/>
        </w:rPr>
        <w:t xml:space="preserve"> nie potwierdziły zarzutów złego traktowania. Jedyne zeznanie, które mogło służyć jako dowód do oskarżenia policjantów zostało oddalone przez sąd jako niewiarygodne. W czasie postępowania przez Trybunałem skarżący nie przedstawili żadnego dodatkowego dowodu </w:t>
      </w:r>
      <w:r w:rsidR="004E313C">
        <w:rPr>
          <w:rStyle w:val="JuParaCar"/>
          <w:lang w:val="pl-PL"/>
        </w:rPr>
        <w:t>mogącego zakwestionować stwierdzenia władz krajowych.</w:t>
      </w:r>
    </w:p>
    <w:p w:rsidR="00F061A3" w:rsidRPr="004E313C" w:rsidRDefault="003001A7" w:rsidP="00F061A3">
      <w:pPr>
        <w:pStyle w:val="ju-005fpara"/>
        <w:spacing w:before="0" w:beforeAutospacing="0" w:after="0" w:afterAutospacing="0"/>
        <w:ind w:firstLine="340"/>
        <w:jc w:val="both"/>
        <w:rPr>
          <w:lang w:val="pl-PL"/>
        </w:rPr>
      </w:pPr>
      <w:r>
        <w:rPr>
          <w:lang w:val="fr-FR"/>
        </w:rPr>
        <w:fldChar w:fldCharType="begin"/>
      </w:r>
      <w:r w:rsidR="00F061A3" w:rsidRPr="00A1797C">
        <w:rPr>
          <w:lang w:val="pl-PL"/>
        </w:rPr>
        <w:instrText xml:space="preserve"> SEQ level0 \*arabic </w:instrText>
      </w:r>
      <w:r>
        <w:rPr>
          <w:lang w:val="fr-FR"/>
        </w:rPr>
        <w:fldChar w:fldCharType="separate"/>
      </w:r>
      <w:r w:rsidR="004E0BEB">
        <w:rPr>
          <w:noProof/>
          <w:lang w:val="pl-PL"/>
        </w:rPr>
        <w:t>104</w:t>
      </w:r>
      <w:r>
        <w:rPr>
          <w:lang w:val="fr-FR"/>
        </w:rPr>
        <w:fldChar w:fldCharType="end"/>
      </w:r>
      <w:r w:rsidR="00F061A3" w:rsidRPr="00A1797C">
        <w:rPr>
          <w:lang w:val="pl-PL"/>
        </w:rPr>
        <w:t>.  </w:t>
      </w:r>
      <w:r w:rsidR="004E313C" w:rsidRPr="004E313C">
        <w:rPr>
          <w:rStyle w:val="JuParaCar"/>
          <w:lang w:val="pl-PL"/>
        </w:rPr>
        <w:t xml:space="preserve">Wziąwszy powyższe pod uwagę, Trybunał uważa, że zarzuty złego traktowania skarżących </w:t>
      </w:r>
      <w:r w:rsidR="004E313C">
        <w:rPr>
          <w:rStyle w:val="JuParaCar"/>
          <w:lang w:val="pl-PL"/>
        </w:rPr>
        <w:t>nie zostały poparte dowodami na tyle, aby Państwo zostało zobowiązane do przedstawienia wyjaśnienia</w:t>
      </w:r>
      <w:r w:rsidR="00463196">
        <w:rPr>
          <w:rStyle w:val="JuParaCar"/>
          <w:lang w:val="pl-PL"/>
        </w:rPr>
        <w:t xml:space="preserve"> co do przyczyn powstania obrażeń</w:t>
      </w:r>
      <w:r w:rsidR="004E313C">
        <w:rPr>
          <w:rStyle w:val="JuParaCar"/>
          <w:lang w:val="pl-PL"/>
        </w:rPr>
        <w:t xml:space="preserve">, których doznanie zarzucają skarżący. Zdaniem Trybunału, domniemanie, że obrażenia doznane w czasie </w:t>
      </w:r>
      <w:r w:rsidR="00243578">
        <w:rPr>
          <w:rStyle w:val="JuParaCar"/>
          <w:lang w:val="pl-PL"/>
        </w:rPr>
        <w:t>zatrzymania</w:t>
      </w:r>
      <w:r w:rsidR="004E313C">
        <w:rPr>
          <w:rStyle w:val="JuParaCar"/>
          <w:lang w:val="pl-PL"/>
        </w:rPr>
        <w:t xml:space="preserve"> </w:t>
      </w:r>
      <w:r w:rsidR="00243578">
        <w:rPr>
          <w:rStyle w:val="JuParaCar"/>
          <w:lang w:val="pl-PL"/>
        </w:rPr>
        <w:t>wynikają z</w:t>
      </w:r>
      <w:r w:rsidR="004E313C">
        <w:rPr>
          <w:rStyle w:val="JuParaCar"/>
          <w:lang w:val="pl-PL"/>
        </w:rPr>
        <w:t xml:space="preserve"> czynności</w:t>
      </w:r>
      <w:r w:rsidR="006F429E">
        <w:rPr>
          <w:rStyle w:val="JuParaCar"/>
          <w:lang w:val="pl-PL"/>
        </w:rPr>
        <w:t xml:space="preserve"> władz</w:t>
      </w:r>
      <w:r w:rsidR="00243578">
        <w:rPr>
          <w:rStyle w:val="JuParaCar"/>
          <w:lang w:val="pl-PL"/>
        </w:rPr>
        <w:t>,</w:t>
      </w:r>
      <w:r w:rsidR="004E313C">
        <w:rPr>
          <w:rStyle w:val="JuParaCar"/>
          <w:lang w:val="pl-PL"/>
        </w:rPr>
        <w:t xml:space="preserve"> w przedmiotowej sprawie</w:t>
      </w:r>
      <w:r w:rsidR="00243578">
        <w:rPr>
          <w:rStyle w:val="JuParaCar"/>
          <w:lang w:val="pl-PL"/>
        </w:rPr>
        <w:t>,</w:t>
      </w:r>
      <w:r w:rsidR="004E313C">
        <w:rPr>
          <w:rStyle w:val="JuParaCar"/>
          <w:lang w:val="pl-PL"/>
        </w:rPr>
        <w:t xml:space="preserve"> </w:t>
      </w:r>
      <w:r w:rsidR="00243578">
        <w:rPr>
          <w:rStyle w:val="JuParaCar"/>
          <w:lang w:val="pl-PL"/>
        </w:rPr>
        <w:t>może</w:t>
      </w:r>
      <w:r w:rsidR="00C3496D">
        <w:rPr>
          <w:rStyle w:val="JuParaCar"/>
          <w:lang w:val="pl-PL"/>
        </w:rPr>
        <w:t xml:space="preserve"> być </w:t>
      </w:r>
      <w:r w:rsidR="00C3496D">
        <w:rPr>
          <w:rStyle w:val="JuParaCar"/>
          <w:lang w:val="pl-PL"/>
        </w:rPr>
        <w:lastRenderedPageBreak/>
        <w:t>podważone</w:t>
      </w:r>
      <w:r w:rsidR="00403A37">
        <w:rPr>
          <w:rStyle w:val="JuParaCar"/>
          <w:lang w:val="pl-PL"/>
        </w:rPr>
        <w:t xml:space="preserve"> ponieważ zatrzymanie skarżących miało miejsce w godzinach gwałtownych</w:t>
      </w:r>
      <w:r w:rsidR="00137FC4">
        <w:rPr>
          <w:rStyle w:val="JuParaCar"/>
          <w:lang w:val="pl-PL"/>
        </w:rPr>
        <w:t xml:space="preserve"> walk między młodymi ludźmi, w których skarżący aktywnie uczestniczyli</w:t>
      </w:r>
      <w:r w:rsidR="00AA20F3">
        <w:rPr>
          <w:rStyle w:val="JuParaCar"/>
          <w:lang w:val="pl-PL"/>
        </w:rPr>
        <w:t>,</w:t>
      </w:r>
      <w:r w:rsidR="00137FC4">
        <w:rPr>
          <w:rStyle w:val="JuParaCar"/>
          <w:lang w:val="pl-PL"/>
        </w:rPr>
        <w:t xml:space="preserve"> jak orzekł sąd w maju 2005 roku w czasie prowadzonego</w:t>
      </w:r>
      <w:r w:rsidR="00F02534">
        <w:rPr>
          <w:rStyle w:val="JuParaCar"/>
          <w:lang w:val="pl-PL"/>
        </w:rPr>
        <w:t xml:space="preserve"> przeciw nim postępowania</w:t>
      </w:r>
      <w:r w:rsidR="00137FC4">
        <w:rPr>
          <w:rStyle w:val="JuParaCar"/>
          <w:lang w:val="pl-PL"/>
        </w:rPr>
        <w:t xml:space="preserve">.  </w:t>
      </w:r>
    </w:p>
    <w:p w:rsidR="00F061A3" w:rsidRPr="00747D2A" w:rsidRDefault="003001A7" w:rsidP="00F061A3">
      <w:pPr>
        <w:ind w:firstLine="284"/>
        <w:jc w:val="both"/>
        <w:rPr>
          <w:lang w:val="pl-PL"/>
        </w:rPr>
      </w:pPr>
      <w:r>
        <w:fldChar w:fldCharType="begin"/>
      </w:r>
      <w:r w:rsidR="00F061A3" w:rsidRPr="00A1797C">
        <w:rPr>
          <w:lang w:val="pl-PL"/>
        </w:rPr>
        <w:instrText xml:space="preserve"> SEQ level0 \*arabic </w:instrText>
      </w:r>
      <w:r>
        <w:fldChar w:fldCharType="separate"/>
      </w:r>
      <w:r w:rsidR="004E0BEB">
        <w:rPr>
          <w:noProof/>
          <w:lang w:val="pl-PL"/>
        </w:rPr>
        <w:t>105</w:t>
      </w:r>
      <w:r>
        <w:fldChar w:fldCharType="end"/>
      </w:r>
      <w:r w:rsidR="00F061A3" w:rsidRPr="00A1797C">
        <w:rPr>
          <w:lang w:val="pl-PL"/>
        </w:rPr>
        <w:t>.  </w:t>
      </w:r>
      <w:r w:rsidR="00747D2A" w:rsidRPr="00747D2A">
        <w:rPr>
          <w:rStyle w:val="JuParaCar"/>
          <w:lang w:val="pl-PL"/>
        </w:rPr>
        <w:t>W przedmiocie</w:t>
      </w:r>
      <w:r w:rsidR="00747D2A">
        <w:rPr>
          <w:rStyle w:val="JuParaCar"/>
          <w:lang w:val="pl-PL"/>
        </w:rPr>
        <w:t xml:space="preserve"> skargi dotyczącej poniżającego </w:t>
      </w:r>
      <w:r w:rsidR="006F429E">
        <w:rPr>
          <w:rStyle w:val="JuParaCar"/>
          <w:lang w:val="pl-PL"/>
        </w:rPr>
        <w:t>przeszukania, któremu</w:t>
      </w:r>
      <w:r w:rsidR="00D84B8B">
        <w:rPr>
          <w:rStyle w:val="JuParaCar"/>
          <w:lang w:val="pl-PL"/>
        </w:rPr>
        <w:t xml:space="preserve">, jak twierdzą skarżący, zostali poddani, Trybunał przypomina, że kontrola osobista może być czasami konieczna w celu zapewnienia bezpieczeństwa, ochrony porządku lub </w:t>
      </w:r>
      <w:r w:rsidR="00AA20F3">
        <w:rPr>
          <w:rStyle w:val="JuParaCar"/>
          <w:lang w:val="pl-PL"/>
        </w:rPr>
        <w:t>zapobieżenia</w:t>
      </w:r>
      <w:r w:rsidR="00D84B8B">
        <w:rPr>
          <w:rStyle w:val="JuParaCar"/>
          <w:lang w:val="pl-PL"/>
        </w:rPr>
        <w:t xml:space="preserve"> przestępstwu; w każdym przypadku musi być przeprowadzona zgodnie ze stosownymi procedurami </w:t>
      </w:r>
      <w:r w:rsidR="00F061A3" w:rsidRPr="00747D2A">
        <w:rPr>
          <w:rStyle w:val="JuParaCar"/>
          <w:lang w:val="pl-PL"/>
        </w:rPr>
        <w:t>(</w:t>
      </w:r>
      <w:proofErr w:type="spellStart"/>
      <w:r w:rsidR="00F061A3" w:rsidRPr="00747D2A">
        <w:rPr>
          <w:rStyle w:val="JuParaCar"/>
          <w:i/>
          <w:lang w:val="pl-PL"/>
        </w:rPr>
        <w:t>Bülent</w:t>
      </w:r>
      <w:proofErr w:type="spellEnd"/>
      <w:r w:rsidR="00435DD7">
        <w:rPr>
          <w:rStyle w:val="JuParaCar"/>
          <w:i/>
          <w:lang w:val="pl-PL"/>
        </w:rPr>
        <w:t xml:space="preserve"> </w:t>
      </w:r>
      <w:proofErr w:type="spellStart"/>
      <w:r w:rsidR="00F061A3" w:rsidRPr="00747D2A">
        <w:rPr>
          <w:rStyle w:val="JuParaCar"/>
          <w:i/>
          <w:lang w:val="pl-PL"/>
        </w:rPr>
        <w:t>Barmaksiz</w:t>
      </w:r>
      <w:proofErr w:type="spellEnd"/>
      <w:r w:rsidR="00435DD7">
        <w:rPr>
          <w:rStyle w:val="JuParaCar"/>
          <w:i/>
          <w:lang w:val="pl-PL"/>
        </w:rPr>
        <w:t xml:space="preserve"> </w:t>
      </w:r>
      <w:r w:rsidR="00137FC4" w:rsidRPr="00747D2A">
        <w:rPr>
          <w:rStyle w:val="JuParaCar"/>
          <w:i/>
          <w:lang w:val="pl-PL"/>
        </w:rPr>
        <w:t>p. T</w:t>
      </w:r>
      <w:r w:rsidR="00747D2A">
        <w:rPr>
          <w:rStyle w:val="JuParaCar"/>
          <w:i/>
          <w:lang w:val="pl-PL"/>
        </w:rPr>
        <w:t>ur</w:t>
      </w:r>
      <w:r w:rsidR="00AA20F3">
        <w:rPr>
          <w:rStyle w:val="JuParaCar"/>
          <w:i/>
          <w:lang w:val="pl-PL"/>
        </w:rPr>
        <w:t>cji (post</w:t>
      </w:r>
      <w:r w:rsidR="00137FC4" w:rsidRPr="00747D2A">
        <w:rPr>
          <w:rStyle w:val="JuParaCar"/>
          <w:i/>
          <w:lang w:val="pl-PL"/>
        </w:rPr>
        <w:t xml:space="preserve">.), </w:t>
      </w:r>
      <w:r w:rsidR="00137FC4" w:rsidRPr="00D84B8B">
        <w:rPr>
          <w:rStyle w:val="JuParaCar"/>
          <w:lang w:val="pl-PL"/>
        </w:rPr>
        <w:t>nr</w:t>
      </w:r>
      <w:r w:rsidR="00F061A3" w:rsidRPr="00D84B8B">
        <w:rPr>
          <w:rStyle w:val="JuParaCar"/>
          <w:lang w:val="pl-PL"/>
        </w:rPr>
        <w:t xml:space="preserve"> 1004/03, </w:t>
      </w:r>
      <w:r w:rsidR="00137FC4" w:rsidRPr="00D84B8B">
        <w:rPr>
          <w:rStyle w:val="JuParaCar"/>
          <w:lang w:val="pl-PL"/>
        </w:rPr>
        <w:t>dn. 23 października</w:t>
      </w:r>
      <w:r w:rsidR="00F061A3" w:rsidRPr="00D84B8B">
        <w:rPr>
          <w:rStyle w:val="JuParaCar"/>
          <w:lang w:val="pl-PL"/>
        </w:rPr>
        <w:t xml:space="preserve"> 2007</w:t>
      </w:r>
      <w:r w:rsidR="00137FC4" w:rsidRPr="00D84B8B">
        <w:rPr>
          <w:rStyle w:val="JuParaCar"/>
          <w:lang w:val="pl-PL"/>
        </w:rPr>
        <w:t xml:space="preserve"> r</w:t>
      </w:r>
      <w:r w:rsidR="00137FC4" w:rsidRPr="00747D2A">
        <w:rPr>
          <w:rStyle w:val="JuParaCar"/>
          <w:i/>
          <w:lang w:val="pl-PL"/>
        </w:rPr>
        <w:t>.</w:t>
      </w:r>
      <w:r w:rsidR="00F061A3" w:rsidRPr="00747D2A">
        <w:rPr>
          <w:rStyle w:val="JuParaCar"/>
          <w:lang w:val="pl-PL"/>
        </w:rPr>
        <w:t>).</w:t>
      </w:r>
    </w:p>
    <w:p w:rsidR="00F061A3" w:rsidRPr="00D84B8B" w:rsidRDefault="003001A7" w:rsidP="00F061A3">
      <w:pPr>
        <w:ind w:firstLine="284"/>
        <w:jc w:val="both"/>
        <w:rPr>
          <w:lang w:val="pl-PL"/>
        </w:rPr>
      </w:pPr>
      <w:r>
        <w:fldChar w:fldCharType="begin"/>
      </w:r>
      <w:r w:rsidR="00F061A3" w:rsidRPr="00A1797C">
        <w:rPr>
          <w:lang w:val="pl-PL"/>
        </w:rPr>
        <w:instrText xml:space="preserve"> SEQ level0 \*arabic </w:instrText>
      </w:r>
      <w:r>
        <w:fldChar w:fldCharType="separate"/>
      </w:r>
      <w:r w:rsidR="004E0BEB">
        <w:rPr>
          <w:noProof/>
          <w:lang w:val="pl-PL"/>
        </w:rPr>
        <w:t>106</w:t>
      </w:r>
      <w:r>
        <w:fldChar w:fldCharType="end"/>
      </w:r>
      <w:r w:rsidR="00F061A3" w:rsidRPr="00A1797C">
        <w:rPr>
          <w:lang w:val="pl-PL"/>
        </w:rPr>
        <w:t>.  </w:t>
      </w:r>
      <w:r w:rsidR="00D84B8B" w:rsidRPr="00D84B8B">
        <w:rPr>
          <w:rStyle w:val="JuParaCar"/>
          <w:lang w:val="pl-PL"/>
        </w:rPr>
        <w:t>W przedmiotowej sprawie Trybunał zauważa, że władze odda</w:t>
      </w:r>
      <w:r w:rsidR="00D84B8B">
        <w:rPr>
          <w:rStyle w:val="JuParaCar"/>
          <w:lang w:val="pl-PL"/>
        </w:rPr>
        <w:t>liły zarzut skarżący</w:t>
      </w:r>
      <w:r w:rsidR="005D3594">
        <w:rPr>
          <w:rStyle w:val="JuParaCar"/>
          <w:lang w:val="pl-PL"/>
        </w:rPr>
        <w:t>ch</w:t>
      </w:r>
      <w:r w:rsidR="00D84B8B">
        <w:rPr>
          <w:rStyle w:val="JuParaCar"/>
          <w:lang w:val="pl-PL"/>
        </w:rPr>
        <w:t xml:space="preserve"> dotyczący </w:t>
      </w:r>
      <w:r w:rsidR="00D84B8B" w:rsidRPr="00D84B8B">
        <w:rPr>
          <w:rStyle w:val="JuParaCar"/>
          <w:lang w:val="pl-PL"/>
        </w:rPr>
        <w:t xml:space="preserve">nadużycia </w:t>
      </w:r>
      <w:r w:rsidR="00D84B8B">
        <w:rPr>
          <w:rStyle w:val="JuParaCar"/>
          <w:lang w:val="pl-PL"/>
        </w:rPr>
        <w:t>w czasie przeprowadzonej na ich osobach kontroli osobistej</w:t>
      </w:r>
      <w:r w:rsidR="00215B85">
        <w:rPr>
          <w:rStyle w:val="JuParaCar"/>
          <w:lang w:val="pl-PL"/>
        </w:rPr>
        <w:t xml:space="preserve"> podając</w:t>
      </w:r>
      <w:r w:rsidR="00D84B8B">
        <w:rPr>
          <w:rStyle w:val="JuParaCar"/>
          <w:lang w:val="pl-PL"/>
        </w:rPr>
        <w:t>, że środek ten został</w:t>
      </w:r>
      <w:r w:rsidR="00215B85">
        <w:rPr>
          <w:rStyle w:val="JuParaCar"/>
          <w:lang w:val="pl-PL"/>
        </w:rPr>
        <w:t xml:space="preserve"> zastosowany zgodnie z prawem. Trybunał odnotowuje, że ustawa o Policji</w:t>
      </w:r>
      <w:r w:rsidR="00260D3A">
        <w:rPr>
          <w:rStyle w:val="JuParaCar"/>
          <w:lang w:val="pl-PL"/>
        </w:rPr>
        <w:t xml:space="preserve"> oraz przyjęte na jej podstawie rozporządzenie zezwalają funkcjonariuszom policji na przeprowadzanie czynności kontroli osobistej w przypadku istnienia podejrzenia popełnienia przestępstwa oraz, że skarżący, zostali poddani kontroli osobistej w związku z podejrzeniem naruszenia przez nich porządku publicznego. Trybunał nie dysponuje</w:t>
      </w:r>
      <w:r w:rsidR="00BC1DFD">
        <w:rPr>
          <w:rStyle w:val="JuParaCar"/>
          <w:lang w:val="pl-PL"/>
        </w:rPr>
        <w:t xml:space="preserve"> dowodami mogącymi wykazać, że objęta postępowaniem</w:t>
      </w:r>
      <w:r w:rsidR="007626DC">
        <w:rPr>
          <w:rStyle w:val="JuParaCar"/>
          <w:lang w:val="pl-PL"/>
        </w:rPr>
        <w:t xml:space="preserve"> kontrola została dokonana w </w:t>
      </w:r>
      <w:r w:rsidR="00EB14E4">
        <w:rPr>
          <w:rStyle w:val="JuParaCar"/>
          <w:lang w:val="pl-PL"/>
        </w:rPr>
        <w:t xml:space="preserve">upokarzający </w:t>
      </w:r>
      <w:r w:rsidR="007626DC">
        <w:rPr>
          <w:rStyle w:val="JuParaCar"/>
          <w:lang w:val="pl-PL"/>
        </w:rPr>
        <w:t xml:space="preserve">sposób </w:t>
      </w:r>
      <w:r w:rsidR="00EB14E4">
        <w:rPr>
          <w:rStyle w:val="JuParaCar"/>
          <w:lang w:val="pl-PL"/>
        </w:rPr>
        <w:t>przekraczający stopień który jest wpisany w ten zgodny z prawem środek</w:t>
      </w:r>
      <w:r w:rsidR="00435DD7">
        <w:rPr>
          <w:rStyle w:val="JuParaCar"/>
          <w:lang w:val="pl-PL"/>
        </w:rPr>
        <w:t xml:space="preserve"> </w:t>
      </w:r>
      <w:r w:rsidR="00F061A3" w:rsidRPr="00D84B8B">
        <w:rPr>
          <w:rStyle w:val="JuParaCar"/>
          <w:lang w:val="pl-PL"/>
        </w:rPr>
        <w:t>(</w:t>
      </w:r>
      <w:proofErr w:type="spellStart"/>
      <w:r w:rsidR="00F061A3" w:rsidRPr="00D84B8B">
        <w:rPr>
          <w:rStyle w:val="JuParaCar"/>
          <w:i/>
          <w:lang w:val="pl-PL"/>
        </w:rPr>
        <w:t>Dell’</w:t>
      </w:r>
      <w:r w:rsidR="005D3594">
        <w:rPr>
          <w:rStyle w:val="JuParaCar"/>
          <w:i/>
          <w:lang w:val="pl-PL"/>
        </w:rPr>
        <w:t>anna</w:t>
      </w:r>
      <w:proofErr w:type="spellEnd"/>
      <w:r w:rsidR="005D3594">
        <w:rPr>
          <w:rStyle w:val="JuParaCar"/>
          <w:i/>
          <w:lang w:val="pl-PL"/>
        </w:rPr>
        <w:t xml:space="preserve"> p. Włochom (post</w:t>
      </w:r>
      <w:r w:rsidR="00D84B8B" w:rsidRPr="00D84B8B">
        <w:rPr>
          <w:rStyle w:val="JuParaCar"/>
          <w:i/>
          <w:lang w:val="pl-PL"/>
        </w:rPr>
        <w:t xml:space="preserve">.), </w:t>
      </w:r>
      <w:r w:rsidR="00D84B8B" w:rsidRPr="00D84B8B">
        <w:rPr>
          <w:rStyle w:val="JuParaCar"/>
          <w:lang w:val="pl-PL"/>
        </w:rPr>
        <w:t>nr</w:t>
      </w:r>
      <w:r w:rsidR="00F061A3" w:rsidRPr="00D84B8B">
        <w:rPr>
          <w:rStyle w:val="JuParaCar"/>
          <w:lang w:val="pl-PL"/>
        </w:rPr>
        <w:t xml:space="preserve"> 16702/04, </w:t>
      </w:r>
      <w:r w:rsidR="00D84B8B" w:rsidRPr="00D84B8B">
        <w:rPr>
          <w:rStyle w:val="JuParaCar"/>
          <w:lang w:val="pl-PL"/>
        </w:rPr>
        <w:t>dn. 1</w:t>
      </w:r>
      <w:r w:rsidR="00243578">
        <w:rPr>
          <w:rStyle w:val="JuParaCar"/>
          <w:lang w:val="pl-PL"/>
        </w:rPr>
        <w:t xml:space="preserve"> </w:t>
      </w:r>
      <w:r w:rsidR="00D84B8B" w:rsidRPr="00D84B8B">
        <w:rPr>
          <w:rStyle w:val="JuParaCar"/>
          <w:lang w:val="pl-PL"/>
        </w:rPr>
        <w:t>września</w:t>
      </w:r>
      <w:r w:rsidR="00F061A3" w:rsidRPr="00D84B8B">
        <w:rPr>
          <w:rStyle w:val="JuParaCar"/>
          <w:lang w:val="pl-PL"/>
        </w:rPr>
        <w:t xml:space="preserve"> 2009</w:t>
      </w:r>
      <w:r w:rsidR="00D84B8B" w:rsidRPr="00D84B8B">
        <w:rPr>
          <w:rStyle w:val="JuParaCar"/>
          <w:lang w:val="pl-PL"/>
        </w:rPr>
        <w:t xml:space="preserve"> r.</w:t>
      </w:r>
      <w:r w:rsidR="00F061A3" w:rsidRPr="00D84B8B">
        <w:rPr>
          <w:rStyle w:val="JuParaCar"/>
          <w:lang w:val="pl-PL"/>
        </w:rPr>
        <w:t>).</w:t>
      </w:r>
    </w:p>
    <w:p w:rsidR="00F061A3" w:rsidRPr="00EB14E4" w:rsidRDefault="003001A7" w:rsidP="00F061A3">
      <w:pPr>
        <w:ind w:firstLine="284"/>
        <w:jc w:val="both"/>
        <w:rPr>
          <w:lang w:val="pl-PL"/>
        </w:rPr>
      </w:pPr>
      <w:r>
        <w:fldChar w:fldCharType="begin"/>
      </w:r>
      <w:r w:rsidR="00F061A3" w:rsidRPr="00A1797C">
        <w:rPr>
          <w:lang w:val="pl-PL"/>
        </w:rPr>
        <w:instrText xml:space="preserve"> SEQ level0 \*arabic </w:instrText>
      </w:r>
      <w:r>
        <w:fldChar w:fldCharType="separate"/>
      </w:r>
      <w:r w:rsidR="004E0BEB">
        <w:rPr>
          <w:noProof/>
          <w:lang w:val="pl-PL"/>
        </w:rPr>
        <w:t>107</w:t>
      </w:r>
      <w:r>
        <w:fldChar w:fldCharType="end"/>
      </w:r>
      <w:r w:rsidR="00F061A3" w:rsidRPr="00A1797C">
        <w:rPr>
          <w:lang w:val="pl-PL"/>
        </w:rPr>
        <w:t>.  </w:t>
      </w:r>
      <w:r w:rsidR="00EB14E4" w:rsidRPr="00EB14E4">
        <w:rPr>
          <w:rStyle w:val="JuParaCar"/>
          <w:lang w:val="pl-PL"/>
        </w:rPr>
        <w:t xml:space="preserve">W kwestii </w:t>
      </w:r>
      <w:r w:rsidR="00EB14E4">
        <w:rPr>
          <w:rStyle w:val="JuParaCar"/>
          <w:lang w:val="pl-PL"/>
        </w:rPr>
        <w:t>zarzut</w:t>
      </w:r>
      <w:r w:rsidR="00EB14E4" w:rsidRPr="00EB14E4">
        <w:rPr>
          <w:rStyle w:val="JuParaCar"/>
          <w:lang w:val="pl-PL"/>
        </w:rPr>
        <w:t xml:space="preserve">ów skarżących </w:t>
      </w:r>
      <w:r w:rsidR="00EB14E4">
        <w:rPr>
          <w:rStyle w:val="JuParaCar"/>
          <w:lang w:val="pl-PL"/>
        </w:rPr>
        <w:t>dotyczących założenia im kajdanek w czasie doprowadzania do komisariatu, Trybunał zauważa, że nie wydaje</w:t>
      </w:r>
      <w:r w:rsidR="006F429E">
        <w:rPr>
          <w:rStyle w:val="JuParaCar"/>
          <w:lang w:val="pl-PL"/>
        </w:rPr>
        <w:t xml:space="preserve"> się, żeby skarżący podnieśli ten</w:t>
      </w:r>
      <w:r w:rsidR="00F33D63">
        <w:rPr>
          <w:rStyle w:val="JuParaCar"/>
          <w:lang w:val="pl-PL"/>
        </w:rPr>
        <w:t xml:space="preserve"> </w:t>
      </w:r>
      <w:r w:rsidR="00F14769">
        <w:rPr>
          <w:rStyle w:val="JuParaCar"/>
          <w:lang w:val="pl-PL"/>
        </w:rPr>
        <w:t>aspekt zarzutu</w:t>
      </w:r>
      <w:r w:rsidR="006F429E">
        <w:rPr>
          <w:rStyle w:val="JuParaCar"/>
          <w:lang w:val="pl-PL"/>
        </w:rPr>
        <w:t xml:space="preserve"> przed władzami krajowymi</w:t>
      </w:r>
      <w:r w:rsidR="00F14769">
        <w:rPr>
          <w:rStyle w:val="JuParaCar"/>
          <w:lang w:val="pl-PL"/>
        </w:rPr>
        <w:t>, a poza tym zarzut nie został poparty dowodami.</w:t>
      </w:r>
    </w:p>
    <w:p w:rsidR="00F061A3" w:rsidRPr="00F14769" w:rsidRDefault="003001A7" w:rsidP="00F061A3">
      <w:pPr>
        <w:pStyle w:val="JuPara"/>
        <w:tabs>
          <w:tab w:val="left" w:pos="426"/>
        </w:tabs>
        <w:rPr>
          <w:lang w:val="pl-PL"/>
        </w:rPr>
      </w:pPr>
      <w:r>
        <w:fldChar w:fldCharType="begin"/>
      </w:r>
      <w:r w:rsidR="00F061A3" w:rsidRPr="00F14769">
        <w:rPr>
          <w:lang w:val="pl-PL"/>
        </w:rPr>
        <w:instrText xml:space="preserve"> SEQ level0 \*arabic </w:instrText>
      </w:r>
      <w:r>
        <w:fldChar w:fldCharType="separate"/>
      </w:r>
      <w:r w:rsidR="004E0BEB">
        <w:rPr>
          <w:noProof/>
          <w:lang w:val="pl-PL"/>
        </w:rPr>
        <w:t>108</w:t>
      </w:r>
      <w:r>
        <w:fldChar w:fldCharType="end"/>
      </w:r>
      <w:r w:rsidR="00F061A3" w:rsidRPr="00F14769">
        <w:rPr>
          <w:lang w:val="pl-PL"/>
        </w:rPr>
        <w:t>.  </w:t>
      </w:r>
      <w:r w:rsidR="00F14769" w:rsidRPr="00F14769">
        <w:rPr>
          <w:lang w:val="pl-PL"/>
        </w:rPr>
        <w:t xml:space="preserve">Co do aspektu proceduralnego sprawy, Trybunał zauważa, że w przedmiotowej sprawie władze krajowe przeprowadziły dwa postępowania mające na celu wyjaśnienie zdarzeń </w:t>
      </w:r>
      <w:r w:rsidR="00F14769">
        <w:rPr>
          <w:lang w:val="pl-PL"/>
        </w:rPr>
        <w:t xml:space="preserve">będących przyczyną zarzutów skarżących. </w:t>
      </w:r>
    </w:p>
    <w:p w:rsidR="00F061A3" w:rsidRPr="00F14769" w:rsidRDefault="003001A7" w:rsidP="00F061A3">
      <w:pPr>
        <w:pStyle w:val="JuPara"/>
        <w:tabs>
          <w:tab w:val="left" w:pos="426"/>
        </w:tabs>
        <w:rPr>
          <w:lang w:val="pl-PL"/>
        </w:rPr>
      </w:pPr>
      <w:r>
        <w:fldChar w:fldCharType="begin"/>
      </w:r>
      <w:r w:rsidR="00F061A3" w:rsidRPr="00F14769">
        <w:rPr>
          <w:lang w:val="pl-PL"/>
        </w:rPr>
        <w:instrText xml:space="preserve"> SEQ level0 \*arabic </w:instrText>
      </w:r>
      <w:r>
        <w:fldChar w:fldCharType="separate"/>
      </w:r>
      <w:r w:rsidR="004E0BEB">
        <w:rPr>
          <w:noProof/>
          <w:lang w:val="pl-PL"/>
        </w:rPr>
        <w:t>109</w:t>
      </w:r>
      <w:r>
        <w:fldChar w:fldCharType="end"/>
      </w:r>
      <w:r w:rsidR="00F061A3" w:rsidRPr="00F14769">
        <w:rPr>
          <w:lang w:val="pl-PL"/>
        </w:rPr>
        <w:t>.  </w:t>
      </w:r>
      <w:r w:rsidR="00F14769" w:rsidRPr="00F14769">
        <w:rPr>
          <w:lang w:val="pl-PL"/>
        </w:rPr>
        <w:t xml:space="preserve">Trybunał podnosi, że postępowanie prowadzone przez prokuraturę, w czasie którego przeprowadzono szereg czynności dochodzeniowo-śledczych trwało łącznie z </w:t>
      </w:r>
      <w:r w:rsidR="00F14769">
        <w:rPr>
          <w:lang w:val="pl-PL"/>
        </w:rPr>
        <w:t>e</w:t>
      </w:r>
      <w:r w:rsidR="00E740AC">
        <w:rPr>
          <w:lang w:val="pl-PL"/>
        </w:rPr>
        <w:t>tapem sądowym rok i miesiąc</w:t>
      </w:r>
      <w:r w:rsidR="00F14769">
        <w:rPr>
          <w:lang w:val="pl-PL"/>
        </w:rPr>
        <w:t xml:space="preserve">. </w:t>
      </w:r>
      <w:r w:rsidR="00E740AC">
        <w:rPr>
          <w:lang w:val="pl-PL"/>
        </w:rPr>
        <w:t xml:space="preserve">Przesłuchano pozwanych funkcjonariuszy i szereg świadków, w tym osoby które naruszyły porządek publiczny w nocy z 30 na 31 sierpnia 2003 roku w Ostródzie oraz zebrano stosowaną dokumentację lekarską. Trybunał uważa, że właściwe władze podjęły odpowiednie, pozostające w ich dyspozycji </w:t>
      </w:r>
      <w:r w:rsidR="006F429E">
        <w:rPr>
          <w:lang w:val="pl-PL"/>
        </w:rPr>
        <w:t>czynności</w:t>
      </w:r>
      <w:r w:rsidR="000F44ED">
        <w:rPr>
          <w:lang w:val="pl-PL"/>
        </w:rPr>
        <w:t>,</w:t>
      </w:r>
      <w:r w:rsidR="00E740AC">
        <w:rPr>
          <w:lang w:val="pl-PL"/>
        </w:rPr>
        <w:t xml:space="preserve"> w celu uzys</w:t>
      </w:r>
      <w:r w:rsidR="000F44ED">
        <w:rPr>
          <w:lang w:val="pl-PL"/>
        </w:rPr>
        <w:t>kania dowodów dotyczących z</w:t>
      </w:r>
      <w:r w:rsidR="00E740AC">
        <w:rPr>
          <w:lang w:val="pl-PL"/>
        </w:rPr>
        <w:t>darzenia. Trybunał zauważa, że postanowienie o zamknięciu postępowania karnego</w:t>
      </w:r>
      <w:r w:rsidR="00384B65">
        <w:rPr>
          <w:lang w:val="pl-PL"/>
        </w:rPr>
        <w:t xml:space="preserve"> uzasadnione brakiem dowodów na poparcie zarzucanych funkcjonariuszom </w:t>
      </w:r>
      <w:r w:rsidR="006F429E">
        <w:rPr>
          <w:lang w:val="pl-PL"/>
        </w:rPr>
        <w:t>czynów</w:t>
      </w:r>
      <w:r w:rsidR="00384B65">
        <w:rPr>
          <w:lang w:val="pl-PL"/>
        </w:rPr>
        <w:t xml:space="preserve"> zostało poddane kontroli sądu, która nie wykazała żadnego naruszenia zasad postępowania.  </w:t>
      </w:r>
    </w:p>
    <w:p w:rsidR="00F061A3" w:rsidRPr="00384B65" w:rsidRDefault="00384B65" w:rsidP="00F061A3">
      <w:pPr>
        <w:pStyle w:val="JuPara"/>
        <w:tabs>
          <w:tab w:val="left" w:pos="426"/>
        </w:tabs>
        <w:rPr>
          <w:lang w:val="pl-PL"/>
        </w:rPr>
      </w:pPr>
      <w:r w:rsidRPr="00384B65">
        <w:rPr>
          <w:lang w:val="pl-PL"/>
        </w:rPr>
        <w:lastRenderedPageBreak/>
        <w:t>Trybunał zauważa, że skarżący nie podnieśli ani przed władzami krajowymi, ani przed Trybunałem, że prowadzący postępowanie karne</w:t>
      </w:r>
      <w:r>
        <w:rPr>
          <w:lang w:val="pl-PL"/>
        </w:rPr>
        <w:t xml:space="preserve"> byli w jakikolwiek sposób zależni od funkcjonariuszy zamieszanych w sprawę</w:t>
      </w:r>
      <w:r w:rsidR="00F061A3" w:rsidRPr="00384B65">
        <w:rPr>
          <w:lang w:val="pl-PL"/>
        </w:rPr>
        <w:t>.</w:t>
      </w:r>
      <w:r>
        <w:rPr>
          <w:lang w:val="pl-PL"/>
        </w:rPr>
        <w:t xml:space="preserve"> Trybunał nie dysponuje innymi dowodami, które pozwoliłby na inny osąd.</w:t>
      </w:r>
    </w:p>
    <w:p w:rsidR="00F061A3" w:rsidRPr="00384B65" w:rsidRDefault="003001A7" w:rsidP="00F061A3">
      <w:pPr>
        <w:pStyle w:val="JuPara"/>
        <w:tabs>
          <w:tab w:val="left" w:pos="426"/>
        </w:tabs>
        <w:rPr>
          <w:lang w:val="pl-PL"/>
        </w:rPr>
      </w:pPr>
      <w:r>
        <w:fldChar w:fldCharType="begin"/>
      </w:r>
      <w:r w:rsidR="00F061A3" w:rsidRPr="00A1797C">
        <w:rPr>
          <w:lang w:val="pl-PL"/>
        </w:rPr>
        <w:instrText xml:space="preserve"> SEQ level0 \*arabic </w:instrText>
      </w:r>
      <w:r>
        <w:fldChar w:fldCharType="separate"/>
      </w:r>
      <w:r w:rsidR="004E0BEB">
        <w:rPr>
          <w:noProof/>
          <w:lang w:val="pl-PL"/>
        </w:rPr>
        <w:t>110</w:t>
      </w:r>
      <w:r>
        <w:fldChar w:fldCharType="end"/>
      </w:r>
      <w:r w:rsidR="00F061A3" w:rsidRPr="00A1797C">
        <w:rPr>
          <w:lang w:val="pl-PL"/>
        </w:rPr>
        <w:t>.  </w:t>
      </w:r>
      <w:r w:rsidR="00384B65" w:rsidRPr="00384B65">
        <w:rPr>
          <w:lang w:val="pl-PL"/>
        </w:rPr>
        <w:t>W przedmiocie postępowania prowadzonego, niezależnie od postępowania prokuratorskiego, przez policję</w:t>
      </w:r>
      <w:r w:rsidR="00384B65">
        <w:rPr>
          <w:lang w:val="pl-PL"/>
        </w:rPr>
        <w:t xml:space="preserve"> Trybunał zauważa, że zakończyło się ono porównywalnym do prokuratorskiego</w:t>
      </w:r>
      <w:r w:rsidR="00B878BC">
        <w:rPr>
          <w:lang w:val="pl-PL"/>
        </w:rPr>
        <w:t xml:space="preserve"> rozstrzygnięciem.</w:t>
      </w:r>
    </w:p>
    <w:p w:rsidR="00F061A3" w:rsidRPr="00BC494E" w:rsidRDefault="003001A7" w:rsidP="00F061A3">
      <w:pPr>
        <w:pStyle w:val="ju-005fpara"/>
        <w:spacing w:before="0" w:beforeAutospacing="0" w:after="0" w:afterAutospacing="0"/>
        <w:ind w:firstLine="340"/>
        <w:jc w:val="both"/>
        <w:rPr>
          <w:lang w:val="pl-PL"/>
        </w:rPr>
      </w:pPr>
      <w:r>
        <w:rPr>
          <w:lang w:val="fr-FR"/>
        </w:rPr>
        <w:fldChar w:fldCharType="begin"/>
      </w:r>
      <w:r w:rsidR="00F061A3" w:rsidRPr="00AD2D7E">
        <w:rPr>
          <w:lang w:val="pl-PL"/>
        </w:rPr>
        <w:instrText xml:space="preserve"> SEQ level0 \*arabic </w:instrText>
      </w:r>
      <w:r>
        <w:rPr>
          <w:lang w:val="fr-FR"/>
        </w:rPr>
        <w:fldChar w:fldCharType="separate"/>
      </w:r>
      <w:r w:rsidR="004E0BEB">
        <w:rPr>
          <w:noProof/>
          <w:lang w:val="pl-PL"/>
        </w:rPr>
        <w:t>111</w:t>
      </w:r>
      <w:r>
        <w:rPr>
          <w:lang w:val="fr-FR"/>
        </w:rPr>
        <w:fldChar w:fldCharType="end"/>
      </w:r>
      <w:r w:rsidR="00A1797C" w:rsidRPr="00AD2D7E">
        <w:rPr>
          <w:lang w:val="pl-PL"/>
        </w:rPr>
        <w:t xml:space="preserve">. </w:t>
      </w:r>
      <w:r w:rsidR="00A1797C" w:rsidRPr="00A1797C">
        <w:rPr>
          <w:lang w:val="pl-PL"/>
        </w:rPr>
        <w:t>W tych okolicznościach Trybunał</w:t>
      </w:r>
      <w:r w:rsidR="00A1797C">
        <w:rPr>
          <w:lang w:val="pl-PL"/>
        </w:rPr>
        <w:t xml:space="preserve"> uważa, na podstawie przedstawionych mu dowodów nie jest możliwe ustalenie czy doznane przez skarżących obrażenia powstały w wyniku działań, które można by było przypisać funkcjonariuszom państwowym </w:t>
      </w:r>
      <w:r w:rsidR="008A2609" w:rsidRPr="00A1797C">
        <w:rPr>
          <w:rStyle w:val="JuParaCar"/>
          <w:lang w:val="pl-PL"/>
        </w:rPr>
        <w:t>(zob.</w:t>
      </w:r>
      <w:r w:rsidR="00F33D63">
        <w:rPr>
          <w:rStyle w:val="JuParaCar"/>
          <w:lang w:val="pl-PL"/>
        </w:rPr>
        <w:t xml:space="preserve"> </w:t>
      </w:r>
      <w:proofErr w:type="spellStart"/>
      <w:r w:rsidR="008A2609" w:rsidRPr="00A1797C">
        <w:rPr>
          <w:rStyle w:val="JuParaCar"/>
          <w:i/>
          <w:lang w:val="pl-PL"/>
        </w:rPr>
        <w:t>Petyo</w:t>
      </w:r>
      <w:proofErr w:type="spellEnd"/>
      <w:r w:rsidR="00435DD7">
        <w:rPr>
          <w:rStyle w:val="JuParaCar"/>
          <w:i/>
          <w:lang w:val="pl-PL"/>
        </w:rPr>
        <w:t xml:space="preserve"> </w:t>
      </w:r>
      <w:proofErr w:type="spellStart"/>
      <w:r w:rsidR="008A2609" w:rsidRPr="00A1797C">
        <w:rPr>
          <w:rStyle w:val="JuParaCar"/>
          <w:i/>
          <w:lang w:val="pl-PL"/>
        </w:rPr>
        <w:t>Popov</w:t>
      </w:r>
      <w:proofErr w:type="spellEnd"/>
      <w:r w:rsidR="008A2609" w:rsidRPr="00A1797C">
        <w:rPr>
          <w:rStyle w:val="JuParaCar"/>
          <w:i/>
          <w:lang w:val="pl-PL"/>
        </w:rPr>
        <w:t xml:space="preserve"> p. Bułgarii</w:t>
      </w:r>
      <w:r w:rsidR="008A2609" w:rsidRPr="00A1797C">
        <w:rPr>
          <w:rStyle w:val="JuParaCar"/>
          <w:lang w:val="pl-PL"/>
        </w:rPr>
        <w:t>, nr</w:t>
      </w:r>
      <w:r w:rsidR="00F061A3" w:rsidRPr="00A1797C">
        <w:rPr>
          <w:rStyle w:val="JuParaCar"/>
          <w:lang w:val="pl-PL"/>
        </w:rPr>
        <w:t xml:space="preserve"> 75022/01, § 57, </w:t>
      </w:r>
      <w:r w:rsidR="008A2609" w:rsidRPr="00A1797C">
        <w:rPr>
          <w:rStyle w:val="JuParaCar"/>
          <w:lang w:val="pl-PL"/>
        </w:rPr>
        <w:t>dn. 22 kwietnia</w:t>
      </w:r>
      <w:r w:rsidR="00F061A3" w:rsidRPr="00A1797C">
        <w:rPr>
          <w:rStyle w:val="JuParaCar"/>
          <w:lang w:val="pl-PL"/>
        </w:rPr>
        <w:t xml:space="preserve"> 2009</w:t>
      </w:r>
      <w:r w:rsidR="008A2609" w:rsidRPr="00A1797C">
        <w:rPr>
          <w:rStyle w:val="JuParaCar"/>
          <w:lang w:val="pl-PL"/>
        </w:rPr>
        <w:t xml:space="preserve"> r.</w:t>
      </w:r>
      <w:r w:rsidR="00F061A3" w:rsidRPr="00A1797C">
        <w:rPr>
          <w:rStyle w:val="JuParaCar"/>
          <w:lang w:val="pl-PL"/>
        </w:rPr>
        <w:t xml:space="preserve">, </w:t>
      </w:r>
      <w:r w:rsidR="00F061A3" w:rsidRPr="00A1797C">
        <w:rPr>
          <w:rStyle w:val="JuParaCar"/>
          <w:i/>
          <w:lang w:val="pl-PL"/>
        </w:rPr>
        <w:t xml:space="preserve">Timur </w:t>
      </w:r>
      <w:r w:rsidR="008A2609" w:rsidRPr="00A1797C">
        <w:rPr>
          <w:rStyle w:val="JuParaCar"/>
          <w:i/>
          <w:lang w:val="pl-PL"/>
        </w:rPr>
        <w:t xml:space="preserve">p. </w:t>
      </w:r>
      <w:r w:rsidR="00AC6167" w:rsidRPr="00A1797C">
        <w:rPr>
          <w:rStyle w:val="JuParaCar"/>
          <w:i/>
          <w:lang w:val="pl-PL"/>
        </w:rPr>
        <w:t>Turcji</w:t>
      </w:r>
      <w:r w:rsidR="008A2609" w:rsidRPr="00A1797C">
        <w:rPr>
          <w:rStyle w:val="JuParaCar"/>
          <w:lang w:val="pl-PL"/>
        </w:rPr>
        <w:t xml:space="preserve">, nr </w:t>
      </w:r>
      <w:r w:rsidR="00F061A3" w:rsidRPr="00A1797C">
        <w:rPr>
          <w:rStyle w:val="JuParaCar"/>
          <w:lang w:val="pl-PL"/>
        </w:rPr>
        <w:t xml:space="preserve">29100/03, § 33, </w:t>
      </w:r>
      <w:r w:rsidR="008A2609" w:rsidRPr="00A1797C">
        <w:rPr>
          <w:rStyle w:val="JuParaCar"/>
          <w:lang w:val="pl-PL"/>
        </w:rPr>
        <w:t>dn. 26 czerwca</w:t>
      </w:r>
      <w:r w:rsidR="00F061A3" w:rsidRPr="00A1797C">
        <w:rPr>
          <w:rStyle w:val="JuParaCar"/>
          <w:lang w:val="pl-PL"/>
        </w:rPr>
        <w:t xml:space="preserve"> 2007</w:t>
      </w:r>
      <w:r w:rsidR="008A2609" w:rsidRPr="00A1797C">
        <w:rPr>
          <w:rStyle w:val="JuParaCar"/>
          <w:lang w:val="pl-PL"/>
        </w:rPr>
        <w:t xml:space="preserve"> r.</w:t>
      </w:r>
      <w:r w:rsidR="001E317D">
        <w:rPr>
          <w:rStyle w:val="JuParaCar"/>
          <w:lang w:val="pl-PL"/>
        </w:rPr>
        <w:t xml:space="preserve">). </w:t>
      </w:r>
      <w:r w:rsidR="00A1797C" w:rsidRPr="00A1797C">
        <w:rPr>
          <w:rStyle w:val="JuParaCar"/>
          <w:lang w:val="pl-PL"/>
        </w:rPr>
        <w:t>Trybunał nie dysponuje ż</w:t>
      </w:r>
      <w:r w:rsidR="00BC494E">
        <w:rPr>
          <w:rStyle w:val="JuParaCar"/>
          <w:lang w:val="pl-PL"/>
        </w:rPr>
        <w:t>a</w:t>
      </w:r>
      <w:r w:rsidR="00A1797C" w:rsidRPr="00A1797C">
        <w:rPr>
          <w:rStyle w:val="JuParaCar"/>
          <w:lang w:val="pl-PL"/>
        </w:rPr>
        <w:t xml:space="preserve">dnymi </w:t>
      </w:r>
      <w:r w:rsidR="00A1797C">
        <w:rPr>
          <w:rStyle w:val="JuParaCar"/>
          <w:lang w:val="pl-PL"/>
        </w:rPr>
        <w:t>jednoznacznymi danymi, które pozwoliłby</w:t>
      </w:r>
      <w:r w:rsidR="00BC494E">
        <w:rPr>
          <w:rStyle w:val="JuParaCar"/>
          <w:lang w:val="pl-PL"/>
        </w:rPr>
        <w:t xml:space="preserve"> na inną niż władz krajowych ocenę stanu faktycznego w kwestii pochodzenia obrażeń </w:t>
      </w:r>
      <w:r w:rsidR="001E317D">
        <w:rPr>
          <w:rStyle w:val="JuParaCar"/>
          <w:lang w:val="pl-PL"/>
        </w:rPr>
        <w:t>skarżących (</w:t>
      </w:r>
      <w:proofErr w:type="spellStart"/>
      <w:r w:rsidR="001E317D" w:rsidRPr="00AC6167">
        <w:rPr>
          <w:rStyle w:val="JuParaCar"/>
          <w:i/>
          <w:lang w:val="pl-PL"/>
        </w:rPr>
        <w:t>Marinov</w:t>
      </w:r>
      <w:proofErr w:type="spellEnd"/>
      <w:r w:rsidR="00A1797C" w:rsidRPr="00A1797C">
        <w:rPr>
          <w:rStyle w:val="JuParaCar"/>
          <w:i/>
          <w:lang w:val="pl-PL"/>
        </w:rPr>
        <w:t xml:space="preserve"> p. Bułgarii</w:t>
      </w:r>
      <w:r w:rsidR="00A1797C" w:rsidRPr="00A1797C">
        <w:rPr>
          <w:rStyle w:val="JuParaCar"/>
          <w:lang w:val="pl-PL"/>
        </w:rPr>
        <w:t>, nr</w:t>
      </w:r>
      <w:r w:rsidR="00F061A3" w:rsidRPr="00A1797C">
        <w:rPr>
          <w:rStyle w:val="JuParaCar"/>
          <w:lang w:val="pl-PL"/>
        </w:rPr>
        <w:t xml:space="preserve"> 37770/03, § 80, </w:t>
      </w:r>
      <w:r w:rsidR="00A1797C" w:rsidRPr="00A1797C">
        <w:rPr>
          <w:rStyle w:val="JuParaCar"/>
          <w:lang w:val="pl-PL"/>
        </w:rPr>
        <w:t>dn. 30 września</w:t>
      </w:r>
      <w:r w:rsidR="00F061A3" w:rsidRPr="00A1797C">
        <w:rPr>
          <w:rStyle w:val="JuParaCar"/>
          <w:lang w:val="pl-PL"/>
        </w:rPr>
        <w:t xml:space="preserve"> 2010</w:t>
      </w:r>
      <w:r w:rsidR="00A1797C" w:rsidRPr="00A1797C">
        <w:rPr>
          <w:rStyle w:val="JuParaCar"/>
          <w:lang w:val="pl-PL"/>
        </w:rPr>
        <w:t xml:space="preserve"> r.</w:t>
      </w:r>
      <w:r w:rsidR="00F061A3" w:rsidRPr="00A1797C">
        <w:rPr>
          <w:rStyle w:val="JuParaCar"/>
          <w:lang w:val="pl-PL"/>
        </w:rPr>
        <w:t xml:space="preserve">). </w:t>
      </w:r>
      <w:r w:rsidR="00BC494E" w:rsidRPr="00BC494E">
        <w:rPr>
          <w:rStyle w:val="JuParaCar"/>
          <w:lang w:val="pl-PL"/>
        </w:rPr>
        <w:t xml:space="preserve">Nadto, w aktach sprawy nie ma żadnej informacji, która wskazywałaby, że władze </w:t>
      </w:r>
      <w:r w:rsidR="00BC494E">
        <w:rPr>
          <w:rStyle w:val="JuParaCar"/>
          <w:lang w:val="pl-PL"/>
        </w:rPr>
        <w:t xml:space="preserve">nie </w:t>
      </w:r>
      <w:r w:rsidR="006F429E">
        <w:rPr>
          <w:rStyle w:val="JuParaCar"/>
          <w:lang w:val="pl-PL"/>
        </w:rPr>
        <w:t>podjęły właściwych czynności</w:t>
      </w:r>
      <w:r w:rsidR="00F33D63">
        <w:rPr>
          <w:rStyle w:val="JuParaCar"/>
          <w:lang w:val="pl-PL"/>
        </w:rPr>
        <w:t xml:space="preserve"> </w:t>
      </w:r>
      <w:r w:rsidR="00385009">
        <w:rPr>
          <w:rStyle w:val="JuParaCar"/>
          <w:lang w:val="pl-PL"/>
        </w:rPr>
        <w:t>w celu uzyskania dowodów w sprawie zarzucanych czynów i prowadzenia skutecznego postępowania w rozumieniu artykułu 3 Konwencji.</w:t>
      </w:r>
    </w:p>
    <w:p w:rsidR="00F061A3" w:rsidRPr="00902DF1" w:rsidRDefault="003001A7" w:rsidP="00F061A3">
      <w:pPr>
        <w:pStyle w:val="ju-005fpara"/>
        <w:spacing w:before="0" w:beforeAutospacing="0" w:after="0" w:afterAutospacing="0"/>
        <w:ind w:firstLine="340"/>
        <w:jc w:val="both"/>
        <w:rPr>
          <w:lang w:val="pl-PL"/>
        </w:rPr>
      </w:pPr>
      <w:r>
        <w:rPr>
          <w:lang w:val="fr-FR"/>
        </w:rPr>
        <w:fldChar w:fldCharType="begin"/>
      </w:r>
      <w:r w:rsidR="00F061A3" w:rsidRPr="00C93E43">
        <w:rPr>
          <w:lang w:val="pl-PL"/>
        </w:rPr>
        <w:instrText xml:space="preserve"> SEQ level0 \*arabic </w:instrText>
      </w:r>
      <w:r>
        <w:rPr>
          <w:lang w:val="fr-FR"/>
        </w:rPr>
        <w:fldChar w:fldCharType="separate"/>
      </w:r>
      <w:r w:rsidR="004E0BEB">
        <w:rPr>
          <w:noProof/>
          <w:lang w:val="pl-PL"/>
        </w:rPr>
        <w:t>112</w:t>
      </w:r>
      <w:r>
        <w:rPr>
          <w:lang w:val="fr-FR"/>
        </w:rPr>
        <w:fldChar w:fldCharType="end"/>
      </w:r>
      <w:r w:rsidR="00F061A3" w:rsidRPr="00C93E43">
        <w:rPr>
          <w:lang w:val="pl-PL"/>
        </w:rPr>
        <w:t>.  </w:t>
      </w:r>
      <w:r w:rsidR="00C93E43">
        <w:rPr>
          <w:rStyle w:val="JuParaCar"/>
          <w:lang w:val="pl-PL"/>
        </w:rPr>
        <w:t>Na podstawie artykułu 35 §§ 3 (a) oraz</w:t>
      </w:r>
      <w:r w:rsidR="00C93E43" w:rsidRPr="00902DF1">
        <w:rPr>
          <w:rStyle w:val="JuParaCar"/>
          <w:lang w:val="pl-PL"/>
        </w:rPr>
        <w:t xml:space="preserve"> 4 </w:t>
      </w:r>
      <w:r w:rsidR="00C93E43">
        <w:rPr>
          <w:rStyle w:val="JuParaCar"/>
          <w:lang w:val="pl-PL"/>
        </w:rPr>
        <w:t>Konwencji</w:t>
      </w:r>
      <w:r w:rsidR="00717881">
        <w:rPr>
          <w:rStyle w:val="JuParaCar"/>
          <w:lang w:val="pl-PL"/>
        </w:rPr>
        <w:t>,</w:t>
      </w:r>
      <w:r w:rsidR="00F33D63">
        <w:rPr>
          <w:rStyle w:val="JuParaCar"/>
          <w:lang w:val="pl-PL"/>
        </w:rPr>
        <w:t xml:space="preserve"> </w:t>
      </w:r>
      <w:r w:rsidR="00902DF1" w:rsidRPr="00902DF1">
        <w:rPr>
          <w:rStyle w:val="JuParaCar"/>
          <w:lang w:val="pl-PL"/>
        </w:rPr>
        <w:t xml:space="preserve">Trybunał oddala zatem zarzut oparty na artykule 3 Konwencji </w:t>
      </w:r>
      <w:r w:rsidR="00902DF1">
        <w:rPr>
          <w:rStyle w:val="JuParaCar"/>
          <w:lang w:val="pl-PL"/>
        </w:rPr>
        <w:t>jako oczywiście</w:t>
      </w:r>
      <w:r w:rsidR="00C93E43">
        <w:rPr>
          <w:rStyle w:val="JuParaCar"/>
          <w:lang w:val="pl-PL"/>
        </w:rPr>
        <w:t xml:space="preserve"> bezzasadny</w:t>
      </w:r>
      <w:r w:rsidR="00717881">
        <w:rPr>
          <w:rStyle w:val="JuParaCar"/>
          <w:lang w:val="pl-PL"/>
        </w:rPr>
        <w:t>.</w:t>
      </w:r>
    </w:p>
    <w:p w:rsidR="00F061A3" w:rsidRPr="00AD2D7E" w:rsidRDefault="00F061A3" w:rsidP="00F061A3">
      <w:pPr>
        <w:pStyle w:val="JuHIRoman"/>
        <w:rPr>
          <w:lang w:val="pl-PL"/>
        </w:rPr>
      </w:pPr>
      <w:r w:rsidRPr="00AD2D7E">
        <w:rPr>
          <w:lang w:val="pl-PL"/>
        </w:rPr>
        <w:t>III.  </w:t>
      </w:r>
      <w:r w:rsidR="00B878BC" w:rsidRPr="00AD2D7E">
        <w:rPr>
          <w:lang w:val="pl-PL"/>
        </w:rPr>
        <w:t xml:space="preserve">DOMIEMANE NARUSZENIE ARTYKUŁU 5 KONWENCJI </w:t>
      </w:r>
    </w:p>
    <w:p w:rsidR="00F061A3" w:rsidRPr="00902DF1" w:rsidRDefault="003001A7" w:rsidP="00F061A3">
      <w:pPr>
        <w:pStyle w:val="JuPara"/>
        <w:tabs>
          <w:tab w:val="left" w:pos="426"/>
        </w:tabs>
        <w:rPr>
          <w:lang w:val="pl-PL"/>
        </w:rPr>
      </w:pPr>
      <w:r>
        <w:fldChar w:fldCharType="begin"/>
      </w:r>
      <w:r w:rsidR="00F061A3" w:rsidRPr="00AD2D7E">
        <w:rPr>
          <w:lang w:val="pl-PL"/>
        </w:rPr>
        <w:instrText xml:space="preserve"> SEQ level0 \*arabic </w:instrText>
      </w:r>
      <w:r>
        <w:fldChar w:fldCharType="separate"/>
      </w:r>
      <w:r w:rsidR="004E0BEB">
        <w:rPr>
          <w:noProof/>
          <w:lang w:val="pl-PL"/>
        </w:rPr>
        <w:t>113</w:t>
      </w:r>
      <w:r>
        <w:fldChar w:fldCharType="end"/>
      </w:r>
      <w:r w:rsidR="00F061A3" w:rsidRPr="00AD2D7E">
        <w:rPr>
          <w:lang w:val="pl-PL"/>
        </w:rPr>
        <w:t>.  </w:t>
      </w:r>
      <w:r w:rsidR="00902DF1" w:rsidRPr="00902DF1">
        <w:rPr>
          <w:lang w:val="pl-PL"/>
        </w:rPr>
        <w:t>S</w:t>
      </w:r>
      <w:r w:rsidR="00902DF1">
        <w:rPr>
          <w:lang w:val="pl-PL"/>
        </w:rPr>
        <w:t>k</w:t>
      </w:r>
      <w:r w:rsidR="00902DF1" w:rsidRPr="00902DF1">
        <w:rPr>
          <w:lang w:val="pl-PL"/>
        </w:rPr>
        <w:t>arżący podnoszą szereg zarzutów związanych z</w:t>
      </w:r>
      <w:r w:rsidR="00902DF1">
        <w:rPr>
          <w:lang w:val="pl-PL"/>
        </w:rPr>
        <w:t xml:space="preserve"> pozbawieniem ich wolności w wyn</w:t>
      </w:r>
      <w:r w:rsidR="00902DF1" w:rsidRPr="00902DF1">
        <w:rPr>
          <w:lang w:val="pl-PL"/>
        </w:rPr>
        <w:t>iku zatrzymania i przetrzymywania w komisariacie.</w:t>
      </w:r>
      <w:r w:rsidR="00902DF1">
        <w:rPr>
          <w:lang w:val="pl-PL"/>
        </w:rPr>
        <w:t xml:space="preserve"> Zarzucają w szczególności arbitralny charakter tego środka, brak kontroli sądowej oraz niemożność uzyskania odszkodowania za poniesioną szkodę spowodowaną jego zastosowaniem. Skarżący przywołują artykuł 5 Konwencji, którego stosowna do przedmiotowej sprawy część brzmi następująco  </w:t>
      </w:r>
      <w:r w:rsidR="00F061A3" w:rsidRPr="00902DF1">
        <w:rPr>
          <w:lang w:val="pl-PL"/>
        </w:rPr>
        <w:t> :</w:t>
      </w:r>
    </w:p>
    <w:p w:rsidR="00B878BC" w:rsidRPr="00BF4395" w:rsidRDefault="00B878BC" w:rsidP="00B878BC">
      <w:pPr>
        <w:pStyle w:val="JuQuot"/>
        <w:rPr>
          <w:lang w:val="pl-PL"/>
        </w:rPr>
      </w:pPr>
      <w:r>
        <w:rPr>
          <w:lang w:val="pl-PL"/>
        </w:rPr>
        <w:t xml:space="preserve">„ </w:t>
      </w:r>
      <w:r w:rsidRPr="006C2655">
        <w:rPr>
          <w:lang w:val="pl-PL"/>
        </w:rPr>
        <w:t>1.  </w:t>
      </w:r>
      <w:r w:rsidRPr="00BF4395">
        <w:rPr>
          <w:lang w:val="pl-PL"/>
        </w:rPr>
        <w:t xml:space="preserve">Każdy ma prawo do wolności i bezpieczeństwa osobistego. </w:t>
      </w:r>
      <w:r>
        <w:rPr>
          <w:lang w:val="pl-PL"/>
        </w:rPr>
        <w:t>Nikt nie może być pozbawiony wolności, z wyjątkiem następujących przypadków i w trybie ustalonym przez prawo:</w:t>
      </w:r>
    </w:p>
    <w:p w:rsidR="00B878BC" w:rsidRPr="00252758" w:rsidRDefault="00B878BC" w:rsidP="00B878BC">
      <w:pPr>
        <w:pStyle w:val="JuQuot"/>
        <w:rPr>
          <w:lang w:val="pl-PL"/>
        </w:rPr>
      </w:pPr>
      <w:r w:rsidRPr="00252758">
        <w:rPr>
          <w:lang w:val="pl-PL"/>
        </w:rPr>
        <w:t>(...)</w:t>
      </w:r>
    </w:p>
    <w:p w:rsidR="00B878BC" w:rsidRPr="00902DF1" w:rsidRDefault="00B878BC" w:rsidP="00902DF1">
      <w:pPr>
        <w:suppressAutoHyphens w:val="0"/>
        <w:autoSpaceDE w:val="0"/>
        <w:autoSpaceDN w:val="0"/>
        <w:adjustRightInd w:val="0"/>
        <w:ind w:left="567" w:hanging="567"/>
        <w:jc w:val="both"/>
        <w:rPr>
          <w:rFonts w:eastAsiaTheme="minorHAnsi"/>
          <w:sz w:val="20"/>
          <w:lang w:val="pl-PL" w:eastAsia="en-US"/>
        </w:rPr>
      </w:pPr>
      <w:r w:rsidRPr="00C25A51">
        <w:rPr>
          <w:sz w:val="20"/>
          <w:lang w:val="pl-PL"/>
        </w:rPr>
        <w:t>c)  </w:t>
      </w:r>
      <w:r w:rsidRPr="00C25A51">
        <w:rPr>
          <w:rFonts w:eastAsiaTheme="minorHAnsi"/>
          <w:sz w:val="20"/>
          <w:lang w:val="pl-PL" w:eastAsia="en-US"/>
        </w:rPr>
        <w:t>zgodnego z prawem zatrzymania lub aresztowania w celu postawienia przed właściwym organem, jeżeli istnieje uzasadnione podejrzenie pope</w:t>
      </w:r>
      <w:r>
        <w:rPr>
          <w:rFonts w:eastAsiaTheme="minorHAnsi"/>
          <w:sz w:val="20"/>
          <w:lang w:val="pl-PL" w:eastAsia="en-US"/>
        </w:rPr>
        <w:t xml:space="preserve">łnienia czynu zagrożonego karą </w:t>
      </w:r>
      <w:r w:rsidRPr="008A2609">
        <w:rPr>
          <w:sz w:val="20"/>
          <w:lang w:val="pl-PL"/>
        </w:rPr>
        <w:t>(...)</w:t>
      </w:r>
    </w:p>
    <w:p w:rsidR="008A2609" w:rsidRDefault="008A2609" w:rsidP="00B878BC">
      <w:pPr>
        <w:suppressAutoHyphens w:val="0"/>
        <w:autoSpaceDE w:val="0"/>
        <w:autoSpaceDN w:val="0"/>
        <w:adjustRightInd w:val="0"/>
        <w:ind w:left="567" w:hanging="567"/>
        <w:jc w:val="both"/>
        <w:rPr>
          <w:lang w:val="pl-PL"/>
        </w:rPr>
      </w:pPr>
    </w:p>
    <w:p w:rsidR="008A2609" w:rsidRPr="00B878BC" w:rsidRDefault="00902DF1" w:rsidP="00B878BC">
      <w:pPr>
        <w:suppressAutoHyphens w:val="0"/>
        <w:autoSpaceDE w:val="0"/>
        <w:autoSpaceDN w:val="0"/>
        <w:adjustRightInd w:val="0"/>
        <w:ind w:left="567" w:hanging="567"/>
        <w:jc w:val="both"/>
        <w:rPr>
          <w:rFonts w:eastAsiaTheme="minorHAnsi"/>
          <w:sz w:val="20"/>
          <w:lang w:val="pl-PL" w:eastAsia="en-US"/>
        </w:rPr>
      </w:pPr>
      <w:r>
        <w:rPr>
          <w:rFonts w:eastAsiaTheme="minorHAnsi"/>
          <w:sz w:val="20"/>
          <w:lang w:val="pl-PL" w:eastAsia="en-US"/>
        </w:rPr>
        <w:t>(…)</w:t>
      </w:r>
    </w:p>
    <w:p w:rsidR="008A2609" w:rsidRPr="008A2609" w:rsidRDefault="008A2609" w:rsidP="008A2609">
      <w:pPr>
        <w:pStyle w:val="Akapitzlist"/>
        <w:suppressAutoHyphens w:val="0"/>
        <w:autoSpaceDE w:val="0"/>
        <w:autoSpaceDN w:val="0"/>
        <w:adjustRightInd w:val="0"/>
        <w:ind w:left="426"/>
        <w:jc w:val="both"/>
        <w:rPr>
          <w:rFonts w:eastAsiaTheme="minorHAnsi"/>
          <w:sz w:val="20"/>
          <w:lang w:val="pl-PL" w:eastAsia="en-US"/>
        </w:rPr>
      </w:pPr>
      <w:r>
        <w:rPr>
          <w:rFonts w:eastAsiaTheme="minorHAnsi"/>
          <w:sz w:val="20"/>
          <w:lang w:val="pl-PL" w:eastAsia="en-US"/>
        </w:rPr>
        <w:t xml:space="preserve">4. </w:t>
      </w:r>
      <w:r w:rsidRPr="008A2609">
        <w:rPr>
          <w:rFonts w:eastAsiaTheme="minorHAnsi"/>
          <w:sz w:val="20"/>
          <w:lang w:val="pl-PL" w:eastAsia="en-US"/>
        </w:rPr>
        <w:t>Ka</w:t>
      </w:r>
      <w:r>
        <w:rPr>
          <w:rFonts w:eastAsiaTheme="minorHAnsi"/>
          <w:sz w:val="20"/>
          <w:lang w:val="pl-PL" w:eastAsia="en-US"/>
        </w:rPr>
        <w:t>ż</w:t>
      </w:r>
      <w:r w:rsidRPr="008A2609">
        <w:rPr>
          <w:rFonts w:eastAsiaTheme="minorHAnsi"/>
          <w:sz w:val="20"/>
          <w:lang w:val="pl-PL" w:eastAsia="en-US"/>
        </w:rPr>
        <w:t xml:space="preserve">dy, kto został pozbawiony wolności przez zatrzymanie lub aresztowanie, ma prawo odwołania się do sądu w celu ustalenia bezzwłocznie przez sąd legalności </w:t>
      </w:r>
      <w:r w:rsidRPr="008A2609">
        <w:rPr>
          <w:rFonts w:eastAsiaTheme="minorHAnsi"/>
          <w:sz w:val="20"/>
          <w:lang w:val="pl-PL" w:eastAsia="en-US"/>
        </w:rPr>
        <w:lastRenderedPageBreak/>
        <w:t>pozbawienia wolności i zarządzenia zwolnienia, je</w:t>
      </w:r>
      <w:r>
        <w:rPr>
          <w:rFonts w:eastAsiaTheme="minorHAnsi"/>
          <w:sz w:val="20"/>
          <w:lang w:val="pl-PL" w:eastAsia="en-US"/>
        </w:rPr>
        <w:t>ż</w:t>
      </w:r>
      <w:r w:rsidRPr="008A2609">
        <w:rPr>
          <w:rFonts w:eastAsiaTheme="minorHAnsi"/>
          <w:sz w:val="20"/>
          <w:lang w:val="pl-PL" w:eastAsia="en-US"/>
        </w:rPr>
        <w:t>eli pozbawienie wolności jest niezgodne z prawem.</w:t>
      </w:r>
    </w:p>
    <w:p w:rsidR="008A2609" w:rsidRPr="008A2609" w:rsidRDefault="008A2609" w:rsidP="008A2609">
      <w:pPr>
        <w:pStyle w:val="Akapitzlist"/>
        <w:suppressAutoHyphens w:val="0"/>
        <w:autoSpaceDE w:val="0"/>
        <w:autoSpaceDN w:val="0"/>
        <w:adjustRightInd w:val="0"/>
        <w:jc w:val="both"/>
        <w:rPr>
          <w:rFonts w:eastAsiaTheme="minorHAnsi"/>
          <w:sz w:val="20"/>
          <w:lang w:val="pl-PL" w:eastAsia="en-US"/>
        </w:rPr>
      </w:pPr>
    </w:p>
    <w:p w:rsidR="008A2609" w:rsidRPr="008A2609" w:rsidRDefault="00393EB2" w:rsidP="008A2609">
      <w:pPr>
        <w:suppressAutoHyphens w:val="0"/>
        <w:autoSpaceDE w:val="0"/>
        <w:autoSpaceDN w:val="0"/>
        <w:adjustRightInd w:val="0"/>
        <w:ind w:left="426"/>
        <w:jc w:val="both"/>
        <w:rPr>
          <w:rFonts w:eastAsiaTheme="minorHAnsi"/>
          <w:sz w:val="20"/>
          <w:lang w:val="pl-PL" w:eastAsia="en-US"/>
        </w:rPr>
      </w:pPr>
      <w:r>
        <w:rPr>
          <w:rFonts w:eastAsiaTheme="minorHAnsi"/>
          <w:sz w:val="20"/>
          <w:lang w:val="pl-PL" w:eastAsia="en-US"/>
        </w:rPr>
        <w:t>5</w:t>
      </w:r>
      <w:r w:rsidR="008A2609" w:rsidRPr="008A2609">
        <w:rPr>
          <w:rFonts w:eastAsiaTheme="minorHAnsi"/>
          <w:sz w:val="20"/>
          <w:lang w:val="pl-PL" w:eastAsia="en-US"/>
        </w:rPr>
        <w:t>. Ka</w:t>
      </w:r>
      <w:r w:rsidR="008A2609">
        <w:rPr>
          <w:rFonts w:eastAsiaTheme="minorHAnsi"/>
          <w:sz w:val="20"/>
          <w:lang w:val="pl-PL" w:eastAsia="en-US"/>
        </w:rPr>
        <w:t>ż</w:t>
      </w:r>
      <w:r w:rsidR="008A2609" w:rsidRPr="008A2609">
        <w:rPr>
          <w:rFonts w:eastAsiaTheme="minorHAnsi"/>
          <w:sz w:val="20"/>
          <w:lang w:val="pl-PL" w:eastAsia="en-US"/>
        </w:rPr>
        <w:t xml:space="preserve">dy, kto został pokrzywdzony przez niezgodne z treścią </w:t>
      </w:r>
      <w:r w:rsidR="008A2609">
        <w:rPr>
          <w:rFonts w:eastAsiaTheme="minorHAnsi"/>
          <w:sz w:val="20"/>
          <w:lang w:val="pl-PL" w:eastAsia="en-US"/>
        </w:rPr>
        <w:t xml:space="preserve">tego artykułu zatrzymanie lub </w:t>
      </w:r>
      <w:r w:rsidR="008A2609" w:rsidRPr="008A2609">
        <w:rPr>
          <w:rFonts w:eastAsiaTheme="minorHAnsi"/>
          <w:sz w:val="20"/>
          <w:lang w:val="pl-PL" w:eastAsia="en-US"/>
        </w:rPr>
        <w:t>aresztowanie, ma prawo do odszkodowania</w:t>
      </w:r>
      <w:r w:rsidR="008A2609">
        <w:rPr>
          <w:rFonts w:eastAsiaTheme="minorHAnsi"/>
          <w:sz w:val="23"/>
          <w:szCs w:val="23"/>
          <w:lang w:val="pl-PL" w:eastAsia="en-US"/>
        </w:rPr>
        <w:t>.</w:t>
      </w:r>
    </w:p>
    <w:p w:rsidR="00F061A3" w:rsidRPr="00AD2D7E" w:rsidRDefault="00F061A3" w:rsidP="00F061A3">
      <w:pPr>
        <w:pStyle w:val="JuHA"/>
        <w:outlineLvl w:val="0"/>
        <w:rPr>
          <w:lang w:val="pl-PL"/>
        </w:rPr>
      </w:pPr>
      <w:r w:rsidRPr="00AD2D7E">
        <w:rPr>
          <w:lang w:val="pl-PL"/>
        </w:rPr>
        <w:t>A.  </w:t>
      </w:r>
      <w:r w:rsidR="00393EB2" w:rsidRPr="00393EB2">
        <w:rPr>
          <w:lang w:val="pl-PL"/>
        </w:rPr>
        <w:t>Dopuszczalność</w:t>
      </w:r>
      <w:r w:rsidR="008A2609" w:rsidRPr="00AD2D7E">
        <w:rPr>
          <w:lang w:val="pl-PL"/>
        </w:rPr>
        <w:t xml:space="preserve"> skargi</w:t>
      </w:r>
    </w:p>
    <w:p w:rsidR="00F061A3" w:rsidRPr="00AD2D7E" w:rsidRDefault="00292BD0" w:rsidP="00F061A3">
      <w:pPr>
        <w:pStyle w:val="JuH1"/>
        <w:rPr>
          <w:lang w:val="pl-PL"/>
        </w:rPr>
      </w:pPr>
      <w:r>
        <w:rPr>
          <w:lang w:val="pl-PL"/>
        </w:rPr>
        <w:t>Spełnienie zasady</w:t>
      </w:r>
      <w:r w:rsidR="00AD7796">
        <w:rPr>
          <w:lang w:val="pl-PL"/>
        </w:rPr>
        <w:t xml:space="preserve"> </w:t>
      </w:r>
      <w:r w:rsidR="00E96187" w:rsidRPr="00016944">
        <w:rPr>
          <w:lang w:val="pl-PL"/>
        </w:rPr>
        <w:t>sześciu</w:t>
      </w:r>
      <w:r w:rsidR="00AD7796">
        <w:rPr>
          <w:lang w:val="pl-PL"/>
        </w:rPr>
        <w:t xml:space="preserve"> </w:t>
      </w:r>
      <w:r w:rsidR="00E96187" w:rsidRPr="00016944">
        <w:rPr>
          <w:lang w:val="pl-PL"/>
        </w:rPr>
        <w:t>miesięcy</w:t>
      </w:r>
    </w:p>
    <w:p w:rsidR="00F061A3" w:rsidRPr="00AD2D7E" w:rsidRDefault="00F061A3" w:rsidP="00F061A3">
      <w:pPr>
        <w:pStyle w:val="JuPara"/>
        <w:rPr>
          <w:i/>
          <w:lang w:val="pl-PL"/>
        </w:rPr>
      </w:pPr>
    </w:p>
    <w:p w:rsidR="00F061A3" w:rsidRPr="00E96187" w:rsidRDefault="003001A7" w:rsidP="00F061A3">
      <w:pPr>
        <w:pStyle w:val="JuPara"/>
        <w:rPr>
          <w:lang w:val="pl-PL"/>
        </w:rPr>
      </w:pPr>
      <w:r>
        <w:fldChar w:fldCharType="begin"/>
      </w:r>
      <w:r w:rsidR="00F061A3" w:rsidRPr="00AD2D7E">
        <w:rPr>
          <w:lang w:val="pl-PL"/>
        </w:rPr>
        <w:instrText xml:space="preserve"> SEQ level0 \*arabic </w:instrText>
      </w:r>
      <w:r>
        <w:fldChar w:fldCharType="separate"/>
      </w:r>
      <w:r w:rsidR="004E0BEB">
        <w:rPr>
          <w:noProof/>
          <w:lang w:val="pl-PL"/>
        </w:rPr>
        <w:t>114</w:t>
      </w:r>
      <w:r>
        <w:fldChar w:fldCharType="end"/>
      </w:r>
      <w:r w:rsidR="00F061A3" w:rsidRPr="00AD2D7E">
        <w:rPr>
          <w:lang w:val="pl-PL"/>
        </w:rPr>
        <w:t>.  </w:t>
      </w:r>
      <w:r w:rsidR="00E96187" w:rsidRPr="00E96187">
        <w:rPr>
          <w:lang w:val="pl-PL"/>
        </w:rPr>
        <w:t>W prz</w:t>
      </w:r>
      <w:r w:rsidR="00E96187">
        <w:rPr>
          <w:lang w:val="pl-PL"/>
        </w:rPr>
        <w:t>e</w:t>
      </w:r>
      <w:r w:rsidR="00E96187" w:rsidRPr="00E96187">
        <w:rPr>
          <w:lang w:val="pl-PL"/>
        </w:rPr>
        <w:t>dmiotowej sprawie Trybunał zauważa, że w w</w:t>
      </w:r>
      <w:r w:rsidR="00E96187">
        <w:rPr>
          <w:lang w:val="pl-PL"/>
        </w:rPr>
        <w:t>ydanych w czasie postępowania pr</w:t>
      </w:r>
      <w:r w:rsidR="003330EE">
        <w:rPr>
          <w:lang w:val="pl-PL"/>
        </w:rPr>
        <w:t xml:space="preserve">owadzonego w sprawie </w:t>
      </w:r>
      <w:r w:rsidR="00E96187">
        <w:rPr>
          <w:lang w:val="pl-PL"/>
        </w:rPr>
        <w:t>przemocy</w:t>
      </w:r>
      <w:r w:rsidR="003330EE">
        <w:rPr>
          <w:lang w:val="pl-PL"/>
        </w:rPr>
        <w:t xml:space="preserve"> policji wykazano, że trwające</w:t>
      </w:r>
      <w:r w:rsidR="00016944">
        <w:rPr>
          <w:lang w:val="pl-PL"/>
        </w:rPr>
        <w:t xml:space="preserve"> do 31 sierpnia 2003 roku pozbawienie wolności skarżących nie podlegało kontroli sądowej (zob. punkty 24 i 31 powyżej). Tak więc, wziąwszy pod uwagę, że niniejsza skarga została wniesiona w dniu 14 stycznia 2005 roku, to </w:t>
      </w:r>
      <w:r w:rsidR="003330EE">
        <w:rPr>
          <w:lang w:val="pl-PL"/>
        </w:rPr>
        <w:t xml:space="preserve">jest </w:t>
      </w:r>
      <w:r w:rsidR="00016944">
        <w:rPr>
          <w:lang w:val="pl-PL"/>
        </w:rPr>
        <w:t xml:space="preserve">ponad rok i pięć miesięcy po zaskarżonym pozbawieniu wolności pojawia się pytanie czy zasada sześciu miesięcy </w:t>
      </w:r>
      <w:r w:rsidR="003330EE">
        <w:rPr>
          <w:lang w:val="pl-PL"/>
        </w:rPr>
        <w:t>jest</w:t>
      </w:r>
      <w:r w:rsidR="00016944">
        <w:rPr>
          <w:lang w:val="pl-PL"/>
        </w:rPr>
        <w:t xml:space="preserve"> przestrzegana.   </w:t>
      </w:r>
    </w:p>
    <w:p w:rsidR="00F061A3" w:rsidRPr="00C93E43" w:rsidRDefault="003001A7" w:rsidP="00C93E43">
      <w:pPr>
        <w:pStyle w:val="JuPara"/>
        <w:rPr>
          <w:lang w:val="pl-PL"/>
        </w:rPr>
      </w:pPr>
      <w:r>
        <w:fldChar w:fldCharType="begin"/>
      </w:r>
      <w:r w:rsidR="00F061A3" w:rsidRPr="00AD2D7E">
        <w:rPr>
          <w:lang w:val="pl-PL"/>
        </w:rPr>
        <w:instrText xml:space="preserve"> SEQ level0 \*arabic </w:instrText>
      </w:r>
      <w:r>
        <w:fldChar w:fldCharType="separate"/>
      </w:r>
      <w:r w:rsidR="004E0BEB">
        <w:rPr>
          <w:noProof/>
          <w:lang w:val="pl-PL"/>
        </w:rPr>
        <w:t>115</w:t>
      </w:r>
      <w:r>
        <w:fldChar w:fldCharType="end"/>
      </w:r>
      <w:r w:rsidR="00F061A3" w:rsidRPr="00AD2D7E">
        <w:rPr>
          <w:lang w:val="pl-PL"/>
        </w:rPr>
        <w:t>. </w:t>
      </w:r>
      <w:r w:rsidR="00016944" w:rsidRPr="00016944">
        <w:rPr>
          <w:lang w:val="pl-PL"/>
        </w:rPr>
        <w:t>Trybu</w:t>
      </w:r>
      <w:r w:rsidR="00016944">
        <w:rPr>
          <w:lang w:val="pl-PL"/>
        </w:rPr>
        <w:t>nał przypomina w tym kontekście, że</w:t>
      </w:r>
      <w:r w:rsidR="003063E1">
        <w:rPr>
          <w:lang w:val="pl-PL"/>
        </w:rPr>
        <w:t xml:space="preserve"> </w:t>
      </w:r>
      <w:r w:rsidR="00A365A7">
        <w:rPr>
          <w:lang w:val="pl-PL"/>
        </w:rPr>
        <w:t>nie</w:t>
      </w:r>
      <w:r w:rsidR="00C93E43">
        <w:rPr>
          <w:lang w:val="pl-PL"/>
        </w:rPr>
        <w:t xml:space="preserve">podniesienie </w:t>
      </w:r>
      <w:r w:rsidR="00C93E43" w:rsidRPr="00016944">
        <w:rPr>
          <w:lang w:val="pl-PL"/>
        </w:rPr>
        <w:t xml:space="preserve">zarzutu </w:t>
      </w:r>
      <w:r w:rsidR="00C93E43">
        <w:rPr>
          <w:lang w:val="pl-PL"/>
        </w:rPr>
        <w:t xml:space="preserve">wstępnego na podstawie </w:t>
      </w:r>
      <w:r w:rsidR="00C93E43" w:rsidRPr="00016944">
        <w:rPr>
          <w:lang w:val="pl-PL"/>
        </w:rPr>
        <w:t>zasady</w:t>
      </w:r>
      <w:r w:rsidR="00C93E43">
        <w:rPr>
          <w:lang w:val="pl-PL"/>
        </w:rPr>
        <w:t xml:space="preserve"> sześciu miesięcy</w:t>
      </w:r>
      <w:r w:rsidR="003063E1">
        <w:rPr>
          <w:lang w:val="pl-PL"/>
        </w:rPr>
        <w:t xml:space="preserve"> </w:t>
      </w:r>
      <w:r w:rsidR="00C93E43">
        <w:rPr>
          <w:lang w:val="pl-PL"/>
        </w:rPr>
        <w:t xml:space="preserve">przez </w:t>
      </w:r>
      <w:r w:rsidR="00016944" w:rsidRPr="00016944">
        <w:rPr>
          <w:lang w:val="pl-PL"/>
        </w:rPr>
        <w:t>pozwany Rząd</w:t>
      </w:r>
      <w:r w:rsidR="00C93E43">
        <w:rPr>
          <w:lang w:val="pl-PL"/>
        </w:rPr>
        <w:t xml:space="preserve"> nie zwalnia Trybunału z obowiązku rozpatrzenia z urzędu </w:t>
      </w:r>
      <w:r w:rsidR="003330EE">
        <w:rPr>
          <w:lang w:val="pl-PL"/>
        </w:rPr>
        <w:t>czy skarżący spełnili ten wymóg</w:t>
      </w:r>
      <w:r w:rsidR="00F061A3" w:rsidRPr="00C93E43">
        <w:rPr>
          <w:lang w:val="pl-PL"/>
        </w:rPr>
        <w:t xml:space="preserve"> (</w:t>
      </w:r>
      <w:r w:rsidR="00F061A3" w:rsidRPr="00C93E43">
        <w:rPr>
          <w:i/>
          <w:lang w:val="pl-PL"/>
        </w:rPr>
        <w:t>Walker</w:t>
      </w:r>
      <w:r w:rsidR="00F33D63">
        <w:rPr>
          <w:i/>
          <w:lang w:val="pl-PL"/>
        </w:rPr>
        <w:t xml:space="preserve"> </w:t>
      </w:r>
      <w:r w:rsidR="00C93E43">
        <w:rPr>
          <w:i/>
          <w:lang w:val="pl-PL"/>
        </w:rPr>
        <w:t>p. Zjednoczonemu Królestwu</w:t>
      </w:r>
      <w:r w:rsidR="00C93E43">
        <w:rPr>
          <w:lang w:val="pl-PL"/>
        </w:rPr>
        <w:t xml:space="preserve"> (post.), nr</w:t>
      </w:r>
      <w:r w:rsidR="00F061A3" w:rsidRPr="00C93E43">
        <w:rPr>
          <w:lang w:val="pl-PL"/>
        </w:rPr>
        <w:t xml:space="preserve"> 34979/97, </w:t>
      </w:r>
      <w:r w:rsidR="00C93E43">
        <w:rPr>
          <w:lang w:val="pl-PL"/>
        </w:rPr>
        <w:t>ETPC</w:t>
      </w:r>
      <w:r w:rsidR="00F061A3" w:rsidRPr="00C93E43">
        <w:rPr>
          <w:lang w:val="pl-PL"/>
        </w:rPr>
        <w:t xml:space="preserve"> 2000-I).</w:t>
      </w:r>
    </w:p>
    <w:p w:rsidR="00F061A3" w:rsidRDefault="00C93E43" w:rsidP="00A365A7">
      <w:pPr>
        <w:pStyle w:val="Default"/>
        <w:ind w:firstLine="284"/>
        <w:jc w:val="both"/>
      </w:pPr>
      <w:r w:rsidRPr="00C93E43">
        <w:t xml:space="preserve">Nadto </w:t>
      </w:r>
      <w:r w:rsidR="0041514C" w:rsidRPr="00C93E43">
        <w:t>Trybunał</w:t>
      </w:r>
      <w:r w:rsidRPr="00C93E43">
        <w:t xml:space="preserve"> przypomina, że</w:t>
      </w:r>
      <w:r w:rsidR="003063E1">
        <w:t xml:space="preserve"> </w:t>
      </w:r>
      <w:r w:rsidRPr="00C93E43">
        <w:t>termin sześciu miesięcy biegnie począwszy od wydania prawomocnego postanowienia</w:t>
      </w:r>
      <w:r w:rsidR="00F33D63">
        <w:t xml:space="preserve"> </w:t>
      </w:r>
      <w:r w:rsidR="0041514C">
        <w:t>w ramach procesu wyczerpania krajowych środków odwoławczych. Zainteresowana osoba musi wykorzystać krajowe środki odwoławcze, które mogą się okazać skuteczne i wystarczające do rozwiązania jego sprawy</w:t>
      </w:r>
      <w:r w:rsidR="00AD7796">
        <w:t xml:space="preserve"> </w:t>
      </w:r>
      <w:r w:rsidR="00F061A3" w:rsidRPr="00C93E43">
        <w:t>(</w:t>
      </w:r>
      <w:proofErr w:type="spellStart"/>
      <w:r w:rsidR="00F061A3" w:rsidRPr="00C93E43">
        <w:rPr>
          <w:i/>
        </w:rPr>
        <w:t>Moreira</w:t>
      </w:r>
      <w:proofErr w:type="spellEnd"/>
      <w:r w:rsidR="00AD7796">
        <w:rPr>
          <w:i/>
        </w:rPr>
        <w:t xml:space="preserve"> </w:t>
      </w:r>
      <w:proofErr w:type="spellStart"/>
      <w:r w:rsidR="00F061A3" w:rsidRPr="00C93E43">
        <w:rPr>
          <w:i/>
        </w:rPr>
        <w:t>Barbarosa</w:t>
      </w:r>
      <w:proofErr w:type="spellEnd"/>
      <w:r w:rsidR="00AD7796">
        <w:rPr>
          <w:i/>
        </w:rPr>
        <w:t xml:space="preserve"> </w:t>
      </w:r>
      <w:r w:rsidR="0041514C">
        <w:rPr>
          <w:i/>
        </w:rPr>
        <w:t xml:space="preserve">p. </w:t>
      </w:r>
      <w:r w:rsidR="000540F7">
        <w:rPr>
          <w:i/>
        </w:rPr>
        <w:t xml:space="preserve">Portugalii </w:t>
      </w:r>
      <w:r w:rsidR="000540F7" w:rsidRPr="00C93E43">
        <w:rPr>
          <w:i/>
        </w:rPr>
        <w:t>(post</w:t>
      </w:r>
      <w:r w:rsidR="0041514C">
        <w:t>.), nr</w:t>
      </w:r>
      <w:r w:rsidR="00F061A3" w:rsidRPr="00C93E43">
        <w:t xml:space="preserve"> 65681/01, </w:t>
      </w:r>
      <w:r w:rsidR="0041514C">
        <w:t>dn. 29 kwietnia</w:t>
      </w:r>
      <w:r w:rsidR="00F061A3" w:rsidRPr="00C93E43">
        <w:t xml:space="preserve"> 2004</w:t>
      </w:r>
      <w:r w:rsidR="0041514C">
        <w:t xml:space="preserve"> r.</w:t>
      </w:r>
      <w:r w:rsidR="00F061A3" w:rsidRPr="00C93E43">
        <w:t xml:space="preserve">). </w:t>
      </w:r>
      <w:r w:rsidR="0041514C" w:rsidRPr="000540F7">
        <w:t xml:space="preserve">Pod uwagę mogą być brane środki zwyczajne i skuteczne, jako że skarżący nie może wydłużyć sztywnego terminu nałożonego przez Konwencję poprzez składanie nieodpowiednich lub mylnych wniosków do organów lub instytucji, które nie mają mocy ani kompetencji do zapewnienia faktycznego zadośćuczynienia w przypadku skargi dotyczącej Konwencji </w:t>
      </w:r>
      <w:r w:rsidR="00F061A3" w:rsidRPr="00FE7BA3">
        <w:t>(</w:t>
      </w:r>
      <w:proofErr w:type="spellStart"/>
      <w:r w:rsidR="00F061A3" w:rsidRPr="00FE7BA3">
        <w:rPr>
          <w:i/>
        </w:rPr>
        <w:t>Fernie</w:t>
      </w:r>
      <w:proofErr w:type="spellEnd"/>
      <w:r w:rsidR="00AD7796">
        <w:rPr>
          <w:i/>
        </w:rPr>
        <w:t xml:space="preserve"> </w:t>
      </w:r>
      <w:r w:rsidR="000540F7">
        <w:rPr>
          <w:i/>
        </w:rPr>
        <w:t>p. Zjednoczonemu Królestwu</w:t>
      </w:r>
      <w:r w:rsidR="000540F7">
        <w:t xml:space="preserve"> (post.), nr</w:t>
      </w:r>
      <w:r w:rsidR="00F061A3" w:rsidRPr="00FE7BA3">
        <w:t xml:space="preserve"> 14881/04, </w:t>
      </w:r>
      <w:r w:rsidR="000540F7">
        <w:t xml:space="preserve">dn. </w:t>
      </w:r>
      <w:r w:rsidR="00F061A3" w:rsidRPr="00FE7BA3">
        <w:t xml:space="preserve">5 </w:t>
      </w:r>
      <w:r w:rsidR="000540F7">
        <w:t xml:space="preserve">stycznia </w:t>
      </w:r>
      <w:r w:rsidR="00F061A3" w:rsidRPr="00FE7BA3">
        <w:t>2006</w:t>
      </w:r>
      <w:r w:rsidR="000540F7">
        <w:t xml:space="preserve"> r.</w:t>
      </w:r>
      <w:r w:rsidR="00F061A3" w:rsidRPr="00FE7BA3">
        <w:t>).</w:t>
      </w:r>
    </w:p>
    <w:p w:rsidR="00F061A3" w:rsidRDefault="003001A7" w:rsidP="000540F7">
      <w:pPr>
        <w:pStyle w:val="Default"/>
        <w:jc w:val="both"/>
      </w:pPr>
      <w:r>
        <w:fldChar w:fldCharType="begin"/>
      </w:r>
      <w:r w:rsidR="00F061A3">
        <w:instrText xml:space="preserve"> SEQ level0 \*arabic </w:instrText>
      </w:r>
      <w:r>
        <w:fldChar w:fldCharType="separate"/>
      </w:r>
      <w:r w:rsidR="004E0BEB">
        <w:rPr>
          <w:noProof/>
        </w:rPr>
        <w:t>116</w:t>
      </w:r>
      <w:r>
        <w:fldChar w:fldCharType="end"/>
      </w:r>
      <w:r w:rsidR="00F061A3">
        <w:t>. </w:t>
      </w:r>
      <w:r w:rsidR="000540F7" w:rsidRPr="000540F7">
        <w:t>Jeżeli od samego początku jest oczywiste, że skarżący nie dysponuje skutecznym środkiem odwoławczym, termin sześciu miesięcy biegnie od dnia, w którym zdarzenie</w:t>
      </w:r>
      <w:r w:rsidR="000540F7">
        <w:t xml:space="preserve"> lub środek</w:t>
      </w:r>
      <w:r w:rsidR="000540F7" w:rsidRPr="000540F7">
        <w:t xml:space="preserve"> będące przedmiotem skargi miało miejsce</w:t>
      </w:r>
      <w:r w:rsidR="00FB0095">
        <w:t>,</w:t>
      </w:r>
      <w:r w:rsidR="000540F7" w:rsidRPr="000540F7">
        <w:t xml:space="preserve"> lub od dnia, w którym skarżący uzyskał wiedzę na </w:t>
      </w:r>
      <w:r w:rsidR="000540F7">
        <w:t>ich</w:t>
      </w:r>
      <w:r w:rsidR="000540F7" w:rsidRPr="000540F7">
        <w:t xml:space="preserve"> temat bądź </w:t>
      </w:r>
      <w:r w:rsidR="000540F7">
        <w:t>odczuwa ich</w:t>
      </w:r>
      <w:r w:rsidR="003063E1">
        <w:t xml:space="preserve"> </w:t>
      </w:r>
      <w:r w:rsidR="000540F7">
        <w:t>skutki lub szkodę</w:t>
      </w:r>
      <w:r w:rsidR="00F061A3" w:rsidRPr="00FE7BA3">
        <w:t xml:space="preserve"> (</w:t>
      </w:r>
      <w:proofErr w:type="spellStart"/>
      <w:r w:rsidR="00F061A3" w:rsidRPr="00FE7BA3">
        <w:rPr>
          <w:i/>
        </w:rPr>
        <w:t>Dennis</w:t>
      </w:r>
      <w:proofErr w:type="spellEnd"/>
      <w:r w:rsidR="00C11813">
        <w:rPr>
          <w:i/>
        </w:rPr>
        <w:t xml:space="preserve"> </w:t>
      </w:r>
      <w:r w:rsidR="000540F7">
        <w:rPr>
          <w:i/>
        </w:rPr>
        <w:t>i inni p. Zjednoczonemu Królestwu</w:t>
      </w:r>
      <w:r w:rsidR="00AD7796">
        <w:rPr>
          <w:i/>
        </w:rPr>
        <w:t xml:space="preserve"> </w:t>
      </w:r>
      <w:r w:rsidR="000540F7">
        <w:t>(post.), nr</w:t>
      </w:r>
      <w:r w:rsidR="00F061A3" w:rsidRPr="00FE7BA3">
        <w:t xml:space="preserve"> 76573/01, </w:t>
      </w:r>
      <w:r w:rsidR="000540F7">
        <w:t>dn. 2 lipca</w:t>
      </w:r>
      <w:r w:rsidR="00F061A3" w:rsidRPr="00FE7BA3">
        <w:t xml:space="preserve"> 2002</w:t>
      </w:r>
      <w:r w:rsidR="000540F7">
        <w:t xml:space="preserve"> r.</w:t>
      </w:r>
      <w:r w:rsidR="00F061A3" w:rsidRPr="00FE7BA3">
        <w:t>).</w:t>
      </w:r>
    </w:p>
    <w:p w:rsidR="00F061A3" w:rsidRPr="008853D7" w:rsidRDefault="003001A7" w:rsidP="00F061A3">
      <w:pPr>
        <w:pStyle w:val="JuPara"/>
        <w:rPr>
          <w:lang w:val="pl-PL"/>
        </w:rPr>
      </w:pPr>
      <w:r>
        <w:fldChar w:fldCharType="begin"/>
      </w:r>
      <w:r w:rsidR="00F061A3" w:rsidRPr="00AD2D7E">
        <w:rPr>
          <w:lang w:val="pl-PL"/>
        </w:rPr>
        <w:instrText xml:space="preserve"> SEQ level0 \*arabic </w:instrText>
      </w:r>
      <w:r>
        <w:fldChar w:fldCharType="separate"/>
      </w:r>
      <w:r w:rsidR="004E0BEB">
        <w:rPr>
          <w:noProof/>
          <w:lang w:val="pl-PL"/>
        </w:rPr>
        <w:t>117</w:t>
      </w:r>
      <w:r>
        <w:fldChar w:fldCharType="end"/>
      </w:r>
      <w:r w:rsidR="00F061A3" w:rsidRPr="00AD2D7E">
        <w:rPr>
          <w:lang w:val="pl-PL"/>
        </w:rPr>
        <w:t>.  </w:t>
      </w:r>
      <w:r w:rsidR="008853D7" w:rsidRPr="008853D7">
        <w:rPr>
          <w:lang w:val="pl-PL"/>
        </w:rPr>
        <w:t xml:space="preserve">Trybunał zauważa, że </w:t>
      </w:r>
      <w:r w:rsidR="00825D24">
        <w:rPr>
          <w:lang w:val="pl-PL"/>
        </w:rPr>
        <w:t xml:space="preserve">rozstrzygnięcie w przedmiotowej sprawie władz krajowych, iż pozbawienie </w:t>
      </w:r>
      <w:r w:rsidR="003330EE">
        <w:rPr>
          <w:lang w:val="pl-PL"/>
        </w:rPr>
        <w:t>wolności</w:t>
      </w:r>
      <w:r w:rsidR="00825D24">
        <w:rPr>
          <w:lang w:val="pl-PL"/>
        </w:rPr>
        <w:t xml:space="preserve"> skarżących nie podlegało </w:t>
      </w:r>
      <w:r w:rsidR="00825D24">
        <w:rPr>
          <w:lang w:val="pl-PL"/>
        </w:rPr>
        <w:lastRenderedPageBreak/>
        <w:t xml:space="preserve">kontroli sądowej było oparte na uchwale podjętej przez Sąd Najwyższy w dniu 21 czerwca 1995 roku. Trybunał zauważa, że w tej samej uchwale Sąd Najwyższy stwierdził, że w przypadku popełnienia nadużyć prawa wobec osoby czasowo pozbawionej swobody dysponowania swoją wolnością z powodu </w:t>
      </w:r>
      <w:r w:rsidR="00861722">
        <w:rPr>
          <w:lang w:val="pl-PL"/>
        </w:rPr>
        <w:t>nie</w:t>
      </w:r>
      <w:r w:rsidR="00825D24">
        <w:rPr>
          <w:lang w:val="pl-PL"/>
        </w:rPr>
        <w:t>podlegającego kontroli sądowej doprowadzenia</w:t>
      </w:r>
      <w:r w:rsidR="00861722">
        <w:rPr>
          <w:lang w:val="pl-PL"/>
        </w:rPr>
        <w:t>,</w:t>
      </w:r>
      <w:r w:rsidR="00D3593E">
        <w:rPr>
          <w:lang w:val="pl-PL"/>
        </w:rPr>
        <w:t xml:space="preserve"> poszkodowany może złożyć </w:t>
      </w:r>
      <w:r w:rsidR="00A467B6">
        <w:rPr>
          <w:lang w:val="pl-PL"/>
        </w:rPr>
        <w:t>skargę mającą</w:t>
      </w:r>
      <w:r w:rsidR="00861722">
        <w:rPr>
          <w:lang w:val="pl-PL"/>
        </w:rPr>
        <w:t xml:space="preserve"> na celu pociągnięcie winnego funkcjonariusza do odpowiedzialności karnej, dyscyplinarnej lub cywilnej za czyn niedozwolony.</w:t>
      </w:r>
    </w:p>
    <w:p w:rsidR="00F061A3" w:rsidRPr="00D3593E" w:rsidRDefault="003001A7" w:rsidP="00F061A3">
      <w:pPr>
        <w:pStyle w:val="JuPara"/>
        <w:rPr>
          <w:lang w:val="pl-PL"/>
        </w:rPr>
      </w:pPr>
      <w:r>
        <w:fldChar w:fldCharType="begin"/>
      </w:r>
      <w:r w:rsidR="00F061A3" w:rsidRPr="00825D24">
        <w:rPr>
          <w:lang w:val="pl-PL"/>
        </w:rPr>
        <w:instrText xml:space="preserve"> SEQ level0 \*arabic </w:instrText>
      </w:r>
      <w:r>
        <w:fldChar w:fldCharType="separate"/>
      </w:r>
      <w:r w:rsidR="004E0BEB">
        <w:rPr>
          <w:noProof/>
          <w:lang w:val="pl-PL"/>
        </w:rPr>
        <w:t>118</w:t>
      </w:r>
      <w:r>
        <w:fldChar w:fldCharType="end"/>
      </w:r>
      <w:r w:rsidR="00F061A3" w:rsidRPr="00825D24">
        <w:rPr>
          <w:lang w:val="pl-PL"/>
        </w:rPr>
        <w:t>.  </w:t>
      </w:r>
      <w:r w:rsidR="00D3593E" w:rsidRPr="00D3593E">
        <w:rPr>
          <w:lang w:val="pl-PL"/>
        </w:rPr>
        <w:t>W przedmiotowej sprawie, odpowiednio jedenaście i siedemnaście dni po zwolnieniu</w:t>
      </w:r>
      <w:r w:rsidR="00D3593E">
        <w:rPr>
          <w:lang w:val="pl-PL"/>
        </w:rPr>
        <w:t xml:space="preserve"> skarżący, zgodnie z wyżej przytoczonym orzecznictwem Sądu Najwyższego, złożyli </w:t>
      </w:r>
      <w:r w:rsidR="00A467B6">
        <w:rPr>
          <w:lang w:val="pl-PL"/>
        </w:rPr>
        <w:t>skargę na działania</w:t>
      </w:r>
      <w:r w:rsidR="00D3593E">
        <w:rPr>
          <w:lang w:val="pl-PL"/>
        </w:rPr>
        <w:t xml:space="preserve"> funkcjonariuszy</w:t>
      </w:r>
      <w:r w:rsidR="00A467B6">
        <w:rPr>
          <w:lang w:val="pl-PL"/>
        </w:rPr>
        <w:t>, w której podnieśli zarzut niezgodnego z prawem pozbawienia wolności. W postanowieniu z dnia 10 marca 2004 roku, będącym odp</w:t>
      </w:r>
      <w:r w:rsidR="00070819">
        <w:rPr>
          <w:lang w:val="pl-PL"/>
        </w:rPr>
        <w:t xml:space="preserve">owiedzią na ten zarzut, Prokurator Rejonowy w Ostródzie stwierdził, że zaskarżone pozbawienie wolności odbyło się zgodnie z prawem. Postanowienie prokuratora w tym zakresie zostało utrzymane w mocy w dniu 15 października 2004 roku przez Sąd Okręgowy w Ostródzie. Natomiast niniejsza skarga została wniesiona do Trybunału po około czterech miesiącach od wydania postanowienia przez sąd rejonowy. </w:t>
      </w:r>
    </w:p>
    <w:p w:rsidR="00F061A3" w:rsidRPr="00070819" w:rsidRDefault="003001A7" w:rsidP="00F061A3">
      <w:pPr>
        <w:pStyle w:val="JuPara"/>
        <w:rPr>
          <w:lang w:val="pl-PL"/>
        </w:rPr>
      </w:pPr>
      <w:r>
        <w:fldChar w:fldCharType="begin"/>
      </w:r>
      <w:r w:rsidR="00F061A3" w:rsidRPr="00070819">
        <w:rPr>
          <w:lang w:val="pl-PL"/>
        </w:rPr>
        <w:instrText xml:space="preserve"> SEQ level0 \*arabic </w:instrText>
      </w:r>
      <w:r>
        <w:fldChar w:fldCharType="separate"/>
      </w:r>
      <w:r w:rsidR="004E0BEB">
        <w:rPr>
          <w:noProof/>
          <w:lang w:val="pl-PL"/>
        </w:rPr>
        <w:t>119</w:t>
      </w:r>
      <w:r>
        <w:fldChar w:fldCharType="end"/>
      </w:r>
      <w:r w:rsidR="00F061A3" w:rsidRPr="00070819">
        <w:rPr>
          <w:lang w:val="pl-PL"/>
        </w:rPr>
        <w:t>.  </w:t>
      </w:r>
      <w:r w:rsidR="00070819">
        <w:rPr>
          <w:lang w:val="pl-PL"/>
        </w:rPr>
        <w:t xml:space="preserve">Wziąwszy powyższe </w:t>
      </w:r>
      <w:r w:rsidR="001A50BE">
        <w:rPr>
          <w:lang w:val="pl-PL"/>
        </w:rPr>
        <w:t>pod uwagę, Trybunał sądzi</w:t>
      </w:r>
      <w:r w:rsidR="00070819">
        <w:rPr>
          <w:lang w:val="pl-PL"/>
        </w:rPr>
        <w:t>, że w szczególnych okolicznościach przedmiotowej sprawy nie można zarzucić skarżącym</w:t>
      </w:r>
      <w:r w:rsidR="009F6360">
        <w:rPr>
          <w:lang w:val="pl-PL"/>
        </w:rPr>
        <w:t>, że wnieśli, przed wniesieniem sprawy do Trybunału, odwołanie, które zgodnie z orzecznictwem krajowego sądu najwyższej instancji</w:t>
      </w:r>
      <w:r w:rsidR="003063E1">
        <w:rPr>
          <w:lang w:val="pl-PL"/>
        </w:rPr>
        <w:t xml:space="preserve"> </w:t>
      </w:r>
      <w:r w:rsidR="006E75CE">
        <w:rPr>
          <w:lang w:val="pl-PL"/>
        </w:rPr>
        <w:t>stanowi</w:t>
      </w:r>
      <w:r w:rsidR="009F6360">
        <w:rPr>
          <w:lang w:val="pl-PL"/>
        </w:rPr>
        <w:t xml:space="preserve"> jedyn</w:t>
      </w:r>
      <w:r w:rsidR="006E75CE">
        <w:rPr>
          <w:lang w:val="pl-PL"/>
        </w:rPr>
        <w:t>y</w:t>
      </w:r>
      <w:r w:rsidR="009F6360">
        <w:rPr>
          <w:lang w:val="pl-PL"/>
        </w:rPr>
        <w:t xml:space="preserve"> sposób </w:t>
      </w:r>
      <w:r w:rsidR="006E75CE">
        <w:rPr>
          <w:lang w:val="pl-PL"/>
        </w:rPr>
        <w:t>zawiadomienia krajowych władz o niezgodnym z prawem pozbawieniem wolności</w:t>
      </w:r>
      <w:r w:rsidR="00F061A3" w:rsidRPr="00070819">
        <w:rPr>
          <w:lang w:val="pl-PL"/>
        </w:rPr>
        <w:t xml:space="preserve"> (</w:t>
      </w:r>
      <w:r w:rsidR="006E75CE">
        <w:rPr>
          <w:lang w:val="pl-PL"/>
        </w:rPr>
        <w:t>zob. analogicznie</w:t>
      </w:r>
      <w:r w:rsidR="00AD7796">
        <w:rPr>
          <w:lang w:val="pl-PL"/>
        </w:rPr>
        <w:t xml:space="preserve"> </w:t>
      </w:r>
      <w:proofErr w:type="spellStart"/>
      <w:r w:rsidR="00F061A3" w:rsidRPr="00070819">
        <w:rPr>
          <w:i/>
          <w:lang w:val="pl-PL"/>
        </w:rPr>
        <w:t>Ahtinen</w:t>
      </w:r>
      <w:proofErr w:type="spellEnd"/>
      <w:r w:rsidR="003063E1">
        <w:rPr>
          <w:i/>
          <w:lang w:val="pl-PL"/>
        </w:rPr>
        <w:t xml:space="preserve"> </w:t>
      </w:r>
      <w:r w:rsidR="006E75CE">
        <w:rPr>
          <w:i/>
          <w:lang w:val="pl-PL"/>
        </w:rPr>
        <w:t>p. Finlandii</w:t>
      </w:r>
      <w:r w:rsidR="006E75CE">
        <w:rPr>
          <w:lang w:val="pl-PL"/>
        </w:rPr>
        <w:t xml:space="preserve"> (post.), nr</w:t>
      </w:r>
      <w:r w:rsidR="00F061A3" w:rsidRPr="00070819">
        <w:rPr>
          <w:lang w:val="pl-PL"/>
        </w:rPr>
        <w:t xml:space="preserve"> 48907/99, </w:t>
      </w:r>
      <w:r w:rsidR="006E75CE">
        <w:rPr>
          <w:lang w:val="pl-PL"/>
        </w:rPr>
        <w:t>dn. 31 maja</w:t>
      </w:r>
      <w:r w:rsidR="00F061A3" w:rsidRPr="00070819">
        <w:rPr>
          <w:lang w:val="pl-PL"/>
        </w:rPr>
        <w:t xml:space="preserve"> 2005</w:t>
      </w:r>
      <w:r w:rsidR="006E75CE">
        <w:rPr>
          <w:lang w:val="pl-PL"/>
        </w:rPr>
        <w:t xml:space="preserve"> r.</w:t>
      </w:r>
      <w:r w:rsidR="00F061A3" w:rsidRPr="00070819">
        <w:rPr>
          <w:lang w:val="pl-PL"/>
        </w:rPr>
        <w:t>).</w:t>
      </w:r>
    </w:p>
    <w:p w:rsidR="00F061A3" w:rsidRPr="006E75CE" w:rsidRDefault="003001A7" w:rsidP="00F061A3">
      <w:pPr>
        <w:pStyle w:val="JuPara"/>
        <w:rPr>
          <w:lang w:val="pl-PL"/>
        </w:rPr>
      </w:pPr>
      <w:r>
        <w:fldChar w:fldCharType="begin"/>
      </w:r>
      <w:r w:rsidR="00F061A3" w:rsidRPr="00AD2D7E">
        <w:rPr>
          <w:lang w:val="pl-PL"/>
        </w:rPr>
        <w:instrText xml:space="preserve"> SEQ level0 \*arabic </w:instrText>
      </w:r>
      <w:r>
        <w:fldChar w:fldCharType="separate"/>
      </w:r>
      <w:r w:rsidR="004E0BEB">
        <w:rPr>
          <w:noProof/>
          <w:lang w:val="pl-PL"/>
        </w:rPr>
        <w:t>120</w:t>
      </w:r>
      <w:r>
        <w:fldChar w:fldCharType="end"/>
      </w:r>
      <w:r w:rsidR="00F061A3" w:rsidRPr="00AD2D7E">
        <w:rPr>
          <w:lang w:val="pl-PL"/>
        </w:rPr>
        <w:t>.  </w:t>
      </w:r>
      <w:r w:rsidR="006E75CE" w:rsidRPr="006E75CE">
        <w:rPr>
          <w:lang w:val="pl-PL"/>
        </w:rPr>
        <w:t xml:space="preserve">Trybunał uważa więc, że w odniesieniu do przedmiotowego zarzutu, termin sześciu miesięcy zaczął biec od dnia 15 </w:t>
      </w:r>
      <w:r w:rsidR="005108EC" w:rsidRPr="006E75CE">
        <w:rPr>
          <w:lang w:val="pl-PL"/>
        </w:rPr>
        <w:t>października</w:t>
      </w:r>
      <w:r w:rsidR="006E75CE" w:rsidRPr="006E75CE">
        <w:rPr>
          <w:lang w:val="pl-PL"/>
        </w:rPr>
        <w:t xml:space="preserve"> 2004 roku, to jest od dnia wydania postanowienia Sądu Rejonowego w Ostródzie, a co za tym idzie został przedstawiony w terminie</w:t>
      </w:r>
      <w:r w:rsidR="00F061A3" w:rsidRPr="006E75CE">
        <w:rPr>
          <w:lang w:val="pl-PL"/>
        </w:rPr>
        <w:t>.</w:t>
      </w:r>
    </w:p>
    <w:p w:rsidR="006E75CE" w:rsidRDefault="003001A7" w:rsidP="00F061A3">
      <w:pPr>
        <w:pStyle w:val="JuPara"/>
        <w:rPr>
          <w:lang w:val="pl-PL"/>
        </w:rPr>
      </w:pPr>
      <w:r>
        <w:fldChar w:fldCharType="begin"/>
      </w:r>
      <w:r w:rsidR="00F061A3" w:rsidRPr="00AD2D7E">
        <w:rPr>
          <w:lang w:val="pl-PL"/>
        </w:rPr>
        <w:instrText xml:space="preserve"> SEQ level0 \*arabic </w:instrText>
      </w:r>
      <w:r>
        <w:fldChar w:fldCharType="separate"/>
      </w:r>
      <w:r w:rsidR="004E0BEB">
        <w:rPr>
          <w:noProof/>
          <w:lang w:val="pl-PL"/>
        </w:rPr>
        <w:t>121</w:t>
      </w:r>
      <w:r>
        <w:fldChar w:fldCharType="end"/>
      </w:r>
      <w:r w:rsidR="00F061A3" w:rsidRPr="00AD2D7E">
        <w:rPr>
          <w:lang w:val="pl-PL"/>
        </w:rPr>
        <w:t>.  </w:t>
      </w:r>
      <w:r w:rsidR="006E75CE">
        <w:rPr>
          <w:lang w:val="pl-PL"/>
        </w:rPr>
        <w:t>Trybunał stwierdza, że</w:t>
      </w:r>
      <w:r w:rsidR="00AD7796">
        <w:rPr>
          <w:lang w:val="pl-PL"/>
        </w:rPr>
        <w:t xml:space="preserve"> </w:t>
      </w:r>
      <w:r w:rsidR="006E75CE">
        <w:rPr>
          <w:lang w:val="pl-PL"/>
        </w:rPr>
        <w:t>ta część skargi</w:t>
      </w:r>
      <w:r w:rsidR="006E75CE" w:rsidRPr="00DB58AE">
        <w:rPr>
          <w:lang w:val="pl-PL"/>
        </w:rPr>
        <w:t xml:space="preserve"> nie może być uznana za oczywiście nieuzasadnioną w rozumieniu artykułu 35§ 3</w:t>
      </w:r>
      <w:r w:rsidR="006E75CE">
        <w:rPr>
          <w:lang w:val="pl-PL"/>
        </w:rPr>
        <w:t xml:space="preserve"> a)</w:t>
      </w:r>
      <w:r w:rsidR="006E75CE" w:rsidRPr="00DB58AE">
        <w:rPr>
          <w:lang w:val="pl-PL"/>
        </w:rPr>
        <w:t xml:space="preserve"> Konwencji</w:t>
      </w:r>
      <w:r w:rsidR="006E75CE">
        <w:rPr>
          <w:lang w:val="pl-PL"/>
        </w:rPr>
        <w:t>.</w:t>
      </w:r>
      <w:r w:rsidR="003063E1">
        <w:rPr>
          <w:lang w:val="pl-PL"/>
        </w:rPr>
        <w:t xml:space="preserve"> </w:t>
      </w:r>
      <w:r w:rsidR="006E75CE">
        <w:rPr>
          <w:rFonts w:ascii="Times New (W1)" w:hAnsi="Times New (W1)"/>
          <w:lang w:val="pl-PL"/>
        </w:rPr>
        <w:t xml:space="preserve">Trybunał podnosi ponadto </w:t>
      </w:r>
      <w:r w:rsidR="006E75CE" w:rsidRPr="00E15DE6">
        <w:rPr>
          <w:rFonts w:ascii="Times New (W1)" w:hAnsi="Times New (W1)"/>
          <w:lang w:val="pl-PL"/>
        </w:rPr>
        <w:t xml:space="preserve">że nie jest niedopuszczalna z jakichkolwiek innych </w:t>
      </w:r>
      <w:r w:rsidR="006E75CE" w:rsidRPr="00705CC6">
        <w:rPr>
          <w:rFonts w:ascii="Times New (W1)" w:hAnsi="Times New (W1)"/>
          <w:lang w:val="pl-PL"/>
        </w:rPr>
        <w:t>przyczyn</w:t>
      </w:r>
      <w:r w:rsidR="006E75CE">
        <w:rPr>
          <w:rFonts w:ascii="Times New (W1)" w:hAnsi="Times New (W1)"/>
          <w:lang w:val="pl-PL"/>
        </w:rPr>
        <w:t xml:space="preserve">. W szczególności Rząd nie </w:t>
      </w:r>
      <w:r w:rsidR="00393EB2">
        <w:rPr>
          <w:rFonts w:ascii="Times New (W1)" w:hAnsi="Times New (W1)"/>
          <w:lang w:val="pl-PL"/>
        </w:rPr>
        <w:t>powołał się na niewyczerpanie krajowych środków odwoławczych.</w:t>
      </w:r>
      <w:r w:rsidR="003063E1">
        <w:rPr>
          <w:rFonts w:ascii="Times New (W1)" w:hAnsi="Times New (W1)"/>
          <w:lang w:val="pl-PL"/>
        </w:rPr>
        <w:t xml:space="preserve"> </w:t>
      </w:r>
      <w:r w:rsidR="00393EB2">
        <w:rPr>
          <w:rFonts w:ascii="Times New (W1)" w:hAnsi="Times New (W1)"/>
          <w:lang w:val="pl-PL"/>
        </w:rPr>
        <w:t>Należy zatem uznać</w:t>
      </w:r>
      <w:r w:rsidR="006E75CE" w:rsidRPr="00A53DF9">
        <w:rPr>
          <w:lang w:val="pl-PL"/>
        </w:rPr>
        <w:t xml:space="preserve"> ją za dopuszczalną. </w:t>
      </w:r>
    </w:p>
    <w:p w:rsidR="00F061A3" w:rsidRPr="00AD2D7E" w:rsidRDefault="00F061A3" w:rsidP="00F061A3">
      <w:pPr>
        <w:pStyle w:val="JuHA"/>
        <w:outlineLvl w:val="0"/>
        <w:rPr>
          <w:lang w:val="pl-PL"/>
        </w:rPr>
      </w:pPr>
      <w:r w:rsidRPr="00AD2D7E">
        <w:rPr>
          <w:lang w:val="pl-PL"/>
        </w:rPr>
        <w:t>B.  </w:t>
      </w:r>
      <w:r w:rsidR="00393EB2" w:rsidRPr="00393EB2">
        <w:rPr>
          <w:lang w:val="pl-PL"/>
        </w:rPr>
        <w:t>Meritum</w:t>
      </w:r>
    </w:p>
    <w:p w:rsidR="00F061A3" w:rsidRPr="00AD2D7E" w:rsidRDefault="00F061A3" w:rsidP="00F061A3">
      <w:pPr>
        <w:pStyle w:val="JuH1"/>
        <w:rPr>
          <w:lang w:val="pl-PL"/>
        </w:rPr>
      </w:pPr>
      <w:r w:rsidRPr="00AD2D7E">
        <w:rPr>
          <w:lang w:val="pl-PL"/>
        </w:rPr>
        <w:t>1.  </w:t>
      </w:r>
      <w:r w:rsidR="00393EB2" w:rsidRPr="00393EB2">
        <w:rPr>
          <w:lang w:val="pl-PL"/>
        </w:rPr>
        <w:t>Argumenty</w:t>
      </w:r>
      <w:r w:rsidR="00AD7796">
        <w:rPr>
          <w:lang w:val="pl-PL"/>
        </w:rPr>
        <w:t xml:space="preserve"> </w:t>
      </w:r>
      <w:r w:rsidR="00393EB2" w:rsidRPr="00393EB2">
        <w:rPr>
          <w:lang w:val="pl-PL"/>
        </w:rPr>
        <w:t>stron</w:t>
      </w:r>
    </w:p>
    <w:p w:rsidR="00F061A3" w:rsidRPr="00393EB2" w:rsidRDefault="003001A7" w:rsidP="00F061A3">
      <w:pPr>
        <w:pStyle w:val="JuPara"/>
        <w:tabs>
          <w:tab w:val="left" w:pos="426"/>
        </w:tabs>
        <w:rPr>
          <w:lang w:val="pl-PL"/>
        </w:rPr>
      </w:pPr>
      <w:r>
        <w:fldChar w:fldCharType="begin"/>
      </w:r>
      <w:r w:rsidR="00F061A3" w:rsidRPr="00AD2D7E">
        <w:rPr>
          <w:lang w:val="pl-PL"/>
        </w:rPr>
        <w:instrText xml:space="preserve"> SEQ level0 \*arabic </w:instrText>
      </w:r>
      <w:r>
        <w:fldChar w:fldCharType="separate"/>
      </w:r>
      <w:r w:rsidR="004E0BEB">
        <w:rPr>
          <w:noProof/>
          <w:lang w:val="pl-PL"/>
        </w:rPr>
        <w:t>122</w:t>
      </w:r>
      <w:r>
        <w:fldChar w:fldCharType="end"/>
      </w:r>
      <w:r w:rsidR="00F061A3" w:rsidRPr="00AD2D7E">
        <w:rPr>
          <w:lang w:val="pl-PL"/>
        </w:rPr>
        <w:t>.  </w:t>
      </w:r>
      <w:r w:rsidR="00393EB2" w:rsidRPr="00393EB2">
        <w:rPr>
          <w:lang w:val="pl-PL"/>
        </w:rPr>
        <w:t>R</w:t>
      </w:r>
      <w:r w:rsidR="00393EB2">
        <w:rPr>
          <w:lang w:val="pl-PL"/>
        </w:rPr>
        <w:t>ząd nie kwestionuje, że w niniejszej sprawie ma zastosowanie</w:t>
      </w:r>
      <w:r w:rsidR="00E23503">
        <w:rPr>
          <w:lang w:val="pl-PL"/>
        </w:rPr>
        <w:t xml:space="preserve"> artykuł</w:t>
      </w:r>
      <w:r w:rsidR="00393EB2" w:rsidRPr="00393EB2">
        <w:rPr>
          <w:lang w:val="pl-PL"/>
        </w:rPr>
        <w:t xml:space="preserve"> 5</w:t>
      </w:r>
      <w:r w:rsidR="00393EB2">
        <w:rPr>
          <w:lang w:val="pl-PL"/>
        </w:rPr>
        <w:t xml:space="preserve"> Konwencji. Podnosi, że bardzo krótkie, w jego ocenie pozbawienie wolności skarżących było uzasadnione z punktu widzenia </w:t>
      </w:r>
      <w:r w:rsidR="00393EB2">
        <w:rPr>
          <w:lang w:val="pl-PL"/>
        </w:rPr>
        <w:lastRenderedPageBreak/>
        <w:t>artykułu 5 Konwencji. Skarżący zostali doprowadzeni na posterunek w celu ustalenia ich tożsamości i przeprowadzenia badania na obecność alkoholu w organizmie, to znaczy niezbędnych czynności</w:t>
      </w:r>
      <w:r w:rsidR="00212B1F">
        <w:rPr>
          <w:lang w:val="pl-PL"/>
        </w:rPr>
        <w:t xml:space="preserve"> mających na celu wszczęcie wobec nich postępowania karnego.</w:t>
      </w:r>
    </w:p>
    <w:p w:rsidR="00F061A3" w:rsidRPr="00212B1F" w:rsidRDefault="003001A7" w:rsidP="00F061A3">
      <w:pPr>
        <w:pStyle w:val="JuPara"/>
        <w:tabs>
          <w:tab w:val="left" w:pos="426"/>
        </w:tabs>
        <w:rPr>
          <w:lang w:val="pl-PL"/>
        </w:rPr>
      </w:pPr>
      <w:r>
        <w:fldChar w:fldCharType="begin"/>
      </w:r>
      <w:r w:rsidR="00F061A3" w:rsidRPr="00AD2D7E">
        <w:rPr>
          <w:lang w:val="pl-PL"/>
        </w:rPr>
        <w:instrText xml:space="preserve"> SEQ level0 \*arabic </w:instrText>
      </w:r>
      <w:r>
        <w:fldChar w:fldCharType="separate"/>
      </w:r>
      <w:r w:rsidR="004E0BEB">
        <w:rPr>
          <w:noProof/>
          <w:lang w:val="pl-PL"/>
        </w:rPr>
        <w:t>123</w:t>
      </w:r>
      <w:r>
        <w:fldChar w:fldCharType="end"/>
      </w:r>
      <w:r w:rsidR="00F061A3" w:rsidRPr="00AD2D7E">
        <w:rPr>
          <w:lang w:val="pl-PL"/>
        </w:rPr>
        <w:t>.  </w:t>
      </w:r>
      <w:r w:rsidR="00212B1F" w:rsidRPr="00212B1F">
        <w:rPr>
          <w:lang w:val="pl-PL"/>
        </w:rPr>
        <w:t>Rząd zauważa, że po stwierdzeniu, że pozbawienie wolności skarżących nie nas</w:t>
      </w:r>
      <w:r w:rsidR="005C2E27">
        <w:rPr>
          <w:lang w:val="pl-PL"/>
        </w:rPr>
        <w:t xml:space="preserve">tąpiło z powodów wymienionych w </w:t>
      </w:r>
      <w:r w:rsidR="00212B1F" w:rsidRPr="00212B1F">
        <w:rPr>
          <w:lang w:val="pl-PL"/>
        </w:rPr>
        <w:t>a</w:t>
      </w:r>
      <w:r w:rsidR="005C2E27">
        <w:rPr>
          <w:lang w:val="pl-PL"/>
        </w:rPr>
        <w:t>rtykule 15 ustęp 1 punkt 3</w:t>
      </w:r>
      <w:r w:rsidR="00212B1F" w:rsidRPr="00212B1F">
        <w:rPr>
          <w:lang w:val="pl-PL"/>
        </w:rPr>
        <w:t xml:space="preserve"> ustawy o Policji, władze powołały się na uchwałę Sądu Najwyższego z dnia 21 czerwca 1995 roku (zob.</w:t>
      </w:r>
      <w:r w:rsidR="00212B1F">
        <w:rPr>
          <w:lang w:val="pl-PL"/>
        </w:rPr>
        <w:t xml:space="preserve"> punkty 63-67 powyżej). Opierając się na tym orzecznictwie władze uznały, że środek ten nie był, w rozumieniu prawa polskiego „zatrzymaniem” a to było spowodowało, że nie mogli skorzystać z proceduralnych uprawnień przyznanych „os</w:t>
      </w:r>
      <w:r w:rsidR="001C3516">
        <w:rPr>
          <w:lang w:val="pl-PL"/>
        </w:rPr>
        <w:t>obom zatrzymanym” w rozumieniu k</w:t>
      </w:r>
      <w:r w:rsidR="00212B1F">
        <w:rPr>
          <w:lang w:val="pl-PL"/>
        </w:rPr>
        <w:t>odeksu postępowania karnego, takich jak otrzymanie protokołu z zatrzymania, doręczenie uzasadnienia zastosowania tego środka oraz kontroli sądowej zgodności z prawem</w:t>
      </w:r>
      <w:r w:rsidR="00326A65">
        <w:rPr>
          <w:lang w:val="pl-PL"/>
        </w:rPr>
        <w:t xml:space="preserve"> takiego działania.</w:t>
      </w:r>
    </w:p>
    <w:p w:rsidR="00F061A3" w:rsidRPr="00326A65" w:rsidRDefault="003001A7" w:rsidP="00F061A3">
      <w:pPr>
        <w:pStyle w:val="JuPara"/>
        <w:tabs>
          <w:tab w:val="left" w:pos="426"/>
        </w:tabs>
        <w:rPr>
          <w:lang w:val="pl-PL"/>
        </w:rPr>
      </w:pPr>
      <w:r>
        <w:fldChar w:fldCharType="begin"/>
      </w:r>
      <w:r w:rsidR="00F061A3" w:rsidRPr="00AD2D7E">
        <w:rPr>
          <w:lang w:val="pl-PL"/>
        </w:rPr>
        <w:instrText xml:space="preserve"> SEQ level0 \*arabic </w:instrText>
      </w:r>
      <w:r>
        <w:fldChar w:fldCharType="separate"/>
      </w:r>
      <w:r w:rsidR="004E0BEB">
        <w:rPr>
          <w:noProof/>
          <w:lang w:val="pl-PL"/>
        </w:rPr>
        <w:t>124</w:t>
      </w:r>
      <w:r>
        <w:fldChar w:fldCharType="end"/>
      </w:r>
      <w:r w:rsidR="00F061A3" w:rsidRPr="00AD2D7E">
        <w:rPr>
          <w:lang w:val="pl-PL"/>
        </w:rPr>
        <w:t>.  </w:t>
      </w:r>
      <w:r w:rsidR="00326A65" w:rsidRPr="00326A65">
        <w:rPr>
          <w:lang w:val="pl-PL"/>
        </w:rPr>
        <w:t>Skarżący utrzymują, że pozbawienie ich wolności było niezgodne z prawem z powodu braku przesłanek zatrzymania</w:t>
      </w:r>
      <w:r w:rsidR="001C3516">
        <w:rPr>
          <w:lang w:val="pl-PL"/>
        </w:rPr>
        <w:t xml:space="preserve"> przewidzianych w artykule 244 k</w:t>
      </w:r>
      <w:r w:rsidR="00326A65" w:rsidRPr="00326A65">
        <w:rPr>
          <w:lang w:val="pl-PL"/>
        </w:rPr>
        <w:t xml:space="preserve">odeksu postępowania karnego. </w:t>
      </w:r>
      <w:r w:rsidR="00326A65">
        <w:rPr>
          <w:lang w:val="pl-PL"/>
        </w:rPr>
        <w:t xml:space="preserve">Zatrzymanie ich nastąpiło </w:t>
      </w:r>
      <w:r w:rsidR="00557781">
        <w:rPr>
          <w:lang w:val="pl-PL"/>
        </w:rPr>
        <w:t>mimo</w:t>
      </w:r>
      <w:r w:rsidR="00326A65">
        <w:rPr>
          <w:lang w:val="pl-PL"/>
        </w:rPr>
        <w:t xml:space="preserve"> braku dowodów pozwalających na podejrzen</w:t>
      </w:r>
      <w:r w:rsidR="001C3516">
        <w:rPr>
          <w:lang w:val="pl-PL"/>
        </w:rPr>
        <w:t>ie, że popełnili czyn zabroniony</w:t>
      </w:r>
      <w:r w:rsidR="00326A65">
        <w:rPr>
          <w:lang w:val="pl-PL"/>
        </w:rPr>
        <w:t xml:space="preserve"> i obawy ucieczki lub zatarci</w:t>
      </w:r>
      <w:r w:rsidR="00F02534">
        <w:rPr>
          <w:lang w:val="pl-PL"/>
        </w:rPr>
        <w:t>a przez nich śladów przestępstwa</w:t>
      </w:r>
      <w:r w:rsidR="00326A65">
        <w:rPr>
          <w:lang w:val="pl-PL"/>
        </w:rPr>
        <w:t xml:space="preserve"> czy też</w:t>
      </w:r>
      <w:r w:rsidR="00CA164A">
        <w:rPr>
          <w:lang w:val="pl-PL"/>
        </w:rPr>
        <w:t>, z powodu</w:t>
      </w:r>
      <w:r w:rsidR="00326A65">
        <w:rPr>
          <w:lang w:val="pl-PL"/>
        </w:rPr>
        <w:t xml:space="preserve"> </w:t>
      </w:r>
      <w:r w:rsidR="00CA164A">
        <w:rPr>
          <w:lang w:val="pl-PL"/>
        </w:rPr>
        <w:t>niemożności ustalenia</w:t>
      </w:r>
      <w:r w:rsidR="00326A65">
        <w:rPr>
          <w:lang w:val="pl-PL"/>
        </w:rPr>
        <w:t xml:space="preserve"> ich tożsamości. </w:t>
      </w:r>
    </w:p>
    <w:p w:rsidR="00F061A3" w:rsidRDefault="003001A7" w:rsidP="00F061A3">
      <w:pPr>
        <w:pStyle w:val="JuPara"/>
        <w:tabs>
          <w:tab w:val="left" w:pos="426"/>
        </w:tabs>
        <w:rPr>
          <w:lang w:val="pl-PL"/>
        </w:rPr>
      </w:pPr>
      <w:r>
        <w:fldChar w:fldCharType="begin"/>
      </w:r>
      <w:r w:rsidR="00F061A3" w:rsidRPr="00AD2D7E">
        <w:rPr>
          <w:lang w:val="pl-PL"/>
        </w:rPr>
        <w:instrText xml:space="preserve"> SEQ level0 \*arabic </w:instrText>
      </w:r>
      <w:r>
        <w:fldChar w:fldCharType="separate"/>
      </w:r>
      <w:r w:rsidR="004E0BEB">
        <w:rPr>
          <w:noProof/>
          <w:lang w:val="pl-PL"/>
        </w:rPr>
        <w:t>125</w:t>
      </w:r>
      <w:r>
        <w:fldChar w:fldCharType="end"/>
      </w:r>
      <w:r w:rsidR="00F061A3" w:rsidRPr="00AD2D7E">
        <w:rPr>
          <w:lang w:val="pl-PL"/>
        </w:rPr>
        <w:t>.  </w:t>
      </w:r>
      <w:r w:rsidR="003D7615" w:rsidRPr="003D7615">
        <w:rPr>
          <w:lang w:val="pl-PL"/>
        </w:rPr>
        <w:t xml:space="preserve">Skarżący podnoszą poza tym, że </w:t>
      </w:r>
      <w:r w:rsidR="006C0DD6">
        <w:rPr>
          <w:lang w:val="pl-PL"/>
        </w:rPr>
        <w:t xml:space="preserve">nie </w:t>
      </w:r>
      <w:r w:rsidR="003D7615" w:rsidRPr="003D7615">
        <w:rPr>
          <w:lang w:val="pl-PL"/>
        </w:rPr>
        <w:t>mieli możli</w:t>
      </w:r>
      <w:r w:rsidR="006C0DD6">
        <w:rPr>
          <w:lang w:val="pl-PL"/>
        </w:rPr>
        <w:t xml:space="preserve">wości uzyskania protokołu z </w:t>
      </w:r>
      <w:r w:rsidR="003D7615" w:rsidRPr="003D7615">
        <w:rPr>
          <w:lang w:val="pl-PL"/>
        </w:rPr>
        <w:t>zatrzymania oraz informacji</w:t>
      </w:r>
      <w:r w:rsidR="003D7615">
        <w:rPr>
          <w:lang w:val="pl-PL"/>
        </w:rPr>
        <w:t xml:space="preserve"> </w:t>
      </w:r>
      <w:r w:rsidR="00C054C9">
        <w:rPr>
          <w:lang w:val="pl-PL"/>
        </w:rPr>
        <w:t xml:space="preserve">o powodach zatrzymania </w:t>
      </w:r>
      <w:r w:rsidR="003D7615">
        <w:rPr>
          <w:lang w:val="pl-PL"/>
        </w:rPr>
        <w:t>co dawałoby możliwość zask</w:t>
      </w:r>
      <w:r w:rsidR="00C054C9">
        <w:rPr>
          <w:lang w:val="pl-PL"/>
        </w:rPr>
        <w:t>arżenia zastosowanego środka, a powyższe</w:t>
      </w:r>
      <w:r w:rsidR="003D7615">
        <w:rPr>
          <w:lang w:val="pl-PL"/>
        </w:rPr>
        <w:t xml:space="preserve"> stanowi naruszen</w:t>
      </w:r>
      <w:r w:rsidR="00415A74">
        <w:rPr>
          <w:lang w:val="pl-PL"/>
        </w:rPr>
        <w:t xml:space="preserve">ie prawa krajowego i </w:t>
      </w:r>
      <w:r w:rsidR="00457A84">
        <w:rPr>
          <w:lang w:val="pl-PL"/>
        </w:rPr>
        <w:t>Konwencji</w:t>
      </w:r>
      <w:r w:rsidR="003D7615">
        <w:rPr>
          <w:lang w:val="pl-PL"/>
        </w:rPr>
        <w:t xml:space="preserve">. </w:t>
      </w:r>
    </w:p>
    <w:p w:rsidR="00F061A3" w:rsidRPr="003D7615" w:rsidRDefault="00F061A3" w:rsidP="00F061A3">
      <w:pPr>
        <w:pStyle w:val="JuH1"/>
        <w:rPr>
          <w:lang w:val="pl-PL"/>
        </w:rPr>
      </w:pPr>
      <w:r w:rsidRPr="00AD2D7E">
        <w:rPr>
          <w:lang w:val="pl-PL"/>
        </w:rPr>
        <w:t>2.  </w:t>
      </w:r>
      <w:r w:rsidR="003D7615" w:rsidRPr="003D7615">
        <w:rPr>
          <w:lang w:val="pl-PL"/>
        </w:rPr>
        <w:t>Ocena Trybunału</w:t>
      </w:r>
    </w:p>
    <w:p w:rsidR="00F061A3" w:rsidRPr="003D7615" w:rsidRDefault="00F061A3" w:rsidP="00F061A3">
      <w:pPr>
        <w:pStyle w:val="JuHa0"/>
        <w:rPr>
          <w:lang w:val="pl-PL"/>
        </w:rPr>
      </w:pPr>
      <w:r w:rsidRPr="003D7615">
        <w:rPr>
          <w:lang w:val="pl-PL"/>
        </w:rPr>
        <w:t>a)  </w:t>
      </w:r>
      <w:r w:rsidR="003D7615" w:rsidRPr="003D7615">
        <w:rPr>
          <w:lang w:val="pl-PL"/>
        </w:rPr>
        <w:t>Zaistnienie pozbawienia wolności</w:t>
      </w:r>
    </w:p>
    <w:p w:rsidR="00F061A3" w:rsidRPr="003D7615" w:rsidRDefault="003001A7" w:rsidP="00F061A3">
      <w:pPr>
        <w:pStyle w:val="JuPara"/>
        <w:tabs>
          <w:tab w:val="left" w:pos="426"/>
        </w:tabs>
        <w:rPr>
          <w:lang w:val="pl-PL"/>
        </w:rPr>
      </w:pPr>
      <w:r>
        <w:fldChar w:fldCharType="begin"/>
      </w:r>
      <w:r w:rsidR="00F061A3" w:rsidRPr="00AD2D7E">
        <w:rPr>
          <w:lang w:val="pl-PL"/>
        </w:rPr>
        <w:instrText xml:space="preserve"> SEQ level0 \*arabic </w:instrText>
      </w:r>
      <w:r>
        <w:fldChar w:fldCharType="separate"/>
      </w:r>
      <w:r w:rsidR="004E0BEB">
        <w:rPr>
          <w:noProof/>
          <w:lang w:val="pl-PL"/>
        </w:rPr>
        <w:t>126</w:t>
      </w:r>
      <w:r>
        <w:fldChar w:fldCharType="end"/>
      </w:r>
      <w:r w:rsidR="00F061A3" w:rsidRPr="00AD2D7E">
        <w:rPr>
          <w:lang w:val="pl-PL"/>
        </w:rPr>
        <w:t>.  </w:t>
      </w:r>
      <w:r w:rsidR="003D7615" w:rsidRPr="003D7615">
        <w:rPr>
          <w:lang w:val="pl-PL"/>
        </w:rPr>
        <w:t>Trybunał uważa, że najpierw należy określić</w:t>
      </w:r>
      <w:r w:rsidR="003D7615">
        <w:rPr>
          <w:lang w:val="pl-PL"/>
        </w:rPr>
        <w:t xml:space="preserve"> czy skarżący zostali pozbawieni wolności w rozumieniu artykułu </w:t>
      </w:r>
      <w:r w:rsidR="00F061A3" w:rsidRPr="003D7615">
        <w:rPr>
          <w:lang w:val="pl-PL"/>
        </w:rPr>
        <w:t xml:space="preserve">5 § 1 </w:t>
      </w:r>
      <w:r w:rsidR="003D7615">
        <w:rPr>
          <w:lang w:val="pl-PL"/>
        </w:rPr>
        <w:t>Konwencji</w:t>
      </w:r>
      <w:r w:rsidR="00F061A3" w:rsidRPr="003D7615">
        <w:rPr>
          <w:lang w:val="pl-PL"/>
        </w:rPr>
        <w:t>.</w:t>
      </w:r>
    </w:p>
    <w:p w:rsidR="00F061A3" w:rsidRPr="0009059A" w:rsidRDefault="003001A7" w:rsidP="00F061A3">
      <w:pPr>
        <w:pStyle w:val="JuPara"/>
        <w:tabs>
          <w:tab w:val="left" w:pos="426"/>
        </w:tabs>
        <w:rPr>
          <w:rStyle w:val="sb8d990e2"/>
          <w:lang w:val="pl-PL"/>
        </w:rPr>
      </w:pPr>
      <w:r>
        <w:fldChar w:fldCharType="begin"/>
      </w:r>
      <w:r w:rsidR="00F061A3" w:rsidRPr="00AD2D7E">
        <w:rPr>
          <w:lang w:val="pl-PL"/>
        </w:rPr>
        <w:instrText xml:space="preserve"> SEQ level0 \*arabic </w:instrText>
      </w:r>
      <w:r>
        <w:fldChar w:fldCharType="separate"/>
      </w:r>
      <w:r w:rsidR="004E0BEB">
        <w:rPr>
          <w:noProof/>
          <w:lang w:val="pl-PL"/>
        </w:rPr>
        <w:t>127</w:t>
      </w:r>
      <w:r>
        <w:fldChar w:fldCharType="end"/>
      </w:r>
      <w:r w:rsidR="00F061A3" w:rsidRPr="00AD2D7E">
        <w:rPr>
          <w:lang w:val="pl-PL"/>
        </w:rPr>
        <w:t>.  </w:t>
      </w:r>
      <w:r w:rsidR="00A37E9C" w:rsidRPr="00A37E9C">
        <w:rPr>
          <w:lang w:val="pl-PL"/>
        </w:rPr>
        <w:t>Trybunał przypomina, że w celu określenia czy osoba j</w:t>
      </w:r>
      <w:r w:rsidR="00A37E9C">
        <w:rPr>
          <w:lang w:val="pl-PL"/>
        </w:rPr>
        <w:t>est „pozbawiona wolności” w rozumieniu artykułu 5, należy</w:t>
      </w:r>
      <w:r w:rsidR="00AD2D7E">
        <w:rPr>
          <w:lang w:val="pl-PL"/>
        </w:rPr>
        <w:t xml:space="preserve"> zacząć od konkretnej sytuacji oraz wziąć pod uwagę szereg kryteriów takich jak rodzaj, czas</w:t>
      </w:r>
      <w:r w:rsidR="0009059A">
        <w:rPr>
          <w:lang w:val="pl-PL"/>
        </w:rPr>
        <w:t xml:space="preserve">, skutki i warunki wykonania omawianego środka. Trybunał przypomina również, że </w:t>
      </w:r>
      <w:r w:rsidR="0009059A" w:rsidRPr="0009059A">
        <w:rPr>
          <w:szCs w:val="24"/>
          <w:lang w:val="pl-PL"/>
        </w:rPr>
        <w:t>różnica pomiędzy pozbawieniem a ograniczeniem wolności leży jedynie w sferze stopnia lub intensywności oddziaływania, a zatem nie je</w:t>
      </w:r>
      <w:r w:rsidR="0009059A">
        <w:rPr>
          <w:szCs w:val="24"/>
          <w:lang w:val="pl-PL"/>
        </w:rPr>
        <w:t>st to różnica istoty czy natur</w:t>
      </w:r>
      <w:r w:rsidR="00431C2E">
        <w:rPr>
          <w:szCs w:val="24"/>
          <w:lang w:val="pl-PL"/>
        </w:rPr>
        <w:t>y</w:t>
      </w:r>
      <w:r w:rsidR="00457A84">
        <w:rPr>
          <w:szCs w:val="24"/>
          <w:lang w:val="pl-PL"/>
        </w:rPr>
        <w:t xml:space="preserve"> </w:t>
      </w:r>
      <w:r w:rsidR="00F061A3" w:rsidRPr="00A37E9C">
        <w:rPr>
          <w:rStyle w:val="sb8d990e2"/>
          <w:lang w:val="pl-PL"/>
        </w:rPr>
        <w:t>(</w:t>
      </w:r>
      <w:proofErr w:type="spellStart"/>
      <w:r w:rsidR="00F061A3" w:rsidRPr="00A37E9C">
        <w:rPr>
          <w:rStyle w:val="sb8d990e2"/>
          <w:i/>
          <w:lang w:val="pl-PL"/>
        </w:rPr>
        <w:t>Guzzardi</w:t>
      </w:r>
      <w:proofErr w:type="spellEnd"/>
      <w:r w:rsidR="00AD7796">
        <w:rPr>
          <w:rStyle w:val="sb8d990e2"/>
          <w:i/>
          <w:lang w:val="pl-PL"/>
        </w:rPr>
        <w:t xml:space="preserve"> </w:t>
      </w:r>
      <w:r w:rsidR="0009059A">
        <w:rPr>
          <w:rStyle w:val="sb8d990e2"/>
          <w:i/>
          <w:lang w:val="pl-PL"/>
        </w:rPr>
        <w:t>p. Włochom</w:t>
      </w:r>
      <w:r w:rsidR="00F061A3" w:rsidRPr="00726741">
        <w:rPr>
          <w:rStyle w:val="sb8d990e2"/>
          <w:lang w:val="pl-PL"/>
        </w:rPr>
        <w:t xml:space="preserve">, </w:t>
      </w:r>
      <w:r w:rsidR="0009059A">
        <w:rPr>
          <w:rStyle w:val="sb8d990e2"/>
          <w:lang w:val="pl-PL"/>
        </w:rPr>
        <w:t xml:space="preserve">dn. </w:t>
      </w:r>
      <w:r w:rsidR="00F061A3" w:rsidRPr="00726741">
        <w:rPr>
          <w:rStyle w:val="sb8d990e2"/>
          <w:lang w:val="pl-PL"/>
        </w:rPr>
        <w:t xml:space="preserve">6 </w:t>
      </w:r>
      <w:r w:rsidR="0009059A">
        <w:rPr>
          <w:rStyle w:val="sb8d990e2"/>
          <w:lang w:val="pl-PL"/>
        </w:rPr>
        <w:t>grudnia</w:t>
      </w:r>
      <w:r w:rsidR="00F061A3" w:rsidRPr="00726741">
        <w:rPr>
          <w:rStyle w:val="sb8d990e2"/>
          <w:lang w:val="pl-PL"/>
        </w:rPr>
        <w:t xml:space="preserve"> 1980</w:t>
      </w:r>
      <w:r w:rsidR="0009059A">
        <w:rPr>
          <w:rStyle w:val="sb8d990e2"/>
          <w:lang w:val="pl-PL"/>
        </w:rPr>
        <w:t xml:space="preserve"> r., §§ 92</w:t>
      </w:r>
      <w:r w:rsidR="0009059A">
        <w:rPr>
          <w:rStyle w:val="sb8d990e2"/>
          <w:lang w:val="pl-PL"/>
        </w:rPr>
        <w:noBreakHyphen/>
        <w:t>93, seria A nr</w:t>
      </w:r>
      <w:r w:rsidR="00431C2E" w:rsidRPr="00726741">
        <w:rPr>
          <w:rStyle w:val="sb8d990e2"/>
          <w:lang w:val="pl-PL"/>
        </w:rPr>
        <w:t xml:space="preserve"> 39) . Trybunał</w:t>
      </w:r>
      <w:r w:rsidR="0009059A" w:rsidRPr="0009059A">
        <w:rPr>
          <w:rStyle w:val="sb8d990e2"/>
          <w:lang w:val="pl-PL"/>
        </w:rPr>
        <w:t xml:space="preserve"> powtarza, że artykuł 5 </w:t>
      </w:r>
      <w:r w:rsidR="00932879">
        <w:rPr>
          <w:rStyle w:val="sb8d990e2"/>
          <w:lang w:val="pl-PL"/>
        </w:rPr>
        <w:t>może</w:t>
      </w:r>
      <w:r w:rsidR="0009059A" w:rsidRPr="0009059A">
        <w:rPr>
          <w:rStyle w:val="sb8d990e2"/>
          <w:lang w:val="pl-PL"/>
        </w:rPr>
        <w:t xml:space="preserve"> mieć zastosowanie nawet w przypadku krótkotrwałego pozbawienia wolności </w:t>
      </w:r>
      <w:r w:rsidR="00F061A3" w:rsidRPr="0009059A">
        <w:rPr>
          <w:rStyle w:val="sb8d990e2"/>
          <w:lang w:val="pl-PL"/>
        </w:rPr>
        <w:t>(</w:t>
      </w:r>
      <w:r w:rsidR="0009059A" w:rsidRPr="0009059A">
        <w:rPr>
          <w:rStyle w:val="sb8d990e2"/>
          <w:lang w:val="pl-PL"/>
        </w:rPr>
        <w:t xml:space="preserve">zob. na przykład </w:t>
      </w:r>
      <w:proofErr w:type="spellStart"/>
      <w:r w:rsidR="0009059A" w:rsidRPr="0009059A">
        <w:rPr>
          <w:rStyle w:val="sb8d990e2"/>
          <w:i/>
          <w:lang w:val="pl-PL"/>
        </w:rPr>
        <w:t>Gillan</w:t>
      </w:r>
      <w:proofErr w:type="spellEnd"/>
      <w:r w:rsidR="0009059A" w:rsidRPr="0009059A">
        <w:rPr>
          <w:rStyle w:val="sb8d990e2"/>
          <w:i/>
          <w:lang w:val="pl-PL"/>
        </w:rPr>
        <w:t xml:space="preserve"> i</w:t>
      </w:r>
      <w:r w:rsidR="00667EFE">
        <w:rPr>
          <w:rStyle w:val="sb8d990e2"/>
          <w:i/>
          <w:lang w:val="pl-PL"/>
        </w:rPr>
        <w:t xml:space="preserve"> </w:t>
      </w:r>
      <w:proofErr w:type="spellStart"/>
      <w:r w:rsidR="00F061A3" w:rsidRPr="0009059A">
        <w:rPr>
          <w:rStyle w:val="sb8d990e2"/>
          <w:i/>
          <w:lang w:val="pl-PL"/>
        </w:rPr>
        <w:t>Quinton</w:t>
      </w:r>
      <w:proofErr w:type="spellEnd"/>
      <w:r w:rsidR="007241A9">
        <w:rPr>
          <w:rStyle w:val="sb8d990e2"/>
          <w:i/>
          <w:lang w:val="pl-PL"/>
        </w:rPr>
        <w:t xml:space="preserve"> </w:t>
      </w:r>
      <w:r w:rsidR="0009059A" w:rsidRPr="0009059A">
        <w:rPr>
          <w:rStyle w:val="sb8d990e2"/>
          <w:i/>
          <w:lang w:val="pl-PL"/>
        </w:rPr>
        <w:t>p. Zjednoczonemu</w:t>
      </w:r>
      <w:r w:rsidR="0009059A">
        <w:rPr>
          <w:rStyle w:val="sb8d990e2"/>
          <w:i/>
          <w:lang w:val="pl-PL"/>
        </w:rPr>
        <w:t xml:space="preserve"> Królestwu</w:t>
      </w:r>
      <w:r w:rsidR="0009059A">
        <w:rPr>
          <w:rStyle w:val="sb8d990e2"/>
          <w:lang w:val="pl-PL"/>
        </w:rPr>
        <w:t>, nr</w:t>
      </w:r>
      <w:r w:rsidR="00F061A3" w:rsidRPr="0009059A">
        <w:rPr>
          <w:rStyle w:val="sb8d990e2"/>
          <w:lang w:val="pl-PL"/>
        </w:rPr>
        <w:t xml:space="preserve"> 4158/05, § 57, </w:t>
      </w:r>
      <w:r w:rsidR="0009059A">
        <w:rPr>
          <w:rStyle w:val="sb8d990e2"/>
          <w:lang w:val="pl-PL"/>
        </w:rPr>
        <w:t>ETPC</w:t>
      </w:r>
      <w:r w:rsidR="00F061A3" w:rsidRPr="0009059A">
        <w:rPr>
          <w:rStyle w:val="sb8d990e2"/>
          <w:lang w:val="pl-PL"/>
        </w:rPr>
        <w:t xml:space="preserve"> 2010-..., </w:t>
      </w:r>
      <w:r w:rsidR="00431C2E">
        <w:rPr>
          <w:rStyle w:val="sb8d990e2"/>
          <w:lang w:val="pl-PL"/>
        </w:rPr>
        <w:t>sprawa, w któ</w:t>
      </w:r>
      <w:r w:rsidR="00A91B99">
        <w:rPr>
          <w:rStyle w:val="sb8d990e2"/>
          <w:lang w:val="pl-PL"/>
        </w:rPr>
        <w:t>rej skarżący zostali zatrzymani</w:t>
      </w:r>
      <w:r w:rsidR="00431C2E">
        <w:rPr>
          <w:rStyle w:val="sb8d990e2"/>
          <w:lang w:val="pl-PL"/>
        </w:rPr>
        <w:t xml:space="preserve"> </w:t>
      </w:r>
      <w:r w:rsidR="00932879">
        <w:rPr>
          <w:rStyle w:val="sb8d990e2"/>
          <w:lang w:val="pl-PL"/>
        </w:rPr>
        <w:t>w celu kontroli osobistej</w:t>
      </w:r>
      <w:r w:rsidR="00932879" w:rsidRPr="0009059A">
        <w:rPr>
          <w:rStyle w:val="sb8d990e2"/>
          <w:lang w:val="pl-PL"/>
        </w:rPr>
        <w:t> </w:t>
      </w:r>
      <w:r w:rsidR="00431C2E">
        <w:rPr>
          <w:rStyle w:val="sb8d990e2"/>
          <w:lang w:val="pl-PL"/>
        </w:rPr>
        <w:t>na około trzydzieści minut</w:t>
      </w:r>
      <w:r w:rsidR="00F061A3" w:rsidRPr="0009059A">
        <w:rPr>
          <w:rStyle w:val="sb8d990e2"/>
          <w:lang w:val="pl-PL"/>
        </w:rPr>
        <w:t xml:space="preserve">; </w:t>
      </w:r>
      <w:proofErr w:type="spellStart"/>
      <w:r w:rsidR="00F061A3" w:rsidRPr="0009059A">
        <w:rPr>
          <w:rStyle w:val="sb8d990e2"/>
          <w:i/>
          <w:lang w:val="pl-PL"/>
        </w:rPr>
        <w:t>Shimovolos</w:t>
      </w:r>
      <w:proofErr w:type="spellEnd"/>
      <w:r w:rsidR="00667EFE">
        <w:rPr>
          <w:rStyle w:val="sb8d990e2"/>
          <w:i/>
          <w:lang w:val="pl-PL"/>
        </w:rPr>
        <w:t xml:space="preserve"> </w:t>
      </w:r>
      <w:r w:rsidR="00431C2E">
        <w:rPr>
          <w:rStyle w:val="sb8d990e2"/>
          <w:i/>
          <w:lang w:val="pl-PL"/>
        </w:rPr>
        <w:t>p. Rosji</w:t>
      </w:r>
      <w:r w:rsidR="00F061A3" w:rsidRPr="0009059A">
        <w:rPr>
          <w:rStyle w:val="sb8d990e2"/>
          <w:lang w:val="pl-PL"/>
        </w:rPr>
        <w:t>,</w:t>
      </w:r>
      <w:r w:rsidR="00431C2E">
        <w:rPr>
          <w:rStyle w:val="sb8d990e2"/>
          <w:lang w:val="pl-PL"/>
        </w:rPr>
        <w:t xml:space="preserve"> nr</w:t>
      </w:r>
      <w:r w:rsidR="00F061A3" w:rsidRPr="0009059A">
        <w:rPr>
          <w:rStyle w:val="sb8d990e2"/>
          <w:lang w:val="pl-PL"/>
        </w:rPr>
        <w:t xml:space="preserve"> 30194/09, § 48, </w:t>
      </w:r>
      <w:r w:rsidR="00431C2E">
        <w:rPr>
          <w:rStyle w:val="sb8d990e2"/>
          <w:lang w:val="pl-PL"/>
        </w:rPr>
        <w:t xml:space="preserve">dn. </w:t>
      </w:r>
      <w:r w:rsidR="00F061A3" w:rsidRPr="0009059A">
        <w:rPr>
          <w:rStyle w:val="sb8d990e2"/>
          <w:lang w:val="pl-PL"/>
        </w:rPr>
        <w:t xml:space="preserve">21 </w:t>
      </w:r>
      <w:r w:rsidR="00431C2E">
        <w:rPr>
          <w:rStyle w:val="sb8d990e2"/>
          <w:lang w:val="pl-PL"/>
        </w:rPr>
        <w:t>czerwca</w:t>
      </w:r>
      <w:r w:rsidR="00F061A3" w:rsidRPr="0009059A">
        <w:rPr>
          <w:rStyle w:val="sb8d990e2"/>
          <w:lang w:val="pl-PL"/>
        </w:rPr>
        <w:t xml:space="preserve"> 2011, </w:t>
      </w:r>
      <w:r w:rsidR="00431C2E">
        <w:rPr>
          <w:rStyle w:val="sb8d990e2"/>
          <w:lang w:val="pl-PL"/>
        </w:rPr>
        <w:t xml:space="preserve">sprawa, w której skarżący był przetrzymywany na posterunku policji przez czterdzieści pięć minut </w:t>
      </w:r>
      <w:r w:rsidR="00F061A3" w:rsidRPr="0009059A">
        <w:rPr>
          <w:rStyle w:val="sb8d990e2"/>
          <w:lang w:val="pl-PL"/>
        </w:rPr>
        <w:t xml:space="preserve"> ; </w:t>
      </w:r>
      <w:proofErr w:type="spellStart"/>
      <w:r w:rsidR="00F061A3" w:rsidRPr="0009059A">
        <w:rPr>
          <w:rStyle w:val="sb8d990e2"/>
          <w:i/>
          <w:lang w:val="pl-PL"/>
        </w:rPr>
        <w:lastRenderedPageBreak/>
        <w:t>Novotka</w:t>
      </w:r>
      <w:proofErr w:type="spellEnd"/>
      <w:r w:rsidR="00667EFE">
        <w:rPr>
          <w:rStyle w:val="sb8d990e2"/>
          <w:i/>
          <w:lang w:val="pl-PL"/>
        </w:rPr>
        <w:t xml:space="preserve"> </w:t>
      </w:r>
      <w:r w:rsidR="00431C2E">
        <w:rPr>
          <w:rStyle w:val="sb8d990e2"/>
          <w:i/>
          <w:lang w:val="pl-PL"/>
        </w:rPr>
        <w:t>p. Słowacji</w:t>
      </w:r>
      <w:r w:rsidR="00667EFE">
        <w:rPr>
          <w:rStyle w:val="sb8d990e2"/>
          <w:i/>
          <w:lang w:val="pl-PL"/>
        </w:rPr>
        <w:t xml:space="preserve"> </w:t>
      </w:r>
      <w:r w:rsidR="00431C2E">
        <w:rPr>
          <w:rStyle w:val="sb8d990e2"/>
          <w:lang w:val="pl-PL"/>
        </w:rPr>
        <w:t>(post.), nr</w:t>
      </w:r>
      <w:r w:rsidR="00F061A3" w:rsidRPr="0009059A">
        <w:rPr>
          <w:rStyle w:val="sb8d990e2"/>
          <w:lang w:val="pl-PL"/>
        </w:rPr>
        <w:t xml:space="preserve"> 47244/99, </w:t>
      </w:r>
      <w:r w:rsidR="00431C2E">
        <w:rPr>
          <w:rStyle w:val="sb8d990e2"/>
          <w:lang w:val="pl-PL"/>
        </w:rPr>
        <w:t xml:space="preserve">dn. </w:t>
      </w:r>
      <w:r w:rsidR="00F061A3" w:rsidRPr="0009059A">
        <w:rPr>
          <w:rStyle w:val="sb8d990e2"/>
          <w:lang w:val="pl-PL"/>
        </w:rPr>
        <w:t xml:space="preserve">4 </w:t>
      </w:r>
      <w:r w:rsidR="00C11931">
        <w:rPr>
          <w:rStyle w:val="sb8d990e2"/>
          <w:lang w:val="pl-PL"/>
        </w:rPr>
        <w:t>listopada</w:t>
      </w:r>
      <w:r w:rsidR="00F061A3" w:rsidRPr="0009059A">
        <w:rPr>
          <w:rStyle w:val="sb8d990e2"/>
          <w:lang w:val="pl-PL"/>
        </w:rPr>
        <w:t xml:space="preserve"> 2003, </w:t>
      </w:r>
      <w:r w:rsidR="00C11931">
        <w:rPr>
          <w:rStyle w:val="sb8d990e2"/>
          <w:lang w:val="pl-PL"/>
        </w:rPr>
        <w:t>sprawa dotycząca zatrzymania na około godzinę</w:t>
      </w:r>
      <w:r w:rsidR="00F061A3" w:rsidRPr="0009059A">
        <w:rPr>
          <w:rStyle w:val="sb8d990e2"/>
          <w:lang w:val="pl-PL"/>
        </w:rPr>
        <w:t xml:space="preserve">, </w:t>
      </w:r>
      <w:r w:rsidR="00F061A3" w:rsidRPr="0009059A">
        <w:rPr>
          <w:rStyle w:val="sb8d990e2"/>
          <w:i/>
          <w:lang w:val="pl-PL"/>
        </w:rPr>
        <w:t xml:space="preserve">Nada </w:t>
      </w:r>
      <w:r w:rsidR="00C11931">
        <w:rPr>
          <w:rStyle w:val="sb8d990e2"/>
          <w:i/>
          <w:lang w:val="pl-PL"/>
        </w:rPr>
        <w:t>p. Szwajcarii</w:t>
      </w:r>
      <w:r w:rsidR="00C11931">
        <w:rPr>
          <w:rStyle w:val="sb8d990e2"/>
          <w:lang w:val="pl-PL"/>
        </w:rPr>
        <w:t xml:space="preserve"> [WI], nr</w:t>
      </w:r>
      <w:r w:rsidR="00F061A3" w:rsidRPr="0009059A">
        <w:rPr>
          <w:rStyle w:val="sb8d990e2"/>
          <w:lang w:val="pl-PL"/>
        </w:rPr>
        <w:t xml:space="preserve"> 10593/08, §§ 225-226, </w:t>
      </w:r>
      <w:r w:rsidR="00C11931">
        <w:rPr>
          <w:rStyle w:val="sb8d990e2"/>
          <w:lang w:val="pl-PL"/>
        </w:rPr>
        <w:t>dn. 12 września</w:t>
      </w:r>
      <w:r w:rsidR="00F061A3" w:rsidRPr="0009059A">
        <w:rPr>
          <w:rStyle w:val="sb8d990e2"/>
          <w:lang w:val="pl-PL"/>
        </w:rPr>
        <w:t xml:space="preserve"> 2012</w:t>
      </w:r>
      <w:r w:rsidR="00C11931">
        <w:rPr>
          <w:rStyle w:val="sb8d990e2"/>
          <w:lang w:val="pl-PL"/>
        </w:rPr>
        <w:t xml:space="preserve"> r.</w:t>
      </w:r>
      <w:r w:rsidR="00F061A3" w:rsidRPr="0009059A">
        <w:rPr>
          <w:rStyle w:val="sb8d990e2"/>
          <w:lang w:val="pl-PL"/>
        </w:rPr>
        <w:t>).</w:t>
      </w:r>
    </w:p>
    <w:p w:rsidR="00F061A3" w:rsidRPr="00C11931" w:rsidRDefault="003001A7" w:rsidP="00F061A3">
      <w:pPr>
        <w:pStyle w:val="JuPara"/>
        <w:tabs>
          <w:tab w:val="left" w:pos="426"/>
        </w:tabs>
        <w:rPr>
          <w:rStyle w:val="sb8d990e2"/>
          <w:lang w:val="pl-PL"/>
        </w:rPr>
      </w:pPr>
      <w:r>
        <w:rPr>
          <w:rStyle w:val="sb8d990e2"/>
        </w:rPr>
        <w:fldChar w:fldCharType="begin"/>
      </w:r>
      <w:r w:rsidR="00F061A3" w:rsidRPr="00E53B47">
        <w:rPr>
          <w:rStyle w:val="sb8d990e2"/>
          <w:lang w:val="pl-PL"/>
        </w:rPr>
        <w:instrText xml:space="preserve"> SEQ level0 \*arabic </w:instrText>
      </w:r>
      <w:r>
        <w:rPr>
          <w:rStyle w:val="sb8d990e2"/>
        </w:rPr>
        <w:fldChar w:fldCharType="separate"/>
      </w:r>
      <w:r w:rsidR="004E0BEB">
        <w:rPr>
          <w:rStyle w:val="sb8d990e2"/>
          <w:noProof/>
          <w:lang w:val="pl-PL"/>
        </w:rPr>
        <w:t>128</w:t>
      </w:r>
      <w:r>
        <w:rPr>
          <w:rStyle w:val="sb8d990e2"/>
        </w:rPr>
        <w:fldChar w:fldCharType="end"/>
      </w:r>
      <w:r w:rsidR="00F061A3" w:rsidRPr="00E53B47">
        <w:rPr>
          <w:rStyle w:val="sb8d990e2"/>
          <w:lang w:val="pl-PL"/>
        </w:rPr>
        <w:t>.  </w:t>
      </w:r>
      <w:r w:rsidR="00C11931" w:rsidRPr="00C11931">
        <w:rPr>
          <w:lang w:val="pl-PL"/>
        </w:rPr>
        <w:t>Trybunał zauważa, że w przedmiotowej sprawie Rząd nie zakwestionował zastosowania artykułu 5 Konwencji.</w:t>
      </w:r>
    </w:p>
    <w:p w:rsidR="00F061A3" w:rsidRPr="005059AE" w:rsidRDefault="003001A7" w:rsidP="00F061A3">
      <w:pPr>
        <w:pStyle w:val="JuPara"/>
        <w:tabs>
          <w:tab w:val="left" w:pos="426"/>
        </w:tabs>
        <w:rPr>
          <w:lang w:val="pl-PL"/>
        </w:rPr>
      </w:pPr>
      <w:r>
        <w:fldChar w:fldCharType="begin"/>
      </w:r>
      <w:r w:rsidR="00F061A3" w:rsidRPr="00E53B47">
        <w:rPr>
          <w:lang w:val="pl-PL"/>
        </w:rPr>
        <w:instrText xml:space="preserve"> SEQ level0 \*arabic </w:instrText>
      </w:r>
      <w:r>
        <w:fldChar w:fldCharType="separate"/>
      </w:r>
      <w:r w:rsidR="004E0BEB">
        <w:rPr>
          <w:noProof/>
          <w:lang w:val="pl-PL"/>
        </w:rPr>
        <w:t>129</w:t>
      </w:r>
      <w:r>
        <w:fldChar w:fldCharType="end"/>
      </w:r>
      <w:r w:rsidR="00F061A3" w:rsidRPr="00E53B47">
        <w:rPr>
          <w:lang w:val="pl-PL"/>
        </w:rPr>
        <w:t>.  </w:t>
      </w:r>
      <w:r w:rsidR="005059AE" w:rsidRPr="005059AE">
        <w:rPr>
          <w:lang w:val="pl-PL"/>
        </w:rPr>
        <w:t>Trybunał podnos</w:t>
      </w:r>
      <w:r w:rsidR="005059AE">
        <w:rPr>
          <w:lang w:val="pl-PL"/>
        </w:rPr>
        <w:t xml:space="preserve">i, że dokładny czas zatrzymania skarżących na posterunku nie został precyzyjnie określony. Jednak </w:t>
      </w:r>
      <w:r w:rsidR="007D58A9">
        <w:rPr>
          <w:lang w:val="pl-PL"/>
        </w:rPr>
        <w:t>na podstawie akt sprawy można st</w:t>
      </w:r>
      <w:r w:rsidR="00281DA4">
        <w:rPr>
          <w:lang w:val="pl-PL"/>
        </w:rPr>
        <w:t xml:space="preserve">wierdzić, że zatrzymanie </w:t>
      </w:r>
      <w:r w:rsidR="00DE0119">
        <w:rPr>
          <w:lang w:val="pl-PL"/>
        </w:rPr>
        <w:t>trwało blisko</w:t>
      </w:r>
      <w:r w:rsidR="00281DA4">
        <w:rPr>
          <w:lang w:val="pl-PL"/>
        </w:rPr>
        <w:t xml:space="preserve"> dw</w:t>
      </w:r>
      <w:r w:rsidR="00DE0119">
        <w:rPr>
          <w:lang w:val="pl-PL"/>
        </w:rPr>
        <w:t>ie</w:t>
      </w:r>
      <w:r w:rsidR="00281DA4">
        <w:rPr>
          <w:lang w:val="pl-PL"/>
        </w:rPr>
        <w:t xml:space="preserve"> godzin</w:t>
      </w:r>
      <w:r w:rsidR="00DE0119">
        <w:rPr>
          <w:lang w:val="pl-PL"/>
        </w:rPr>
        <w:t>y</w:t>
      </w:r>
      <w:r w:rsidR="007D58A9">
        <w:rPr>
          <w:lang w:val="pl-PL"/>
        </w:rPr>
        <w:t>.</w:t>
      </w:r>
    </w:p>
    <w:p w:rsidR="00F061A3" w:rsidRPr="00E53B47" w:rsidRDefault="003001A7" w:rsidP="00F061A3">
      <w:pPr>
        <w:pStyle w:val="JuPara"/>
        <w:tabs>
          <w:tab w:val="left" w:pos="426"/>
        </w:tabs>
        <w:rPr>
          <w:lang w:val="pl-PL"/>
        </w:rPr>
      </w:pPr>
      <w:r>
        <w:rPr>
          <w:rStyle w:val="sb8d990e2"/>
        </w:rPr>
        <w:fldChar w:fldCharType="begin"/>
      </w:r>
      <w:r w:rsidR="00F061A3" w:rsidRPr="006B31D5">
        <w:rPr>
          <w:rStyle w:val="sb8d990e2"/>
          <w:lang w:val="pl-PL"/>
        </w:rPr>
        <w:instrText xml:space="preserve"> SEQ level0 \*arabic </w:instrText>
      </w:r>
      <w:r>
        <w:rPr>
          <w:rStyle w:val="sb8d990e2"/>
        </w:rPr>
        <w:fldChar w:fldCharType="separate"/>
      </w:r>
      <w:r w:rsidR="004E0BEB">
        <w:rPr>
          <w:rStyle w:val="sb8d990e2"/>
          <w:noProof/>
          <w:lang w:val="pl-PL"/>
        </w:rPr>
        <w:t>130</w:t>
      </w:r>
      <w:r>
        <w:rPr>
          <w:rStyle w:val="sb8d990e2"/>
        </w:rPr>
        <w:fldChar w:fldCharType="end"/>
      </w:r>
      <w:r w:rsidR="00F061A3" w:rsidRPr="006B31D5">
        <w:rPr>
          <w:rStyle w:val="sb8d990e2"/>
          <w:lang w:val="pl-PL"/>
        </w:rPr>
        <w:t>.  </w:t>
      </w:r>
      <w:r w:rsidR="00E53B47" w:rsidRPr="00E53B47">
        <w:rPr>
          <w:lang w:val="pl-PL"/>
        </w:rPr>
        <w:t xml:space="preserve">Trybunał zauważa </w:t>
      </w:r>
      <w:r w:rsidR="00E53B47">
        <w:rPr>
          <w:lang w:val="pl-PL"/>
        </w:rPr>
        <w:t>następnie, że doprowadzenie i prze</w:t>
      </w:r>
      <w:r w:rsidR="00E53B47" w:rsidRPr="00E53B47">
        <w:rPr>
          <w:lang w:val="pl-PL"/>
        </w:rPr>
        <w:t>trzymanie skarżących na posterunku</w:t>
      </w:r>
      <w:r w:rsidR="00E53B47">
        <w:rPr>
          <w:lang w:val="pl-PL"/>
        </w:rPr>
        <w:t xml:space="preserve"> nastąpiło po zatrzymaniu przez patrol policji. Skarżącym nakazano opuszczenie taksówki, w której się znajdowali i zawieziono ich</w:t>
      </w:r>
      <w:r w:rsidR="005122DF">
        <w:rPr>
          <w:lang w:val="pl-PL"/>
        </w:rPr>
        <w:t xml:space="preserve"> następnie samochodem policji do</w:t>
      </w:r>
      <w:r w:rsidR="00E53B47">
        <w:rPr>
          <w:lang w:val="pl-PL"/>
        </w:rPr>
        <w:t xml:space="preserve"> komisariat</w:t>
      </w:r>
      <w:r w:rsidR="005122DF">
        <w:rPr>
          <w:lang w:val="pl-PL"/>
        </w:rPr>
        <w:t>u</w:t>
      </w:r>
      <w:r w:rsidR="00E53B47">
        <w:rPr>
          <w:lang w:val="pl-PL"/>
        </w:rPr>
        <w:t xml:space="preserve"> gdzie poddano ich kontroli tożsamości i badaniu </w:t>
      </w:r>
      <w:r w:rsidR="005122DF">
        <w:rPr>
          <w:lang w:val="pl-PL"/>
        </w:rPr>
        <w:t>na zawartość alkoholu</w:t>
      </w:r>
      <w:r w:rsidR="00B3159A">
        <w:rPr>
          <w:lang w:val="pl-PL"/>
        </w:rPr>
        <w:t>. Mogli opuścić pomieszczenia komisariatu</w:t>
      </w:r>
      <w:r w:rsidR="00E53B47">
        <w:rPr>
          <w:lang w:val="pl-PL"/>
        </w:rPr>
        <w:t xml:space="preserve"> jedynie z</w:t>
      </w:r>
      <w:r w:rsidR="00B3159A">
        <w:rPr>
          <w:lang w:val="pl-PL"/>
        </w:rPr>
        <w:t xml:space="preserve">a wyraźną zgodą policjantów, po dokonaniu niezbędnych czynności związanych ze sporządzeniem akt </w:t>
      </w:r>
      <w:r w:rsidR="00CC436B">
        <w:rPr>
          <w:lang w:val="pl-PL"/>
        </w:rPr>
        <w:t>w ich sprawie</w:t>
      </w:r>
      <w:r w:rsidR="00B3159A">
        <w:rPr>
          <w:lang w:val="pl-PL"/>
        </w:rPr>
        <w:t>. Trybunał uważa, że mimo krótkiego okresu przetrzymywania skarżących na posterunku, stopień przymusu</w:t>
      </w:r>
      <w:r w:rsidR="000205DE">
        <w:rPr>
          <w:lang w:val="pl-PL"/>
        </w:rPr>
        <w:t xml:space="preserve"> tego środka był </w:t>
      </w:r>
      <w:r w:rsidR="00881863">
        <w:rPr>
          <w:lang w:val="pl-PL"/>
        </w:rPr>
        <w:t>wystarczający</w:t>
      </w:r>
      <w:r w:rsidR="000205DE">
        <w:rPr>
          <w:lang w:val="pl-PL"/>
        </w:rPr>
        <w:t xml:space="preserve"> by wejść w zakres stosowania artykułu 5. </w:t>
      </w:r>
    </w:p>
    <w:p w:rsidR="00F061A3" w:rsidRPr="000205DE" w:rsidRDefault="003001A7" w:rsidP="00F061A3">
      <w:pPr>
        <w:pStyle w:val="JuPara"/>
        <w:tabs>
          <w:tab w:val="left" w:pos="426"/>
        </w:tabs>
        <w:rPr>
          <w:rStyle w:val="sb8d990e2"/>
          <w:lang w:val="pl-PL"/>
        </w:rPr>
      </w:pPr>
      <w:r>
        <w:rPr>
          <w:rStyle w:val="sb8d990e2"/>
        </w:rPr>
        <w:fldChar w:fldCharType="begin"/>
      </w:r>
      <w:r w:rsidR="00F061A3" w:rsidRPr="00B3159A">
        <w:rPr>
          <w:rStyle w:val="sb8d990e2"/>
          <w:lang w:val="pl-PL"/>
        </w:rPr>
        <w:instrText xml:space="preserve"> SEQ level0 \*arabic </w:instrText>
      </w:r>
      <w:r>
        <w:rPr>
          <w:rStyle w:val="sb8d990e2"/>
        </w:rPr>
        <w:fldChar w:fldCharType="separate"/>
      </w:r>
      <w:r w:rsidR="004E0BEB">
        <w:rPr>
          <w:rStyle w:val="sb8d990e2"/>
          <w:noProof/>
          <w:lang w:val="pl-PL"/>
        </w:rPr>
        <w:t>131</w:t>
      </w:r>
      <w:r>
        <w:rPr>
          <w:rStyle w:val="sb8d990e2"/>
        </w:rPr>
        <w:fldChar w:fldCharType="end"/>
      </w:r>
      <w:r w:rsidR="00F061A3" w:rsidRPr="00B3159A">
        <w:rPr>
          <w:rStyle w:val="sb8d990e2"/>
          <w:lang w:val="pl-PL"/>
        </w:rPr>
        <w:t>.  </w:t>
      </w:r>
      <w:r w:rsidR="000205DE" w:rsidRPr="000205DE">
        <w:rPr>
          <w:lang w:val="pl-PL"/>
        </w:rPr>
        <w:t>Trybunał uważa zatem, że skarżący zostali pozbawieni wolności w rozumieniu artykułu 5 § 1 Konwencji</w:t>
      </w:r>
      <w:r w:rsidR="00F061A3" w:rsidRPr="000205DE">
        <w:rPr>
          <w:lang w:val="pl-PL"/>
        </w:rPr>
        <w:t>.</w:t>
      </w:r>
    </w:p>
    <w:p w:rsidR="00F061A3" w:rsidRPr="006B31D5" w:rsidRDefault="00F061A3" w:rsidP="00F061A3">
      <w:pPr>
        <w:pStyle w:val="JuHa0"/>
        <w:rPr>
          <w:lang w:val="pl-PL"/>
        </w:rPr>
      </w:pPr>
      <w:r w:rsidRPr="006B31D5">
        <w:rPr>
          <w:lang w:val="pl-PL"/>
        </w:rPr>
        <w:t>b)  </w:t>
      </w:r>
      <w:r w:rsidR="000205DE" w:rsidRPr="000205DE">
        <w:rPr>
          <w:lang w:val="pl-PL"/>
        </w:rPr>
        <w:t>Uwagi</w:t>
      </w:r>
      <w:r w:rsidR="000205DE" w:rsidRPr="006B31D5">
        <w:rPr>
          <w:lang w:val="pl-PL"/>
        </w:rPr>
        <w:t xml:space="preserve"> do </w:t>
      </w:r>
      <w:r w:rsidR="000205DE" w:rsidRPr="000205DE">
        <w:rPr>
          <w:lang w:val="pl-PL"/>
        </w:rPr>
        <w:t>artykułu</w:t>
      </w:r>
      <w:r w:rsidRPr="006B31D5">
        <w:rPr>
          <w:lang w:val="pl-PL"/>
        </w:rPr>
        <w:t xml:space="preserve"> 5 § 1 </w:t>
      </w:r>
      <w:r w:rsidR="000205DE" w:rsidRPr="000205DE">
        <w:rPr>
          <w:lang w:val="pl-PL"/>
        </w:rPr>
        <w:t>Konwencji</w:t>
      </w:r>
    </w:p>
    <w:p w:rsidR="00F061A3" w:rsidRPr="00461C47" w:rsidRDefault="003001A7" w:rsidP="00F846D9">
      <w:pPr>
        <w:pStyle w:val="Tekstpodstawowywcity"/>
        <w:spacing w:before="60"/>
        <w:ind w:left="0" w:firstLine="340"/>
        <w:rPr>
          <w:i/>
          <w:sz w:val="24"/>
          <w:szCs w:val="24"/>
        </w:rPr>
      </w:pPr>
      <w:r>
        <w:fldChar w:fldCharType="begin"/>
      </w:r>
      <w:r w:rsidR="00F061A3">
        <w:instrText xml:space="preserve"> SEQ level0 \*arabic </w:instrText>
      </w:r>
      <w:r>
        <w:fldChar w:fldCharType="separate"/>
      </w:r>
      <w:r w:rsidR="004E0BEB">
        <w:rPr>
          <w:noProof/>
        </w:rPr>
        <w:t>132</w:t>
      </w:r>
      <w:r>
        <w:fldChar w:fldCharType="end"/>
      </w:r>
      <w:r w:rsidR="00F061A3">
        <w:t>.  </w:t>
      </w:r>
      <w:r w:rsidR="000205DE" w:rsidRPr="00F846D9">
        <w:rPr>
          <w:sz w:val="24"/>
          <w:szCs w:val="24"/>
        </w:rPr>
        <w:t xml:space="preserve">Trybunał musi rozważyć czy </w:t>
      </w:r>
      <w:r w:rsidR="00F846D9" w:rsidRPr="00F846D9">
        <w:rPr>
          <w:sz w:val="24"/>
          <w:szCs w:val="24"/>
        </w:rPr>
        <w:t>pozbawienie wolności skarżących mieści się w wymogach artykułu 5 § 1 Konwencji.</w:t>
      </w:r>
      <w:r w:rsidR="001F7BC4">
        <w:rPr>
          <w:sz w:val="24"/>
          <w:szCs w:val="24"/>
        </w:rPr>
        <w:t xml:space="preserve"> </w:t>
      </w:r>
      <w:r w:rsidR="00F846D9" w:rsidRPr="00F846D9">
        <w:rPr>
          <w:sz w:val="24"/>
          <w:szCs w:val="24"/>
        </w:rPr>
        <w:t>Trybunał przypomina, ż</w:t>
      </w:r>
      <w:r w:rsidR="00F846D9">
        <w:rPr>
          <w:sz w:val="24"/>
          <w:szCs w:val="24"/>
        </w:rPr>
        <w:t>e przepis ten</w:t>
      </w:r>
      <w:r w:rsidR="00F846D9" w:rsidRPr="00F846D9">
        <w:rPr>
          <w:sz w:val="24"/>
          <w:szCs w:val="24"/>
        </w:rPr>
        <w:t xml:space="preserve"> zawiera wyczerpującą listę dopuszczalny</w:t>
      </w:r>
      <w:r w:rsidR="00F846D9">
        <w:rPr>
          <w:sz w:val="24"/>
          <w:szCs w:val="24"/>
        </w:rPr>
        <w:t xml:space="preserve">ch podstaw pozbawienia wolności i że </w:t>
      </w:r>
      <w:r w:rsidR="00F846D9" w:rsidRPr="00F846D9">
        <w:rPr>
          <w:sz w:val="24"/>
          <w:szCs w:val="24"/>
        </w:rPr>
        <w:t>żadne pozbawienie wolności nie będzie zgodne z prawem, jeżeli nie jest oparte na jednej z</w:t>
      </w:r>
      <w:r w:rsidR="00F846D9">
        <w:rPr>
          <w:sz w:val="24"/>
          <w:szCs w:val="24"/>
        </w:rPr>
        <w:t xml:space="preserve"> podstaw wyznaczonych przez punkty od a do f artykułu</w:t>
      </w:r>
      <w:r w:rsidR="00F846D9" w:rsidRPr="00F846D9">
        <w:rPr>
          <w:sz w:val="24"/>
          <w:szCs w:val="24"/>
        </w:rPr>
        <w:t xml:space="preserve"> 5</w:t>
      </w:r>
      <w:r w:rsidR="00F061A3" w:rsidRPr="000205DE">
        <w:t xml:space="preserve"> (</w:t>
      </w:r>
      <w:r w:rsidR="00F061A3" w:rsidRPr="00461C47">
        <w:rPr>
          <w:i/>
          <w:sz w:val="24"/>
          <w:szCs w:val="24"/>
        </w:rPr>
        <w:t>Witold</w:t>
      </w:r>
      <w:r w:rsidR="001F7BC4" w:rsidRPr="00461C47">
        <w:rPr>
          <w:i/>
          <w:sz w:val="24"/>
          <w:szCs w:val="24"/>
        </w:rPr>
        <w:t xml:space="preserve"> </w:t>
      </w:r>
      <w:r w:rsidR="00F061A3" w:rsidRPr="00461C47">
        <w:rPr>
          <w:i/>
          <w:sz w:val="24"/>
          <w:szCs w:val="24"/>
        </w:rPr>
        <w:t xml:space="preserve">Litwa </w:t>
      </w:r>
      <w:r w:rsidR="007D58A9" w:rsidRPr="00461C47">
        <w:rPr>
          <w:i/>
          <w:sz w:val="24"/>
          <w:szCs w:val="24"/>
        </w:rPr>
        <w:t>p. Polsce</w:t>
      </w:r>
      <w:r w:rsidR="007D58A9" w:rsidRPr="00461C47">
        <w:rPr>
          <w:sz w:val="24"/>
          <w:szCs w:val="24"/>
        </w:rPr>
        <w:t>, nr</w:t>
      </w:r>
      <w:r w:rsidR="00F061A3" w:rsidRPr="00461C47">
        <w:rPr>
          <w:sz w:val="24"/>
          <w:szCs w:val="24"/>
        </w:rPr>
        <w:t xml:space="preserve"> 26629/95, § 49, </w:t>
      </w:r>
      <w:r w:rsidR="007D58A9" w:rsidRPr="00461C47">
        <w:rPr>
          <w:sz w:val="24"/>
          <w:szCs w:val="24"/>
        </w:rPr>
        <w:t>dn. 4 kwietnia</w:t>
      </w:r>
      <w:r w:rsidR="00F061A3" w:rsidRPr="00461C47">
        <w:rPr>
          <w:sz w:val="24"/>
          <w:szCs w:val="24"/>
        </w:rPr>
        <w:t xml:space="preserve"> 2000</w:t>
      </w:r>
      <w:r w:rsidR="007D58A9" w:rsidRPr="00461C47">
        <w:rPr>
          <w:sz w:val="24"/>
          <w:szCs w:val="24"/>
        </w:rPr>
        <w:t xml:space="preserve"> r.</w:t>
      </w:r>
      <w:r w:rsidR="00F061A3" w:rsidRPr="00461C47">
        <w:rPr>
          <w:sz w:val="24"/>
          <w:szCs w:val="24"/>
        </w:rPr>
        <w:t>).</w:t>
      </w:r>
    </w:p>
    <w:p w:rsidR="00F061A3" w:rsidRPr="00F846D9" w:rsidRDefault="003001A7" w:rsidP="00F061A3">
      <w:pPr>
        <w:pStyle w:val="JuPara"/>
        <w:tabs>
          <w:tab w:val="left" w:pos="426"/>
        </w:tabs>
        <w:rPr>
          <w:lang w:val="pl-PL"/>
        </w:rPr>
      </w:pPr>
      <w:r>
        <w:fldChar w:fldCharType="begin"/>
      </w:r>
      <w:r w:rsidR="00F061A3" w:rsidRPr="006B31D5">
        <w:rPr>
          <w:lang w:val="pl-PL"/>
        </w:rPr>
        <w:instrText xml:space="preserve"> SEQ level0 \*arabic </w:instrText>
      </w:r>
      <w:r>
        <w:fldChar w:fldCharType="separate"/>
      </w:r>
      <w:r w:rsidR="004E0BEB">
        <w:rPr>
          <w:noProof/>
          <w:lang w:val="pl-PL"/>
        </w:rPr>
        <w:t>133</w:t>
      </w:r>
      <w:r>
        <w:fldChar w:fldCharType="end"/>
      </w:r>
      <w:r w:rsidR="00F061A3" w:rsidRPr="006B31D5">
        <w:rPr>
          <w:lang w:val="pl-PL"/>
        </w:rPr>
        <w:t>.  </w:t>
      </w:r>
      <w:r w:rsidR="00F846D9" w:rsidRPr="00F846D9">
        <w:rPr>
          <w:lang w:val="pl-PL"/>
        </w:rPr>
        <w:t>Trybunał zauważa, że zatrzymanie skarżących</w:t>
      </w:r>
      <w:r w:rsidR="00B208D0">
        <w:rPr>
          <w:lang w:val="pl-PL"/>
        </w:rPr>
        <w:t xml:space="preserve"> nastąpiło</w:t>
      </w:r>
      <w:r w:rsidR="00F846D9" w:rsidRPr="00F846D9">
        <w:rPr>
          <w:lang w:val="pl-PL"/>
        </w:rPr>
        <w:t xml:space="preserve"> po tym jak funkcjonariusze policji </w:t>
      </w:r>
      <w:r w:rsidR="001F7BC4">
        <w:rPr>
          <w:lang w:val="pl-PL"/>
        </w:rPr>
        <w:t>–</w:t>
      </w:r>
      <w:r w:rsidR="00F846D9">
        <w:rPr>
          <w:lang w:val="pl-PL"/>
        </w:rPr>
        <w:t xml:space="preserve"> obecni</w:t>
      </w:r>
      <w:r w:rsidR="001F7BC4">
        <w:rPr>
          <w:lang w:val="pl-PL"/>
        </w:rPr>
        <w:t xml:space="preserve"> </w:t>
      </w:r>
      <w:r w:rsidR="00F846D9">
        <w:rPr>
          <w:lang w:val="pl-PL"/>
        </w:rPr>
        <w:t>na miejscu zdarzenia w Ostródzie, w nocy z 30 na 31 sierpn</w:t>
      </w:r>
      <w:r w:rsidR="006066C3">
        <w:rPr>
          <w:lang w:val="pl-PL"/>
        </w:rPr>
        <w:t xml:space="preserve">ia 2003 roku i </w:t>
      </w:r>
      <w:r w:rsidR="000A3B8C">
        <w:rPr>
          <w:lang w:val="pl-PL"/>
        </w:rPr>
        <w:t>obserwujący rozwój</w:t>
      </w:r>
      <w:r w:rsidR="006066C3">
        <w:rPr>
          <w:lang w:val="pl-PL"/>
        </w:rPr>
        <w:t xml:space="preserve"> wydarzeń -</w:t>
      </w:r>
      <w:r w:rsidR="00F846D9">
        <w:rPr>
          <w:lang w:val="pl-PL"/>
        </w:rPr>
        <w:t xml:space="preserve"> zidentyfikowali skarżących jako sprawców zakłócenia publicznego. W czasie zatrzymania przez policjantów można było powziąć uzasadnione podejrzenie, że </w:t>
      </w:r>
      <w:r w:rsidR="001B5E36">
        <w:rPr>
          <w:lang w:val="pl-PL"/>
        </w:rPr>
        <w:t xml:space="preserve">skarżący </w:t>
      </w:r>
      <w:r w:rsidR="00F846D9">
        <w:rPr>
          <w:lang w:val="pl-PL"/>
        </w:rPr>
        <w:t xml:space="preserve">są winni wykroczenia.    </w:t>
      </w:r>
    </w:p>
    <w:p w:rsidR="00F061A3" w:rsidRPr="002B689B" w:rsidRDefault="003001A7" w:rsidP="00F061A3">
      <w:pPr>
        <w:pStyle w:val="JuPara"/>
        <w:tabs>
          <w:tab w:val="left" w:pos="426"/>
        </w:tabs>
        <w:rPr>
          <w:lang w:val="pl-PL"/>
        </w:rPr>
      </w:pPr>
      <w:r>
        <w:fldChar w:fldCharType="begin"/>
      </w:r>
      <w:r w:rsidR="00F061A3" w:rsidRPr="002B689B">
        <w:rPr>
          <w:lang w:val="pl-PL"/>
        </w:rPr>
        <w:instrText xml:space="preserve"> SEQ level0 \*arabic </w:instrText>
      </w:r>
      <w:r>
        <w:fldChar w:fldCharType="separate"/>
      </w:r>
      <w:r w:rsidR="004E0BEB">
        <w:rPr>
          <w:noProof/>
          <w:lang w:val="pl-PL"/>
        </w:rPr>
        <w:t>134</w:t>
      </w:r>
      <w:r>
        <w:fldChar w:fldCharType="end"/>
      </w:r>
      <w:r w:rsidR="00F061A3" w:rsidRPr="002B689B">
        <w:rPr>
          <w:lang w:val="pl-PL"/>
        </w:rPr>
        <w:t>.  </w:t>
      </w:r>
      <w:r w:rsidR="002B689B" w:rsidRPr="002B689B">
        <w:rPr>
          <w:lang w:val="pl-PL"/>
        </w:rPr>
        <w:t xml:space="preserve">Następnie Trybunał podnosi, że zatrzymanie skarżących nie nastąpiło w wyniku rutynowych działań policji, ale było częścią </w:t>
      </w:r>
      <w:r w:rsidR="002B689B">
        <w:rPr>
          <w:lang w:val="pl-PL"/>
        </w:rPr>
        <w:t>połączonych działań sił porządkowych mających na celu ustalenie tożsamości i doprowadzenie na posterunek większej ilości sprawców by dokonać tam niezbędnych czynności do przeprowadzenia wobec nich postępowania o popeł</w:t>
      </w:r>
      <w:r w:rsidR="006066C3">
        <w:rPr>
          <w:lang w:val="pl-PL"/>
        </w:rPr>
        <w:t>nienie wykroczenia</w:t>
      </w:r>
      <w:r w:rsidR="00F061A3" w:rsidRPr="002B689B">
        <w:rPr>
          <w:lang w:val="pl-PL"/>
        </w:rPr>
        <w:t>.</w:t>
      </w:r>
    </w:p>
    <w:p w:rsidR="00F061A3" w:rsidRPr="002B689B" w:rsidRDefault="003001A7" w:rsidP="00F061A3">
      <w:pPr>
        <w:pStyle w:val="JuPara"/>
        <w:tabs>
          <w:tab w:val="left" w:pos="426"/>
        </w:tabs>
        <w:rPr>
          <w:lang w:val="pl-PL"/>
        </w:rPr>
      </w:pPr>
      <w:r>
        <w:fldChar w:fldCharType="begin"/>
      </w:r>
      <w:r w:rsidR="00F061A3" w:rsidRPr="006B31D5">
        <w:rPr>
          <w:lang w:val="pl-PL"/>
        </w:rPr>
        <w:instrText xml:space="preserve"> SEQ level0 \*arabic </w:instrText>
      </w:r>
      <w:r>
        <w:fldChar w:fldCharType="separate"/>
      </w:r>
      <w:r w:rsidR="004E0BEB">
        <w:rPr>
          <w:noProof/>
          <w:lang w:val="pl-PL"/>
        </w:rPr>
        <w:t>135</w:t>
      </w:r>
      <w:r>
        <w:fldChar w:fldCharType="end"/>
      </w:r>
      <w:r w:rsidR="00F061A3" w:rsidRPr="006B31D5">
        <w:rPr>
          <w:lang w:val="pl-PL"/>
        </w:rPr>
        <w:t>.  </w:t>
      </w:r>
      <w:r w:rsidR="002B689B" w:rsidRPr="002B689B">
        <w:rPr>
          <w:lang w:val="pl-PL"/>
        </w:rPr>
        <w:t xml:space="preserve">Trybunał zauważa, że podejrzenia wobec Sebastiana Tomaszewskiego i Artura Tomaszewskiego zostały potwierdzone w czasie postępowania karnego, które zakończyło się </w:t>
      </w:r>
      <w:r w:rsidR="00DC151E">
        <w:rPr>
          <w:lang w:val="pl-PL"/>
        </w:rPr>
        <w:t>orzeczeniem</w:t>
      </w:r>
      <w:r w:rsidR="002B689B">
        <w:rPr>
          <w:lang w:val="pl-PL"/>
        </w:rPr>
        <w:t xml:space="preserve"> odpowiednio kary </w:t>
      </w:r>
      <w:r w:rsidR="002B689B">
        <w:rPr>
          <w:lang w:val="pl-PL"/>
        </w:rPr>
        <w:lastRenderedPageBreak/>
        <w:t xml:space="preserve">grzywny i </w:t>
      </w:r>
      <w:r w:rsidR="00DC151E">
        <w:rPr>
          <w:lang w:val="pl-PL"/>
        </w:rPr>
        <w:t xml:space="preserve">obowiązku </w:t>
      </w:r>
      <w:r w:rsidR="002B689B">
        <w:rPr>
          <w:lang w:val="pl-PL"/>
        </w:rPr>
        <w:t xml:space="preserve">prac </w:t>
      </w:r>
      <w:r w:rsidR="00DC151E">
        <w:rPr>
          <w:lang w:val="pl-PL"/>
        </w:rPr>
        <w:t xml:space="preserve">społecznie użytecznych </w:t>
      </w:r>
      <w:r w:rsidR="002B689B">
        <w:rPr>
          <w:lang w:val="pl-PL"/>
        </w:rPr>
        <w:t xml:space="preserve">z powodu wykroczenia przewidzianego w artykule </w:t>
      </w:r>
      <w:r w:rsidR="00F061A3" w:rsidRPr="002B689B">
        <w:rPr>
          <w:lang w:val="pl-PL"/>
        </w:rPr>
        <w:t xml:space="preserve">51 §§ 1 </w:t>
      </w:r>
      <w:r w:rsidR="002B689B">
        <w:rPr>
          <w:lang w:val="pl-PL"/>
        </w:rPr>
        <w:t>i 2 oraz</w:t>
      </w:r>
      <w:r w:rsidR="00F061A3" w:rsidRPr="002B689B">
        <w:rPr>
          <w:lang w:val="pl-PL"/>
        </w:rPr>
        <w:t xml:space="preserve"> 141 </w:t>
      </w:r>
      <w:r w:rsidR="006066C3">
        <w:rPr>
          <w:lang w:val="pl-PL"/>
        </w:rPr>
        <w:t>k</w:t>
      </w:r>
      <w:r w:rsidR="002B689B">
        <w:rPr>
          <w:lang w:val="pl-PL"/>
        </w:rPr>
        <w:t>odeksu</w:t>
      </w:r>
      <w:r w:rsidR="00C66BF7">
        <w:rPr>
          <w:lang w:val="pl-PL"/>
        </w:rPr>
        <w:t xml:space="preserve"> postępowania w sprawach o wykroczenia.</w:t>
      </w:r>
    </w:p>
    <w:p w:rsidR="00C66BF7" w:rsidRDefault="003001A7" w:rsidP="00F061A3">
      <w:pPr>
        <w:pStyle w:val="JuPara"/>
        <w:tabs>
          <w:tab w:val="left" w:pos="426"/>
        </w:tabs>
        <w:rPr>
          <w:lang w:val="pl-PL"/>
        </w:rPr>
      </w:pPr>
      <w:r>
        <w:fldChar w:fldCharType="begin"/>
      </w:r>
      <w:r w:rsidR="00F061A3" w:rsidRPr="006B31D5">
        <w:rPr>
          <w:lang w:val="pl-PL"/>
        </w:rPr>
        <w:instrText xml:space="preserve"> SEQ level0 \*arabic </w:instrText>
      </w:r>
      <w:r>
        <w:fldChar w:fldCharType="separate"/>
      </w:r>
      <w:r w:rsidR="004E0BEB">
        <w:rPr>
          <w:noProof/>
          <w:lang w:val="pl-PL"/>
        </w:rPr>
        <w:t>136</w:t>
      </w:r>
      <w:r>
        <w:fldChar w:fldCharType="end"/>
      </w:r>
      <w:r w:rsidR="00F061A3" w:rsidRPr="006B31D5">
        <w:rPr>
          <w:lang w:val="pl-PL"/>
        </w:rPr>
        <w:t>.  </w:t>
      </w:r>
      <w:r w:rsidR="00C66BF7" w:rsidRPr="00C66BF7">
        <w:rPr>
          <w:lang w:val="pl-PL"/>
        </w:rPr>
        <w:t>Wziąwszy powyższe pod uwagę, Trybunał uznaje</w:t>
      </w:r>
      <w:r w:rsidR="00C66BF7">
        <w:rPr>
          <w:lang w:val="pl-PL"/>
        </w:rPr>
        <w:t xml:space="preserve">, że </w:t>
      </w:r>
      <w:r w:rsidR="0010630F">
        <w:rPr>
          <w:lang w:val="pl-PL"/>
        </w:rPr>
        <w:t xml:space="preserve">pozbawienie wolności skarżących </w:t>
      </w:r>
      <w:r w:rsidR="00C66BF7">
        <w:rPr>
          <w:lang w:val="pl-PL"/>
        </w:rPr>
        <w:t>dokonane w celu doprowadzenia ich prze</w:t>
      </w:r>
      <w:r w:rsidR="00712B4A">
        <w:rPr>
          <w:lang w:val="pl-PL"/>
        </w:rPr>
        <w:t>d właściwy sąd w związku z podejrzeniem popełnienia</w:t>
      </w:r>
      <w:r w:rsidR="00C66BF7">
        <w:rPr>
          <w:lang w:val="pl-PL"/>
        </w:rPr>
        <w:t xml:space="preserve"> wykroczenia mogłoby być </w:t>
      </w:r>
      <w:r w:rsidR="00C66BF7" w:rsidRPr="00C66BF7">
        <w:rPr>
          <w:lang w:val="pl-PL"/>
        </w:rPr>
        <w:t>uzasadnione</w:t>
      </w:r>
      <w:r w:rsidR="00C66BF7">
        <w:rPr>
          <w:lang w:val="pl-PL"/>
        </w:rPr>
        <w:t xml:space="preserve"> z punktu widzenia artykułu 5 </w:t>
      </w:r>
      <w:r w:rsidR="00C66BF7" w:rsidRPr="00C66BF7">
        <w:rPr>
          <w:lang w:val="pl-PL"/>
        </w:rPr>
        <w:t xml:space="preserve">§ 1 c) </w:t>
      </w:r>
      <w:r w:rsidR="00C66BF7">
        <w:rPr>
          <w:lang w:val="pl-PL"/>
        </w:rPr>
        <w:t xml:space="preserve">Konwencji. </w:t>
      </w:r>
      <w:r w:rsidR="00F061A3" w:rsidRPr="00C66BF7">
        <w:rPr>
          <w:lang w:val="pl-PL"/>
        </w:rPr>
        <w:t> </w:t>
      </w:r>
    </w:p>
    <w:p w:rsidR="00F061A3" w:rsidRPr="00520B20" w:rsidRDefault="003001A7" w:rsidP="008E5A85">
      <w:pPr>
        <w:pStyle w:val="JuPara"/>
        <w:tabs>
          <w:tab w:val="left" w:pos="426"/>
        </w:tabs>
        <w:rPr>
          <w:lang w:val="pl-PL"/>
        </w:rPr>
      </w:pPr>
      <w:r>
        <w:fldChar w:fldCharType="begin"/>
      </w:r>
      <w:r w:rsidR="00F061A3" w:rsidRPr="008E5A85">
        <w:rPr>
          <w:lang w:val="pl-PL"/>
        </w:rPr>
        <w:instrText xml:space="preserve"> SEQ level0 \*arabic </w:instrText>
      </w:r>
      <w:r>
        <w:fldChar w:fldCharType="separate"/>
      </w:r>
      <w:r w:rsidR="004E0BEB">
        <w:rPr>
          <w:noProof/>
          <w:lang w:val="pl-PL"/>
        </w:rPr>
        <w:t>137</w:t>
      </w:r>
      <w:r>
        <w:fldChar w:fldCharType="end"/>
      </w:r>
      <w:r w:rsidR="00F061A3" w:rsidRPr="008E5A85">
        <w:rPr>
          <w:lang w:val="pl-PL"/>
        </w:rPr>
        <w:t>. </w:t>
      </w:r>
      <w:r w:rsidR="008E5A85">
        <w:rPr>
          <w:lang w:val="pl-PL"/>
        </w:rPr>
        <w:t>Trybunał przypomina</w:t>
      </w:r>
      <w:r w:rsidR="008E5A85" w:rsidRPr="008E5A85">
        <w:rPr>
          <w:lang w:val="pl-PL"/>
        </w:rPr>
        <w:t>, że zgodnie z art. 5</w:t>
      </w:r>
      <w:r w:rsidR="00E03A63">
        <w:rPr>
          <w:lang w:val="pl-PL"/>
        </w:rPr>
        <w:t xml:space="preserve"> </w:t>
      </w:r>
      <w:r w:rsidR="008E5A85" w:rsidRPr="00C66BF7">
        <w:rPr>
          <w:lang w:val="pl-PL"/>
        </w:rPr>
        <w:t>§ 1 </w:t>
      </w:r>
      <w:r w:rsidR="008E5A85" w:rsidRPr="008E5A85">
        <w:rPr>
          <w:lang w:val="pl-PL"/>
        </w:rPr>
        <w:t xml:space="preserve"> Konwencji każde pozbawienie wolności musi być „zgodne z prawem”, co zawiera wymaganie, by zostało przeprowadzone „zgodnie z procedurą przewidzianą przez prawo”. W tym miejscu Konwencja nade wszystko odwołuje się do prawa krajowego i przedkłada obowiązek zgodności z jego materialnymi i proceduralnymi postano</w:t>
      </w:r>
      <w:r w:rsidR="008E5A85">
        <w:rPr>
          <w:lang w:val="pl-PL"/>
        </w:rPr>
        <w:t xml:space="preserve">wieniami </w:t>
      </w:r>
      <w:r w:rsidR="00F061A3" w:rsidRPr="008E5A85">
        <w:rPr>
          <w:lang w:val="pl-PL"/>
        </w:rPr>
        <w:t>(</w:t>
      </w:r>
      <w:r w:rsidR="008E5A85">
        <w:rPr>
          <w:lang w:val="pl-PL"/>
        </w:rPr>
        <w:t xml:space="preserve">wyż. cyt. </w:t>
      </w:r>
      <w:r w:rsidR="00F061A3" w:rsidRPr="008E5A85">
        <w:rPr>
          <w:i/>
          <w:lang w:val="pl-PL"/>
        </w:rPr>
        <w:t>Witold</w:t>
      </w:r>
      <w:r w:rsidR="001F7BC4">
        <w:rPr>
          <w:i/>
          <w:lang w:val="pl-PL"/>
        </w:rPr>
        <w:t xml:space="preserve"> </w:t>
      </w:r>
      <w:r w:rsidR="00F061A3" w:rsidRPr="008E5A85">
        <w:rPr>
          <w:i/>
          <w:lang w:val="pl-PL"/>
        </w:rPr>
        <w:t>Litwa</w:t>
      </w:r>
      <w:r w:rsidR="00461C47">
        <w:rPr>
          <w:i/>
          <w:lang w:val="pl-PL"/>
        </w:rPr>
        <w:t xml:space="preserve"> </w:t>
      </w:r>
      <w:r w:rsidR="00F061A3" w:rsidRPr="008E5A85">
        <w:rPr>
          <w:lang w:val="pl-PL"/>
        </w:rPr>
        <w:t xml:space="preserve">§ 72). </w:t>
      </w:r>
      <w:r w:rsidR="008E5A85" w:rsidRPr="008E5A85">
        <w:rPr>
          <w:lang w:val="pl-PL"/>
        </w:rPr>
        <w:t>Jeśli na władzach krajowych, a szczególnie na sądach spoczywa w pierwszym rzędzie obowiązek interpretowania i stosowania prawa wewnętrznego, to s</w:t>
      </w:r>
      <w:r w:rsidR="008E5A85">
        <w:rPr>
          <w:lang w:val="pl-PL"/>
        </w:rPr>
        <w:t>ytuacja przedstawia się inaczej</w:t>
      </w:r>
      <w:r w:rsidR="008E5A85" w:rsidRPr="008E5A85">
        <w:rPr>
          <w:lang w:val="pl-PL"/>
        </w:rPr>
        <w:t xml:space="preserve"> w </w:t>
      </w:r>
      <w:r w:rsidR="008E5A85">
        <w:rPr>
          <w:lang w:val="pl-PL"/>
        </w:rPr>
        <w:t>sprawach, w których w odniesieniu do artykułu 5 § 1 nieprzestrzeganie prawa krajowego pocią</w:t>
      </w:r>
      <w:r w:rsidR="00D468C3">
        <w:rPr>
          <w:lang w:val="pl-PL"/>
        </w:rPr>
        <w:t>ga za sobą naruszenie Konwencji</w:t>
      </w:r>
      <w:r w:rsidR="00735176">
        <w:rPr>
          <w:lang w:val="pl-PL"/>
        </w:rPr>
        <w:t xml:space="preserve">. </w:t>
      </w:r>
      <w:r w:rsidR="00735176" w:rsidRPr="00735176">
        <w:rPr>
          <w:lang w:val="pl-PL"/>
        </w:rPr>
        <w:t xml:space="preserve"> </w:t>
      </w:r>
      <w:r w:rsidR="00735176" w:rsidRPr="005A3C7E">
        <w:rPr>
          <w:lang w:val="pl-PL"/>
        </w:rPr>
        <w:t xml:space="preserve">W takim przypadku, Trybunał może i powinien </w:t>
      </w:r>
      <w:r w:rsidR="00520B20">
        <w:rPr>
          <w:lang w:val="pl-PL"/>
        </w:rPr>
        <w:t>sprawować na określonym poziomie kontrolę</w:t>
      </w:r>
      <w:r w:rsidR="00292BD0">
        <w:rPr>
          <w:lang w:val="pl-PL"/>
        </w:rPr>
        <w:t xml:space="preserve"> w celu sprawdzenia</w:t>
      </w:r>
      <w:r w:rsidR="005A3C7E">
        <w:rPr>
          <w:lang w:val="pl-PL"/>
        </w:rPr>
        <w:t xml:space="preserve"> czy </w:t>
      </w:r>
      <w:r w:rsidR="000370E7">
        <w:rPr>
          <w:lang w:val="pl-PL"/>
        </w:rPr>
        <w:t>przestrzegano prawa</w:t>
      </w:r>
      <w:r w:rsidR="005A3C7E" w:rsidRPr="005A3C7E">
        <w:rPr>
          <w:lang w:val="pl-PL"/>
        </w:rPr>
        <w:t xml:space="preserve"> krajowe</w:t>
      </w:r>
      <w:r w:rsidR="000370E7">
        <w:rPr>
          <w:lang w:val="pl-PL"/>
        </w:rPr>
        <w:t>go</w:t>
      </w:r>
      <w:r w:rsidR="00735176" w:rsidRPr="005A3C7E">
        <w:rPr>
          <w:lang w:val="pl-PL"/>
        </w:rPr>
        <w:t xml:space="preserve"> </w:t>
      </w:r>
      <w:r w:rsidR="00F061A3" w:rsidRPr="00520B20">
        <w:rPr>
          <w:lang w:val="pl-PL"/>
        </w:rPr>
        <w:t>(</w:t>
      </w:r>
      <w:r w:rsidR="008E5A85" w:rsidRPr="00520B20">
        <w:rPr>
          <w:i/>
          <w:lang w:val="pl-PL"/>
        </w:rPr>
        <w:t>Baranowski p. Polsce</w:t>
      </w:r>
      <w:r w:rsidR="00F061A3" w:rsidRPr="00520B20">
        <w:rPr>
          <w:i/>
          <w:lang w:val="pl-PL"/>
        </w:rPr>
        <w:t xml:space="preserve">, </w:t>
      </w:r>
      <w:r w:rsidR="008E5A85" w:rsidRPr="00520B20">
        <w:rPr>
          <w:lang w:val="pl-PL"/>
        </w:rPr>
        <w:t>nr</w:t>
      </w:r>
      <w:r w:rsidR="00F061A3" w:rsidRPr="00520B20">
        <w:rPr>
          <w:lang w:val="pl-PL"/>
        </w:rPr>
        <w:t xml:space="preserve"> 28358/95, § 56, </w:t>
      </w:r>
      <w:r w:rsidR="008E5A85" w:rsidRPr="00520B20">
        <w:rPr>
          <w:lang w:val="pl-PL"/>
        </w:rPr>
        <w:t>dn. 28 marca</w:t>
      </w:r>
      <w:r w:rsidR="00F061A3" w:rsidRPr="00520B20">
        <w:rPr>
          <w:lang w:val="pl-PL"/>
        </w:rPr>
        <w:t xml:space="preserve"> 2000</w:t>
      </w:r>
      <w:r w:rsidR="008E5A85" w:rsidRPr="00520B20">
        <w:rPr>
          <w:lang w:val="pl-PL"/>
        </w:rPr>
        <w:t xml:space="preserve"> r.</w:t>
      </w:r>
      <w:r w:rsidR="00F061A3" w:rsidRPr="00520B20">
        <w:rPr>
          <w:lang w:val="pl-PL"/>
        </w:rPr>
        <w:t>).</w:t>
      </w:r>
    </w:p>
    <w:p w:rsidR="001D1202" w:rsidRPr="003C1254" w:rsidRDefault="003001A7" w:rsidP="001D1202">
      <w:pPr>
        <w:pStyle w:val="JuPara"/>
        <w:rPr>
          <w:lang w:val="pl-PL"/>
        </w:rPr>
      </w:pPr>
      <w:r>
        <w:fldChar w:fldCharType="begin"/>
      </w:r>
      <w:r w:rsidR="00F061A3" w:rsidRPr="006B31D5">
        <w:rPr>
          <w:lang w:val="pl-PL"/>
        </w:rPr>
        <w:instrText xml:space="preserve"> SEQ level0 \*arabic </w:instrText>
      </w:r>
      <w:r>
        <w:fldChar w:fldCharType="separate"/>
      </w:r>
      <w:r w:rsidR="004E0BEB">
        <w:rPr>
          <w:noProof/>
          <w:lang w:val="pl-PL"/>
        </w:rPr>
        <w:t>138</w:t>
      </w:r>
      <w:r>
        <w:fldChar w:fldCharType="end"/>
      </w:r>
      <w:r w:rsidR="00F061A3" w:rsidRPr="006B31D5">
        <w:rPr>
          <w:lang w:val="pl-PL"/>
        </w:rPr>
        <w:t>.  </w:t>
      </w:r>
      <w:r w:rsidR="001D1202" w:rsidRPr="00967037">
        <w:rPr>
          <w:lang w:val="pl-PL"/>
        </w:rPr>
        <w:t>Jednak mimo, że z pu</w:t>
      </w:r>
      <w:r w:rsidR="00B208D0">
        <w:rPr>
          <w:lang w:val="pl-PL"/>
        </w:rPr>
        <w:t>nktu widzenia prawa krajowego „zgodność z prawem „</w:t>
      </w:r>
      <w:r w:rsidR="001D1202" w:rsidRPr="00967037">
        <w:rPr>
          <w:lang w:val="pl-PL"/>
        </w:rPr>
        <w:t xml:space="preserve"> aresztowania jest istotnym elementem, to jednak to nie wystarcza.</w:t>
      </w:r>
      <w:r w:rsidR="001D1202">
        <w:rPr>
          <w:lang w:val="pl-PL"/>
        </w:rPr>
        <w:t xml:space="preserve"> Trybunał musi być ponadto przekonany, że aresztowanie w danym okresie jest zgodne z celem artykułu </w:t>
      </w:r>
      <w:r w:rsidR="001D1202" w:rsidRPr="00967037">
        <w:rPr>
          <w:lang w:val="pl-PL"/>
        </w:rPr>
        <w:t xml:space="preserve">5 § 1, </w:t>
      </w:r>
      <w:r w:rsidR="001D1202">
        <w:rPr>
          <w:lang w:val="pl-PL"/>
        </w:rPr>
        <w:t xml:space="preserve">to jest ochroną jednostki przed arbitralnymi działaniami </w:t>
      </w:r>
      <w:r w:rsidR="001D1202" w:rsidRPr="00967037">
        <w:rPr>
          <w:lang w:val="pl-PL"/>
        </w:rPr>
        <w:t>(</w:t>
      </w:r>
      <w:r w:rsidR="001D1202">
        <w:rPr>
          <w:lang w:val="pl-PL"/>
        </w:rPr>
        <w:t>zob. pośród wielu innych</w:t>
      </w:r>
      <w:r w:rsidR="001D1202" w:rsidRPr="00967037">
        <w:rPr>
          <w:lang w:val="pl-PL"/>
        </w:rPr>
        <w:t xml:space="preserve">, </w:t>
      </w:r>
      <w:proofErr w:type="spellStart"/>
      <w:r w:rsidR="001D1202" w:rsidRPr="00967037">
        <w:rPr>
          <w:i/>
          <w:lang w:val="pl-PL"/>
        </w:rPr>
        <w:t>Amuur</w:t>
      </w:r>
      <w:proofErr w:type="spellEnd"/>
      <w:r w:rsidR="001F7BC4">
        <w:rPr>
          <w:i/>
          <w:lang w:val="pl-PL"/>
        </w:rPr>
        <w:t xml:space="preserve"> </w:t>
      </w:r>
      <w:r w:rsidR="001D1202">
        <w:rPr>
          <w:i/>
          <w:lang w:val="pl-PL"/>
        </w:rPr>
        <w:t>p. Francji</w:t>
      </w:r>
      <w:r w:rsidR="001D1202" w:rsidRPr="00967037">
        <w:rPr>
          <w:lang w:val="pl-PL"/>
        </w:rPr>
        <w:t xml:space="preserve">, </w:t>
      </w:r>
      <w:r w:rsidR="001D1202">
        <w:rPr>
          <w:lang w:val="pl-PL"/>
        </w:rPr>
        <w:t>dn. 25 czerwca</w:t>
      </w:r>
      <w:r w:rsidR="001D1202" w:rsidRPr="00967037">
        <w:rPr>
          <w:lang w:val="pl-PL"/>
        </w:rPr>
        <w:t xml:space="preserve"> 1996</w:t>
      </w:r>
      <w:r w:rsidR="001D1202">
        <w:rPr>
          <w:lang w:val="pl-PL"/>
        </w:rPr>
        <w:t xml:space="preserve"> r.</w:t>
      </w:r>
      <w:r w:rsidR="001D1202" w:rsidRPr="00967037">
        <w:rPr>
          <w:lang w:val="pl-PL"/>
        </w:rPr>
        <w:t xml:space="preserve">, § 50, </w:t>
      </w:r>
      <w:r w:rsidR="001D1202">
        <w:rPr>
          <w:i/>
          <w:lang w:val="pl-PL"/>
        </w:rPr>
        <w:t xml:space="preserve">Zbiór wyroków i postanowień </w:t>
      </w:r>
      <w:r w:rsidR="001D1202" w:rsidRPr="00967037">
        <w:rPr>
          <w:lang w:val="pl-PL"/>
        </w:rPr>
        <w:t xml:space="preserve">1996-III ; </w:t>
      </w:r>
      <w:proofErr w:type="spellStart"/>
      <w:r w:rsidR="001D1202" w:rsidRPr="00967037">
        <w:rPr>
          <w:rStyle w:val="ju--005fpara----char--char"/>
          <w:i/>
          <w:iCs/>
          <w:lang w:val="pl-PL"/>
        </w:rPr>
        <w:t>Ilaşcu</w:t>
      </w:r>
      <w:proofErr w:type="spellEnd"/>
      <w:r w:rsidR="00F817FE">
        <w:rPr>
          <w:rStyle w:val="ju--005fpara----char--char"/>
          <w:i/>
          <w:iCs/>
          <w:lang w:val="pl-PL"/>
        </w:rPr>
        <w:t xml:space="preserve"> </w:t>
      </w:r>
      <w:r w:rsidR="001D1202">
        <w:rPr>
          <w:rStyle w:val="ju--005fpara----char--char"/>
          <w:i/>
          <w:iCs/>
          <w:lang w:val="pl-PL"/>
        </w:rPr>
        <w:t>i inni p. Mołdowie</w:t>
      </w:r>
      <w:r w:rsidR="001F7BC4">
        <w:rPr>
          <w:rStyle w:val="ju--005fpara----char--char"/>
          <w:i/>
          <w:iCs/>
          <w:lang w:val="pl-PL"/>
        </w:rPr>
        <w:t xml:space="preserve"> </w:t>
      </w:r>
      <w:r w:rsidR="001D1202">
        <w:rPr>
          <w:rStyle w:val="ju--005fpara----char--char"/>
          <w:i/>
          <w:iCs/>
          <w:lang w:val="pl-PL"/>
        </w:rPr>
        <w:t>i Rosji</w:t>
      </w:r>
      <w:r w:rsidR="001D1202">
        <w:rPr>
          <w:lang w:val="pl-PL"/>
        </w:rPr>
        <w:t xml:space="preserve"> [WI], nr</w:t>
      </w:r>
      <w:r w:rsidR="001D1202" w:rsidRPr="00967037">
        <w:rPr>
          <w:lang w:val="pl-PL"/>
        </w:rPr>
        <w:t xml:space="preserve"> 48787/99, § 461, </w:t>
      </w:r>
      <w:r w:rsidR="001D1202">
        <w:rPr>
          <w:lang w:val="pl-PL"/>
        </w:rPr>
        <w:t>ETPC</w:t>
      </w:r>
      <w:r w:rsidR="001D1202" w:rsidRPr="00967037">
        <w:rPr>
          <w:lang w:val="pl-PL"/>
        </w:rPr>
        <w:t xml:space="preserve"> 2004-VII ; </w:t>
      </w:r>
      <w:proofErr w:type="spellStart"/>
      <w:r w:rsidR="001D1202" w:rsidRPr="00967037">
        <w:rPr>
          <w:rStyle w:val="ju--005fpara----char--char"/>
          <w:i/>
          <w:iCs/>
          <w:lang w:val="pl-PL"/>
        </w:rPr>
        <w:t>Assanidzé</w:t>
      </w:r>
      <w:proofErr w:type="spellEnd"/>
      <w:r w:rsidR="001F7BC4">
        <w:rPr>
          <w:rStyle w:val="ju--005fpara----char--char"/>
          <w:i/>
          <w:iCs/>
          <w:lang w:val="pl-PL"/>
        </w:rPr>
        <w:t xml:space="preserve"> </w:t>
      </w:r>
      <w:r w:rsidR="001D1202">
        <w:rPr>
          <w:rStyle w:val="ju--005fpara----char--char"/>
          <w:i/>
          <w:iCs/>
          <w:lang w:val="pl-PL"/>
        </w:rPr>
        <w:t>p. Gruzji</w:t>
      </w:r>
      <w:r w:rsidR="001D1202">
        <w:rPr>
          <w:lang w:val="pl-PL"/>
        </w:rPr>
        <w:t xml:space="preserve"> [WI], nr</w:t>
      </w:r>
      <w:r w:rsidR="001D1202" w:rsidRPr="00967037">
        <w:rPr>
          <w:lang w:val="pl-PL"/>
        </w:rPr>
        <w:t xml:space="preserve"> 71503/01, § 171, </w:t>
      </w:r>
      <w:r w:rsidR="001D1202">
        <w:rPr>
          <w:lang w:val="pl-PL"/>
        </w:rPr>
        <w:t>ETPC</w:t>
      </w:r>
      <w:r w:rsidR="001D1202" w:rsidRPr="00967037">
        <w:rPr>
          <w:lang w:val="pl-PL"/>
        </w:rPr>
        <w:t xml:space="preserve"> 2004-II ; </w:t>
      </w:r>
      <w:proofErr w:type="spellStart"/>
      <w:r w:rsidR="001D1202" w:rsidRPr="00967037">
        <w:rPr>
          <w:rStyle w:val="ju--005fpara----char--char"/>
          <w:i/>
          <w:iCs/>
          <w:lang w:val="pl-PL"/>
        </w:rPr>
        <w:t>McKay</w:t>
      </w:r>
      <w:proofErr w:type="spellEnd"/>
      <w:r w:rsidR="001F7BC4">
        <w:rPr>
          <w:rStyle w:val="ju--005fpara----char--char"/>
          <w:i/>
          <w:iCs/>
          <w:lang w:val="pl-PL"/>
        </w:rPr>
        <w:t xml:space="preserve"> </w:t>
      </w:r>
      <w:r w:rsidR="001D1202">
        <w:rPr>
          <w:rStyle w:val="ju--005fpara----char--char"/>
          <w:i/>
          <w:iCs/>
          <w:lang w:val="pl-PL"/>
        </w:rPr>
        <w:t>p. Zjednoczonemu Królestwu</w:t>
      </w:r>
      <w:r w:rsidR="001D1202">
        <w:rPr>
          <w:lang w:val="pl-PL"/>
        </w:rPr>
        <w:t>[WI], nr</w:t>
      </w:r>
      <w:r w:rsidR="001D1202" w:rsidRPr="00967037">
        <w:rPr>
          <w:vertAlign w:val="superscript"/>
          <w:lang w:val="pl-PL"/>
        </w:rPr>
        <w:t> </w:t>
      </w:r>
      <w:r w:rsidR="001D1202" w:rsidRPr="00967037">
        <w:rPr>
          <w:lang w:val="pl-PL"/>
        </w:rPr>
        <w:t xml:space="preserve">543/03, § 30, </w:t>
      </w:r>
      <w:r w:rsidR="001D1202">
        <w:rPr>
          <w:lang w:val="pl-PL"/>
        </w:rPr>
        <w:t>ETPC</w:t>
      </w:r>
      <w:r w:rsidR="001D1202" w:rsidRPr="00967037">
        <w:rPr>
          <w:lang w:val="pl-PL"/>
        </w:rPr>
        <w:t xml:space="preserve"> 2006-X ; </w:t>
      </w:r>
      <w:proofErr w:type="spellStart"/>
      <w:r w:rsidR="001D1202" w:rsidRPr="00967037">
        <w:rPr>
          <w:i/>
          <w:lang w:val="pl-PL"/>
        </w:rPr>
        <w:t>Mooren</w:t>
      </w:r>
      <w:proofErr w:type="spellEnd"/>
      <w:r w:rsidR="001F7BC4">
        <w:rPr>
          <w:i/>
          <w:lang w:val="pl-PL"/>
        </w:rPr>
        <w:t xml:space="preserve"> </w:t>
      </w:r>
      <w:r w:rsidR="001D1202">
        <w:rPr>
          <w:i/>
          <w:iCs/>
          <w:lang w:val="pl-PL"/>
        </w:rPr>
        <w:t>p. Niemcom</w:t>
      </w:r>
      <w:r w:rsidR="001D1202" w:rsidRPr="00967037">
        <w:rPr>
          <w:lang w:val="pl-PL"/>
        </w:rPr>
        <w:t xml:space="preserve"> [</w:t>
      </w:r>
      <w:r w:rsidR="001D1202">
        <w:rPr>
          <w:lang w:val="pl-PL"/>
        </w:rPr>
        <w:t>WI], nr</w:t>
      </w:r>
      <w:r w:rsidR="001D1202" w:rsidRPr="00967037">
        <w:rPr>
          <w:lang w:val="pl-PL"/>
        </w:rPr>
        <w:t xml:space="preserve"> 11364/03, § 76, </w:t>
      </w:r>
      <w:r w:rsidR="001D1202">
        <w:rPr>
          <w:lang w:val="pl-PL"/>
        </w:rPr>
        <w:t>ETPC</w:t>
      </w:r>
      <w:r w:rsidR="001D1202" w:rsidRPr="00967037">
        <w:rPr>
          <w:lang w:val="pl-PL"/>
        </w:rPr>
        <w:t xml:space="preserve"> 2009</w:t>
      </w:r>
      <w:r w:rsidR="001D1202">
        <w:rPr>
          <w:lang w:val="pl-PL"/>
        </w:rPr>
        <w:t>- …, oraz</w:t>
      </w:r>
      <w:r w:rsidR="001F7BC4">
        <w:rPr>
          <w:lang w:val="pl-PL"/>
        </w:rPr>
        <w:t xml:space="preserve"> </w:t>
      </w:r>
      <w:proofErr w:type="spellStart"/>
      <w:r w:rsidR="001D1202" w:rsidRPr="00967037">
        <w:rPr>
          <w:i/>
          <w:lang w:val="pl-PL"/>
        </w:rPr>
        <w:t>Medvedyev</w:t>
      </w:r>
      <w:proofErr w:type="spellEnd"/>
      <w:r w:rsidR="001F7BC4">
        <w:rPr>
          <w:i/>
          <w:lang w:val="pl-PL"/>
        </w:rPr>
        <w:t xml:space="preserve"> </w:t>
      </w:r>
      <w:r w:rsidR="001D1202">
        <w:rPr>
          <w:i/>
          <w:lang w:val="pl-PL"/>
        </w:rPr>
        <w:t>i inni p. Francji</w:t>
      </w:r>
      <w:r w:rsidR="001D1202">
        <w:rPr>
          <w:lang w:val="pl-PL"/>
        </w:rPr>
        <w:t xml:space="preserve"> [WI], nr</w:t>
      </w:r>
      <w:r w:rsidR="001D1202" w:rsidRPr="00967037">
        <w:rPr>
          <w:lang w:val="pl-PL"/>
        </w:rPr>
        <w:t> 3394/03, § 79, 2010</w:t>
      </w:r>
      <w:r w:rsidR="001D1202">
        <w:rPr>
          <w:lang w:val="pl-PL"/>
        </w:rPr>
        <w:t xml:space="preserve"> -…</w:t>
      </w:r>
      <w:r w:rsidR="001D1202" w:rsidRPr="00967037">
        <w:rPr>
          <w:lang w:val="pl-PL"/>
        </w:rPr>
        <w:t xml:space="preserve">). </w:t>
      </w:r>
    </w:p>
    <w:p w:rsidR="00F061A3" w:rsidRPr="001D1202" w:rsidRDefault="003001A7" w:rsidP="001D1202">
      <w:pPr>
        <w:pStyle w:val="JuPara"/>
        <w:rPr>
          <w:lang w:val="pl-PL"/>
        </w:rPr>
      </w:pPr>
      <w:r>
        <w:fldChar w:fldCharType="begin"/>
      </w:r>
      <w:r w:rsidR="00F061A3" w:rsidRPr="001D1202">
        <w:rPr>
          <w:lang w:val="pl-PL"/>
        </w:rPr>
        <w:instrText xml:space="preserve"> SEQ level0 \*arabic </w:instrText>
      </w:r>
      <w:r>
        <w:fldChar w:fldCharType="separate"/>
      </w:r>
      <w:r w:rsidR="004E0BEB">
        <w:rPr>
          <w:noProof/>
          <w:lang w:val="pl-PL"/>
        </w:rPr>
        <w:t>139</w:t>
      </w:r>
      <w:r>
        <w:fldChar w:fldCharType="end"/>
      </w:r>
      <w:r w:rsidR="00F061A3" w:rsidRPr="001D1202">
        <w:rPr>
          <w:lang w:val="pl-PL"/>
        </w:rPr>
        <w:t>. </w:t>
      </w:r>
      <w:r w:rsidR="001D1202" w:rsidRPr="001D1202">
        <w:rPr>
          <w:szCs w:val="24"/>
          <w:lang w:val="pl-PL"/>
        </w:rPr>
        <w:t>Trybunał podkreśla, że jeżeli chodzi o pozbawienie wolności, szczególnie ważne jest, aby spełniona była ogólna zasada pewności pr</w:t>
      </w:r>
      <w:r w:rsidR="00DE3553">
        <w:rPr>
          <w:szCs w:val="24"/>
          <w:lang w:val="pl-PL"/>
        </w:rPr>
        <w:t>awa</w:t>
      </w:r>
      <w:r w:rsidR="001D1202" w:rsidRPr="001D1202">
        <w:rPr>
          <w:szCs w:val="24"/>
          <w:lang w:val="pl-PL"/>
        </w:rPr>
        <w:t>. Dlateg</w:t>
      </w:r>
      <w:r w:rsidR="00EE3A75">
        <w:rPr>
          <w:szCs w:val="24"/>
          <w:lang w:val="pl-PL"/>
        </w:rPr>
        <w:t>o też istotnym jest, aby przesłanki zastosowania</w:t>
      </w:r>
      <w:r w:rsidR="001D1202" w:rsidRPr="001D1202">
        <w:rPr>
          <w:szCs w:val="24"/>
          <w:lang w:val="pl-PL"/>
        </w:rPr>
        <w:t xml:space="preserve"> pozbawienia wolności na gruncie prawa krajowego były jasno określone, oraz aby prawo samo w sobie było przewidywalne w zakresie jego stosowania tak, by spełniało standard „zgodności z prawem” ustalony przez Konwencję, standard, który wymaga, żeby wszelkie prawo było dostatecznie precyzyjne, umożliwiając osobie – jeżeli jest to konieczne korzystającej z odpowiedniego poradnictwa – przewidzenie konsekwencji, które dane działanie może za sobą pociągnąć, w stopniu, w jakim uzasadniają to okoliczności</w:t>
      </w:r>
      <w:r w:rsidR="00F061A3" w:rsidRPr="001D1202">
        <w:rPr>
          <w:lang w:val="pl-PL"/>
        </w:rPr>
        <w:t> (</w:t>
      </w:r>
      <w:r w:rsidR="00F061A3" w:rsidRPr="001D1202">
        <w:rPr>
          <w:i/>
          <w:lang w:val="pl-PL"/>
        </w:rPr>
        <w:t xml:space="preserve">Steel </w:t>
      </w:r>
      <w:r w:rsidR="001D1202">
        <w:rPr>
          <w:i/>
          <w:lang w:val="pl-PL"/>
        </w:rPr>
        <w:t>i inni p. Zjednoczonemu Królestwu</w:t>
      </w:r>
      <w:r w:rsidR="00F061A3" w:rsidRPr="001D1202">
        <w:rPr>
          <w:i/>
          <w:lang w:val="pl-PL"/>
        </w:rPr>
        <w:t>,</w:t>
      </w:r>
      <w:r w:rsidR="001F7BC4">
        <w:rPr>
          <w:i/>
          <w:lang w:val="pl-PL"/>
        </w:rPr>
        <w:t xml:space="preserve"> </w:t>
      </w:r>
      <w:r w:rsidR="001D1202">
        <w:rPr>
          <w:lang w:val="pl-PL"/>
        </w:rPr>
        <w:t>dn. 23 września</w:t>
      </w:r>
      <w:r w:rsidR="00F061A3" w:rsidRPr="001D1202">
        <w:rPr>
          <w:lang w:val="pl-PL"/>
        </w:rPr>
        <w:t xml:space="preserve"> 1998</w:t>
      </w:r>
      <w:r w:rsidR="001D1202">
        <w:rPr>
          <w:lang w:val="pl-PL"/>
        </w:rPr>
        <w:t xml:space="preserve"> r.</w:t>
      </w:r>
      <w:r w:rsidR="00F061A3" w:rsidRPr="001D1202">
        <w:rPr>
          <w:lang w:val="pl-PL"/>
        </w:rPr>
        <w:t xml:space="preserve">, § 54, </w:t>
      </w:r>
      <w:r w:rsidR="001D1202">
        <w:rPr>
          <w:i/>
          <w:lang w:val="pl-PL"/>
        </w:rPr>
        <w:t xml:space="preserve">Zbiór </w:t>
      </w:r>
      <w:r w:rsidR="00F061A3" w:rsidRPr="001D1202">
        <w:rPr>
          <w:lang w:val="pl-PL"/>
        </w:rPr>
        <w:t>1998-VII).</w:t>
      </w:r>
    </w:p>
    <w:p w:rsidR="00F061A3" w:rsidRPr="001D1202" w:rsidRDefault="003001A7" w:rsidP="00F061A3">
      <w:pPr>
        <w:pStyle w:val="jupara0"/>
        <w:rPr>
          <w:lang w:val="pl-PL"/>
        </w:rPr>
      </w:pPr>
      <w:r>
        <w:rPr>
          <w:lang w:val="fr-FR"/>
        </w:rPr>
        <w:lastRenderedPageBreak/>
        <w:fldChar w:fldCharType="begin"/>
      </w:r>
      <w:r w:rsidR="00F061A3" w:rsidRPr="006B31D5">
        <w:rPr>
          <w:lang w:val="pl-PL"/>
        </w:rPr>
        <w:instrText xml:space="preserve"> SEQ level0 \*arabic </w:instrText>
      </w:r>
      <w:r>
        <w:rPr>
          <w:lang w:val="fr-FR"/>
        </w:rPr>
        <w:fldChar w:fldCharType="separate"/>
      </w:r>
      <w:r w:rsidR="004E0BEB">
        <w:rPr>
          <w:noProof/>
          <w:lang w:val="pl-PL"/>
        </w:rPr>
        <w:t>140</w:t>
      </w:r>
      <w:r>
        <w:rPr>
          <w:lang w:val="fr-FR"/>
        </w:rPr>
        <w:fldChar w:fldCharType="end"/>
      </w:r>
      <w:r w:rsidR="00F061A3" w:rsidRPr="006B31D5">
        <w:rPr>
          <w:lang w:val="pl-PL"/>
        </w:rPr>
        <w:t>.  </w:t>
      </w:r>
      <w:r w:rsidR="001D1202" w:rsidRPr="001D1202">
        <w:rPr>
          <w:lang w:val="pl-PL"/>
        </w:rPr>
        <w:t xml:space="preserve">W przedmiotowej sprawie Trybunał zauważa, że </w:t>
      </w:r>
      <w:r w:rsidR="002F2850">
        <w:rPr>
          <w:lang w:val="pl-PL"/>
        </w:rPr>
        <w:t xml:space="preserve">w </w:t>
      </w:r>
      <w:r w:rsidR="001D1202" w:rsidRPr="001D1202">
        <w:rPr>
          <w:lang w:val="pl-PL"/>
        </w:rPr>
        <w:t>postanowienia</w:t>
      </w:r>
      <w:r w:rsidR="002F2850">
        <w:rPr>
          <w:lang w:val="pl-PL"/>
        </w:rPr>
        <w:t>ch wydanych</w:t>
      </w:r>
      <w:r w:rsidR="001D1202" w:rsidRPr="001D1202">
        <w:rPr>
          <w:lang w:val="pl-PL"/>
        </w:rPr>
        <w:t xml:space="preserve"> przez polskie władze w sprawie skarżących </w:t>
      </w:r>
      <w:r w:rsidR="00D468C3">
        <w:rPr>
          <w:lang w:val="pl-PL"/>
        </w:rPr>
        <w:t>nie wskazano na jakim przepisie prawnym mogłoby się opierać pozbawienie</w:t>
      </w:r>
      <w:r w:rsidR="002F2850">
        <w:rPr>
          <w:lang w:val="pl-PL"/>
        </w:rPr>
        <w:t xml:space="preserve"> ich wolności.</w:t>
      </w:r>
      <w:r w:rsidR="006E355C">
        <w:rPr>
          <w:lang w:val="pl-PL"/>
        </w:rPr>
        <w:t xml:space="preserve"> Powoływały się w tym względzie na uchwałę Sądu Najwyższego z dnia 21 czerwca 1995 roku oraz na rozporządzenie Rad</w:t>
      </w:r>
      <w:r w:rsidR="00F817FE">
        <w:rPr>
          <w:lang w:val="pl-PL"/>
        </w:rPr>
        <w:t>y Ministrów z dnia 17 września 1</w:t>
      </w:r>
      <w:r w:rsidR="006E355C">
        <w:rPr>
          <w:lang w:val="pl-PL"/>
        </w:rPr>
        <w:t>990 roku</w:t>
      </w:r>
      <w:r w:rsidR="00FD4AC4">
        <w:rPr>
          <w:lang w:val="pl-PL"/>
        </w:rPr>
        <w:t xml:space="preserve"> </w:t>
      </w:r>
      <w:r w:rsidR="006E355C">
        <w:rPr>
          <w:lang w:val="pl-PL"/>
        </w:rPr>
        <w:t>(zob. punkt 24 powyżej). Trybunał zauważa, że polski Rząd w uwagach przedstawionych do niniejszej skargi</w:t>
      </w:r>
      <w:r w:rsidR="00D468C3">
        <w:rPr>
          <w:lang w:val="pl-PL"/>
        </w:rPr>
        <w:t xml:space="preserve"> nawet nie zacytował tych przepisów</w:t>
      </w:r>
      <w:r w:rsidR="006E355C">
        <w:rPr>
          <w:lang w:val="pl-PL"/>
        </w:rPr>
        <w:t xml:space="preserve">.  </w:t>
      </w:r>
    </w:p>
    <w:p w:rsidR="00F061A3" w:rsidRPr="00FA6704" w:rsidRDefault="003001A7" w:rsidP="00F061A3">
      <w:pPr>
        <w:pStyle w:val="JuPara"/>
        <w:tabs>
          <w:tab w:val="left" w:pos="426"/>
        </w:tabs>
        <w:rPr>
          <w:lang w:val="pl-PL"/>
        </w:rPr>
      </w:pPr>
      <w:r>
        <w:fldChar w:fldCharType="begin"/>
      </w:r>
      <w:r w:rsidR="00F061A3" w:rsidRPr="006B31D5">
        <w:rPr>
          <w:lang w:val="pl-PL"/>
        </w:rPr>
        <w:instrText xml:space="preserve"> SEQ level0 \*arabic </w:instrText>
      </w:r>
      <w:r>
        <w:fldChar w:fldCharType="separate"/>
      </w:r>
      <w:r w:rsidR="004E0BEB">
        <w:rPr>
          <w:noProof/>
          <w:lang w:val="pl-PL"/>
        </w:rPr>
        <w:t>141</w:t>
      </w:r>
      <w:r>
        <w:fldChar w:fldCharType="end"/>
      </w:r>
      <w:r w:rsidR="00F061A3" w:rsidRPr="006B31D5">
        <w:rPr>
          <w:lang w:val="pl-PL"/>
        </w:rPr>
        <w:t>.  </w:t>
      </w:r>
      <w:r w:rsidR="006E355C" w:rsidRPr="006E355C">
        <w:rPr>
          <w:lang w:val="pl-PL"/>
        </w:rPr>
        <w:t>Trybunał na wstępie zauważa, ż</w:t>
      </w:r>
      <w:r w:rsidR="006E355C">
        <w:rPr>
          <w:lang w:val="pl-PL"/>
        </w:rPr>
        <w:t>e w wyżej wymienionej uchwale, p</w:t>
      </w:r>
      <w:r w:rsidR="006E355C" w:rsidRPr="006E355C">
        <w:rPr>
          <w:lang w:val="pl-PL"/>
        </w:rPr>
        <w:t xml:space="preserve">olski </w:t>
      </w:r>
      <w:r w:rsidR="006E355C">
        <w:rPr>
          <w:lang w:val="pl-PL"/>
        </w:rPr>
        <w:t>Sąd Najwyższy stwierdził</w:t>
      </w:r>
      <w:r w:rsidR="00FA6704">
        <w:rPr>
          <w:lang w:val="pl-PL"/>
        </w:rPr>
        <w:t xml:space="preserve">, że </w:t>
      </w:r>
      <w:r w:rsidR="00C235B0">
        <w:rPr>
          <w:lang w:val="pl-PL"/>
        </w:rPr>
        <w:t xml:space="preserve">w </w:t>
      </w:r>
      <w:r w:rsidR="00FD4AC4">
        <w:rPr>
          <w:lang w:val="pl-PL"/>
        </w:rPr>
        <w:t xml:space="preserve">ani </w:t>
      </w:r>
      <w:r w:rsidR="00C235B0">
        <w:rPr>
          <w:lang w:val="pl-PL"/>
        </w:rPr>
        <w:t>przepisach k</w:t>
      </w:r>
      <w:r w:rsidR="006E355C" w:rsidRPr="00502125">
        <w:rPr>
          <w:lang w:val="pl-PL"/>
        </w:rPr>
        <w:t xml:space="preserve">odeksu postępowania karnego ani </w:t>
      </w:r>
      <w:r w:rsidR="00C235B0">
        <w:rPr>
          <w:lang w:val="pl-PL"/>
        </w:rPr>
        <w:t>k</w:t>
      </w:r>
      <w:r w:rsidR="006E355C" w:rsidRPr="00502125">
        <w:rPr>
          <w:lang w:val="pl-PL"/>
        </w:rPr>
        <w:t>odeksu postępowa</w:t>
      </w:r>
      <w:r w:rsidR="006E355C">
        <w:rPr>
          <w:lang w:val="pl-PL"/>
        </w:rPr>
        <w:t xml:space="preserve">nia w sprawach o wykroczenia </w:t>
      </w:r>
      <w:r w:rsidR="00FA6704">
        <w:rPr>
          <w:lang w:val="pl-PL"/>
        </w:rPr>
        <w:t xml:space="preserve">nie jest </w:t>
      </w:r>
      <w:r w:rsidR="00FA6704" w:rsidRPr="00502125">
        <w:rPr>
          <w:lang w:val="pl-PL"/>
        </w:rPr>
        <w:t xml:space="preserve">wyraźnie </w:t>
      </w:r>
      <w:r w:rsidR="00FA6704">
        <w:rPr>
          <w:lang w:val="pl-PL"/>
        </w:rPr>
        <w:t xml:space="preserve">wyszczególniony przypadek </w:t>
      </w:r>
      <w:r w:rsidR="006E355C">
        <w:rPr>
          <w:lang w:val="pl-PL"/>
        </w:rPr>
        <w:t>doprowadzeni</w:t>
      </w:r>
      <w:r w:rsidR="00FA6704">
        <w:rPr>
          <w:lang w:val="pl-PL"/>
        </w:rPr>
        <w:t>a</w:t>
      </w:r>
      <w:r w:rsidR="006E355C" w:rsidRPr="00502125">
        <w:rPr>
          <w:lang w:val="pl-PL"/>
        </w:rPr>
        <w:t xml:space="preserve"> na posterunek</w:t>
      </w:r>
      <w:r w:rsidR="006E355C">
        <w:rPr>
          <w:lang w:val="pl-PL"/>
        </w:rPr>
        <w:t xml:space="preserve"> osoby podejrzanej o popełnienie wykroczenia</w:t>
      </w:r>
      <w:r w:rsidR="00FA6704">
        <w:rPr>
          <w:lang w:val="pl-PL"/>
        </w:rPr>
        <w:t xml:space="preserve"> w celu dokonania kontroli, o której mowa a </w:t>
      </w:r>
      <w:r w:rsidR="00F10134">
        <w:rPr>
          <w:lang w:val="pl-PL"/>
        </w:rPr>
        <w:t>artykule</w:t>
      </w:r>
      <w:r w:rsidR="00FA6704">
        <w:rPr>
          <w:lang w:val="pl-PL"/>
        </w:rPr>
        <w:t xml:space="preserve"> 14 usta</w:t>
      </w:r>
      <w:r w:rsidR="00C235B0">
        <w:rPr>
          <w:lang w:val="pl-PL"/>
        </w:rPr>
        <w:t>wy o Policji lub w artykule 19 k</w:t>
      </w:r>
      <w:r w:rsidR="00FA6704">
        <w:rPr>
          <w:lang w:val="pl-PL"/>
        </w:rPr>
        <w:t>odeksu postępowania w sprawach o wykroczenia. Jednak Sąd Najwyższy orzekł, że</w:t>
      </w:r>
      <w:r w:rsidR="00EB50B0">
        <w:rPr>
          <w:lang w:val="pl-PL"/>
        </w:rPr>
        <w:t xml:space="preserve"> w zakresie funkcji sprawowanych przez Policję,</w:t>
      </w:r>
      <w:r w:rsidR="001F7BC4">
        <w:rPr>
          <w:lang w:val="pl-PL"/>
        </w:rPr>
        <w:t xml:space="preserve"> </w:t>
      </w:r>
      <w:r w:rsidR="00FA6704">
        <w:rPr>
          <w:lang w:val="pl-PL"/>
        </w:rPr>
        <w:t xml:space="preserve">doprowadzenie na posterunek jest z przyczyn praktycznych dozwolone (zob. punkt 66 powyżej). </w:t>
      </w:r>
      <w:r w:rsidR="00FA6704" w:rsidRPr="00FA6704">
        <w:rPr>
          <w:lang w:val="pl-PL"/>
        </w:rPr>
        <w:t>Trybunał zauważa również, że uchwały Sądu Najwyższego, takie jak przywołana przez Rząd w niniejszej sprawie, nie mają w prawie polskim</w:t>
      </w:r>
      <w:r w:rsidR="00754810">
        <w:rPr>
          <w:lang w:val="pl-PL"/>
        </w:rPr>
        <w:t xml:space="preserve"> mocy wiążącej (zob. punkty 70-71 powyżej).</w:t>
      </w:r>
    </w:p>
    <w:p w:rsidR="00F061A3" w:rsidRPr="00754810" w:rsidRDefault="003001A7" w:rsidP="00F061A3">
      <w:pPr>
        <w:pStyle w:val="JuPara"/>
        <w:tabs>
          <w:tab w:val="left" w:pos="426"/>
        </w:tabs>
        <w:rPr>
          <w:lang w:val="pl-PL"/>
        </w:rPr>
      </w:pPr>
      <w:r>
        <w:fldChar w:fldCharType="begin"/>
      </w:r>
      <w:r w:rsidR="00F061A3" w:rsidRPr="00754810">
        <w:rPr>
          <w:lang w:val="pl-PL"/>
        </w:rPr>
        <w:instrText xml:space="preserve"> SEQ level0 \*arabic </w:instrText>
      </w:r>
      <w:r>
        <w:fldChar w:fldCharType="separate"/>
      </w:r>
      <w:r w:rsidR="004E0BEB">
        <w:rPr>
          <w:noProof/>
          <w:lang w:val="pl-PL"/>
        </w:rPr>
        <w:t>142</w:t>
      </w:r>
      <w:r>
        <w:fldChar w:fldCharType="end"/>
      </w:r>
      <w:r w:rsidR="00F061A3" w:rsidRPr="00754810">
        <w:rPr>
          <w:lang w:val="pl-PL"/>
        </w:rPr>
        <w:t>.  </w:t>
      </w:r>
      <w:r w:rsidR="00C235B0">
        <w:rPr>
          <w:lang w:val="pl-PL"/>
        </w:rPr>
        <w:t>Trybunał zauważa, że k</w:t>
      </w:r>
      <w:r w:rsidR="00754810" w:rsidRPr="00754810">
        <w:rPr>
          <w:lang w:val="pl-PL"/>
        </w:rPr>
        <w:t>odeks postępowania w sprawach o wykroczenia</w:t>
      </w:r>
      <w:r w:rsidR="00754810">
        <w:rPr>
          <w:lang w:val="pl-PL"/>
        </w:rPr>
        <w:t>, na który powołał się Sąd Najwyższy w wymienionej powyżej uchwale został uchylony w 2001 roku</w:t>
      </w:r>
      <w:r w:rsidR="00C235B0">
        <w:rPr>
          <w:lang w:val="pl-PL"/>
        </w:rPr>
        <w:t>,</w:t>
      </w:r>
      <w:r w:rsidR="00754810">
        <w:rPr>
          <w:lang w:val="pl-PL"/>
        </w:rPr>
        <w:t xml:space="preserve"> po przyjęciu nowego kodeksu (zob. punkt 59 powyżej)</w:t>
      </w:r>
      <w:r w:rsidR="00C235B0">
        <w:rPr>
          <w:lang w:val="pl-PL"/>
        </w:rPr>
        <w:t>. Tak też, skoro</w:t>
      </w:r>
      <w:r w:rsidR="00754810">
        <w:rPr>
          <w:lang w:val="pl-PL"/>
        </w:rPr>
        <w:t xml:space="preserve"> kodeks ten już nie obowiązywał w czasie gdy skarżący zostali pozbawieni wolności</w:t>
      </w:r>
      <w:r w:rsidR="00613FBB">
        <w:rPr>
          <w:lang w:val="pl-PL"/>
        </w:rPr>
        <w:t>,</w:t>
      </w:r>
      <w:r w:rsidR="00754810">
        <w:rPr>
          <w:lang w:val="pl-PL"/>
        </w:rPr>
        <w:t xml:space="preserve"> jego przepisy nie mogły mieć do tej sprawy zastosowania.</w:t>
      </w:r>
      <w:r w:rsidR="00867165">
        <w:rPr>
          <w:lang w:val="pl-PL"/>
        </w:rPr>
        <w:t xml:space="preserve"> Natomiast w artykule 14 ustawy o Policji dającym</w:t>
      </w:r>
      <w:r w:rsidR="00754810">
        <w:rPr>
          <w:lang w:val="pl-PL"/>
        </w:rPr>
        <w:t xml:space="preserve"> funkcjonariuszom ogólne zezwolenie na </w:t>
      </w:r>
      <w:r w:rsidR="00867165">
        <w:rPr>
          <w:lang w:val="pl-PL"/>
        </w:rPr>
        <w:t>wykonywanie szeregu</w:t>
      </w:r>
      <w:r w:rsidR="00754810">
        <w:rPr>
          <w:lang w:val="pl-PL"/>
        </w:rPr>
        <w:t xml:space="preserve"> czynności </w:t>
      </w:r>
      <w:r w:rsidR="00867165">
        <w:rPr>
          <w:lang w:val="pl-PL"/>
        </w:rPr>
        <w:t>w cel</w:t>
      </w:r>
      <w:r w:rsidR="00C235B0">
        <w:rPr>
          <w:lang w:val="pl-PL"/>
        </w:rPr>
        <w:t>u ścigania i zapobiegania czynom</w:t>
      </w:r>
      <w:r w:rsidR="00867165">
        <w:rPr>
          <w:lang w:val="pl-PL"/>
        </w:rPr>
        <w:t xml:space="preserve"> zabronionych nie ma nigdzie mowy o pozbawieniu wolności. Choć artykuł 15 ustęp 1 tej ustawy, który stanowi uzupełnienie artykułu 14, zezwala na zastosowanie pozbawienia wolności w dokładnie określonych przypadkach (zob. punkty 50-51 powyżej), to żadne z wymienionych założeń nie odpowiada sytuacji w jakiej znaleźli się w przedmiotowej sprawie skarżący.  </w:t>
      </w:r>
    </w:p>
    <w:p w:rsidR="00F061A3" w:rsidRPr="00A82FDC" w:rsidRDefault="003001A7" w:rsidP="00A82FDC">
      <w:pPr>
        <w:pStyle w:val="JuPara"/>
        <w:rPr>
          <w:szCs w:val="24"/>
          <w:lang w:val="pl-PL"/>
        </w:rPr>
      </w:pPr>
      <w:r>
        <w:fldChar w:fldCharType="begin"/>
      </w:r>
      <w:r w:rsidR="00F061A3" w:rsidRPr="006B31D5">
        <w:rPr>
          <w:lang w:val="pl-PL"/>
        </w:rPr>
        <w:instrText xml:space="preserve"> SEQ level0 \*arabic </w:instrText>
      </w:r>
      <w:r>
        <w:fldChar w:fldCharType="separate"/>
      </w:r>
      <w:r w:rsidR="004E0BEB">
        <w:rPr>
          <w:noProof/>
          <w:lang w:val="pl-PL"/>
        </w:rPr>
        <w:t>143</w:t>
      </w:r>
      <w:r>
        <w:fldChar w:fldCharType="end"/>
      </w:r>
      <w:r w:rsidR="00F061A3" w:rsidRPr="006B31D5">
        <w:rPr>
          <w:lang w:val="pl-PL"/>
        </w:rPr>
        <w:t>.  </w:t>
      </w:r>
      <w:r w:rsidR="00867165" w:rsidRPr="00867165">
        <w:rPr>
          <w:lang w:val="pl-PL"/>
        </w:rPr>
        <w:t>Trybunał stwierdza również, że rozporządzenie Rady Ministrów z dnia 17 września 1990 roku</w:t>
      </w:r>
      <w:r w:rsidR="00453965">
        <w:rPr>
          <w:lang w:val="pl-PL"/>
        </w:rPr>
        <w:t xml:space="preserve">, na które się powołał się Prokurator Rejonowy w Ostródzie w postanowieniu z dnia 10 marca 2004 określa </w:t>
      </w:r>
      <w:r w:rsidR="00A82FDC">
        <w:rPr>
          <w:lang w:val="pl-PL"/>
        </w:rPr>
        <w:t>procedurę stosowaną</w:t>
      </w:r>
      <w:r w:rsidR="00453965">
        <w:rPr>
          <w:lang w:val="pl-PL"/>
        </w:rPr>
        <w:t xml:space="preserve"> w przypadkach przewidzianych w paragrafie 1 punktu 2 i 3 </w:t>
      </w:r>
      <w:r w:rsidR="005C2E27">
        <w:rPr>
          <w:lang w:val="pl-PL"/>
        </w:rPr>
        <w:t>rozdział</w:t>
      </w:r>
      <w:r w:rsidR="00453965">
        <w:rPr>
          <w:lang w:val="pl-PL"/>
        </w:rPr>
        <w:t xml:space="preserve"> 1 rozporządzenia</w:t>
      </w:r>
      <w:r w:rsidR="00A82FDC">
        <w:rPr>
          <w:lang w:val="pl-PL"/>
        </w:rPr>
        <w:t xml:space="preserve"> w czasie zatrzymania</w:t>
      </w:r>
      <w:r w:rsidR="00A82FDC">
        <w:rPr>
          <w:szCs w:val="24"/>
          <w:lang w:val="pl-PL"/>
        </w:rPr>
        <w:t>:</w:t>
      </w:r>
      <w:r w:rsidR="00A82FDC" w:rsidRPr="00CB3F5F">
        <w:rPr>
          <w:szCs w:val="24"/>
          <w:lang w:val="pl-PL"/>
        </w:rPr>
        <w:t xml:space="preserve"> osoby pozbawionej wolności, która</w:t>
      </w:r>
      <w:r w:rsidR="00A82FDC">
        <w:rPr>
          <w:szCs w:val="24"/>
          <w:lang w:val="pl-PL"/>
        </w:rPr>
        <w:t xml:space="preserve"> zbiegła</w:t>
      </w:r>
      <w:r w:rsidR="00A82FDC" w:rsidRPr="00CB3F5F">
        <w:rPr>
          <w:szCs w:val="24"/>
          <w:lang w:val="pl-PL"/>
        </w:rPr>
        <w:t xml:space="preserve"> z</w:t>
      </w:r>
      <w:r w:rsidR="001F7BC4">
        <w:rPr>
          <w:szCs w:val="24"/>
          <w:lang w:val="pl-PL"/>
        </w:rPr>
        <w:t xml:space="preserve"> </w:t>
      </w:r>
      <w:r w:rsidR="00A82FDC" w:rsidRPr="00CB3F5F">
        <w:rPr>
          <w:szCs w:val="24"/>
          <w:lang w:val="pl-PL"/>
        </w:rPr>
        <w:t xml:space="preserve">miejsca </w:t>
      </w:r>
      <w:r w:rsidR="00A82FDC">
        <w:rPr>
          <w:szCs w:val="24"/>
          <w:lang w:val="pl-PL"/>
        </w:rPr>
        <w:t>osadzenia lub osoby stwarzającej</w:t>
      </w:r>
      <w:r w:rsidR="00A82FDC" w:rsidRPr="00CB3F5F">
        <w:rPr>
          <w:szCs w:val="24"/>
          <w:lang w:val="pl-PL"/>
        </w:rPr>
        <w:t xml:space="preserve"> bezpośrednie zagrożenie dla życia lub zdrowi</w:t>
      </w:r>
      <w:r w:rsidR="00A82FDC">
        <w:rPr>
          <w:szCs w:val="24"/>
          <w:lang w:val="pl-PL"/>
        </w:rPr>
        <w:t xml:space="preserve">a </w:t>
      </w:r>
      <w:r w:rsidR="00461C47">
        <w:rPr>
          <w:szCs w:val="24"/>
          <w:lang w:val="pl-PL"/>
        </w:rPr>
        <w:t>ludzkiego, a także dla mienia (</w:t>
      </w:r>
      <w:r w:rsidR="00A82FDC">
        <w:rPr>
          <w:szCs w:val="24"/>
          <w:lang w:val="pl-PL"/>
        </w:rPr>
        <w:t>zob. punktu 57 i 50 powyżej). Żaden z tych przypadków nie dotyczy niniejszej sprawy.</w:t>
      </w:r>
    </w:p>
    <w:p w:rsidR="00F061A3" w:rsidRPr="00A82FDC" w:rsidRDefault="003001A7" w:rsidP="00F061A3">
      <w:pPr>
        <w:pStyle w:val="JuPara"/>
        <w:tabs>
          <w:tab w:val="left" w:pos="426"/>
        </w:tabs>
        <w:rPr>
          <w:lang w:val="pl-PL"/>
        </w:rPr>
      </w:pPr>
      <w:r>
        <w:lastRenderedPageBreak/>
        <w:fldChar w:fldCharType="begin"/>
      </w:r>
      <w:r w:rsidR="00F061A3" w:rsidRPr="00A82FDC">
        <w:rPr>
          <w:lang w:val="pl-PL"/>
        </w:rPr>
        <w:instrText xml:space="preserve"> SEQ level0 \*arabic </w:instrText>
      </w:r>
      <w:r>
        <w:fldChar w:fldCharType="separate"/>
      </w:r>
      <w:r w:rsidR="004E0BEB">
        <w:rPr>
          <w:noProof/>
          <w:lang w:val="pl-PL"/>
        </w:rPr>
        <w:t>144</w:t>
      </w:r>
      <w:r>
        <w:fldChar w:fldCharType="end"/>
      </w:r>
      <w:r w:rsidR="00F061A3" w:rsidRPr="00A82FDC">
        <w:rPr>
          <w:lang w:val="pl-PL"/>
        </w:rPr>
        <w:t>.  </w:t>
      </w:r>
      <w:r w:rsidR="00A82FDC" w:rsidRPr="00A82FDC">
        <w:rPr>
          <w:lang w:val="pl-PL"/>
        </w:rPr>
        <w:t>Wziąwsz</w:t>
      </w:r>
      <w:r w:rsidR="00A82FDC">
        <w:rPr>
          <w:lang w:val="pl-PL"/>
        </w:rPr>
        <w:t>y powyższe pod uwagę, Trybunał stwierdza, że polski Rząd n</w:t>
      </w:r>
      <w:r w:rsidR="00A82FDC" w:rsidRPr="00A82FDC">
        <w:rPr>
          <w:lang w:val="pl-PL"/>
        </w:rPr>
        <w:t>ie wykazał</w:t>
      </w:r>
      <w:r w:rsidR="00A82FDC">
        <w:rPr>
          <w:lang w:val="pl-PL"/>
        </w:rPr>
        <w:t>, że w prawie krajowym</w:t>
      </w:r>
      <w:r w:rsidR="00B0470E">
        <w:rPr>
          <w:lang w:val="pl-PL"/>
        </w:rPr>
        <w:t xml:space="preserve"> </w:t>
      </w:r>
      <w:r w:rsidR="00A82FDC">
        <w:rPr>
          <w:lang w:val="pl-PL"/>
        </w:rPr>
        <w:t xml:space="preserve">istnieje podstawa prawna dla pozbawienia wolności skarżących. </w:t>
      </w:r>
    </w:p>
    <w:p w:rsidR="00F061A3" w:rsidRPr="00C86A63" w:rsidRDefault="003001A7" w:rsidP="00F061A3">
      <w:pPr>
        <w:pStyle w:val="JuPara"/>
        <w:tabs>
          <w:tab w:val="left" w:pos="426"/>
        </w:tabs>
        <w:rPr>
          <w:lang w:val="pl-PL"/>
        </w:rPr>
      </w:pPr>
      <w:r>
        <w:fldChar w:fldCharType="begin"/>
      </w:r>
      <w:r w:rsidR="00F061A3" w:rsidRPr="00C86A63">
        <w:rPr>
          <w:lang w:val="pl-PL"/>
        </w:rPr>
        <w:instrText xml:space="preserve"> SEQ level0 \*arabic </w:instrText>
      </w:r>
      <w:r>
        <w:fldChar w:fldCharType="separate"/>
      </w:r>
      <w:r w:rsidR="004E0BEB">
        <w:rPr>
          <w:noProof/>
          <w:lang w:val="pl-PL"/>
        </w:rPr>
        <w:t>145</w:t>
      </w:r>
      <w:r>
        <w:fldChar w:fldCharType="end"/>
      </w:r>
      <w:r w:rsidR="00F061A3" w:rsidRPr="00C86A63">
        <w:rPr>
          <w:lang w:val="pl-PL"/>
        </w:rPr>
        <w:t>.  </w:t>
      </w:r>
      <w:r w:rsidR="00C86A63" w:rsidRPr="00C86A63">
        <w:rPr>
          <w:lang w:val="pl-PL"/>
        </w:rPr>
        <w:t>Wynika z tego, że doszło do naruszenia artykułu</w:t>
      </w:r>
      <w:r w:rsidR="00F061A3" w:rsidRPr="00C86A63">
        <w:rPr>
          <w:lang w:val="pl-PL"/>
        </w:rPr>
        <w:t xml:space="preserve"> 5 § 1 </w:t>
      </w:r>
      <w:r w:rsidR="00C86A63">
        <w:rPr>
          <w:lang w:val="pl-PL"/>
        </w:rPr>
        <w:t>Konwencji.</w:t>
      </w:r>
    </w:p>
    <w:p w:rsidR="00F061A3" w:rsidRPr="006B31D5" w:rsidRDefault="00F061A3" w:rsidP="00F061A3">
      <w:pPr>
        <w:pStyle w:val="JuHa0"/>
        <w:rPr>
          <w:lang w:val="pl-PL"/>
        </w:rPr>
      </w:pPr>
      <w:r w:rsidRPr="006B31D5">
        <w:rPr>
          <w:lang w:val="pl-PL"/>
        </w:rPr>
        <w:t>c)  </w:t>
      </w:r>
      <w:r w:rsidR="006B31D5" w:rsidRPr="006B31D5">
        <w:rPr>
          <w:lang w:val="pl-PL"/>
        </w:rPr>
        <w:t>Brak kontroli sądowej zgodności z prawem pozbawienia wolności skarżących (artykuł</w:t>
      </w:r>
      <w:r w:rsidRPr="006B31D5">
        <w:rPr>
          <w:lang w:val="pl-PL"/>
        </w:rPr>
        <w:t xml:space="preserve"> 5 § 4 </w:t>
      </w:r>
      <w:r w:rsidR="006B31D5">
        <w:rPr>
          <w:lang w:val="pl-PL"/>
        </w:rPr>
        <w:t xml:space="preserve">Konwencji </w:t>
      </w:r>
      <w:r w:rsidRPr="006B31D5">
        <w:rPr>
          <w:lang w:val="pl-PL"/>
        </w:rPr>
        <w:t>)</w:t>
      </w:r>
    </w:p>
    <w:p w:rsidR="00F061A3" w:rsidRPr="00493CB8" w:rsidRDefault="003001A7" w:rsidP="00F061A3">
      <w:pPr>
        <w:pStyle w:val="JuPara"/>
        <w:rPr>
          <w:lang w:val="pl-PL"/>
        </w:rPr>
      </w:pPr>
      <w:r>
        <w:fldChar w:fldCharType="begin"/>
      </w:r>
      <w:r w:rsidR="00F061A3" w:rsidRPr="007D7B7E">
        <w:rPr>
          <w:lang w:val="pl-PL"/>
        </w:rPr>
        <w:instrText xml:space="preserve"> SEQ level0 \*arabic </w:instrText>
      </w:r>
      <w:r>
        <w:fldChar w:fldCharType="separate"/>
      </w:r>
      <w:r w:rsidR="004E0BEB">
        <w:rPr>
          <w:noProof/>
          <w:lang w:val="pl-PL"/>
        </w:rPr>
        <w:t>146</w:t>
      </w:r>
      <w:r>
        <w:fldChar w:fldCharType="end"/>
      </w:r>
      <w:r w:rsidR="00F061A3" w:rsidRPr="007D7B7E">
        <w:rPr>
          <w:lang w:val="pl-PL"/>
        </w:rPr>
        <w:t>.  </w:t>
      </w:r>
      <w:r w:rsidR="00EA1EE4" w:rsidRPr="00EA1EE4">
        <w:rPr>
          <w:lang w:val="pl-PL"/>
        </w:rPr>
        <w:t xml:space="preserve">Trybunał przypomina, że </w:t>
      </w:r>
      <w:r w:rsidR="00EA1EE4">
        <w:rPr>
          <w:lang w:val="pl-PL"/>
        </w:rPr>
        <w:t xml:space="preserve">celem </w:t>
      </w:r>
      <w:r w:rsidR="00EA1EE4" w:rsidRPr="00EA1EE4">
        <w:rPr>
          <w:lang w:val="pl-PL"/>
        </w:rPr>
        <w:t>artykuł</w:t>
      </w:r>
      <w:r w:rsidR="00EA1EE4">
        <w:rPr>
          <w:lang w:val="pl-PL"/>
        </w:rPr>
        <w:t>u</w:t>
      </w:r>
      <w:r w:rsidR="00EA1EE4" w:rsidRPr="00EA1EE4">
        <w:rPr>
          <w:lang w:val="pl-PL"/>
        </w:rPr>
        <w:t xml:space="preserve"> 5</w:t>
      </w:r>
      <w:r w:rsidR="00B53E39">
        <w:rPr>
          <w:lang w:val="pl-PL"/>
        </w:rPr>
        <w:t xml:space="preserve"> </w:t>
      </w:r>
      <w:r w:rsidR="00EA1EE4" w:rsidRPr="00C86A63">
        <w:rPr>
          <w:lang w:val="pl-PL"/>
        </w:rPr>
        <w:t>§</w:t>
      </w:r>
      <w:r w:rsidR="00EA1EE4">
        <w:rPr>
          <w:lang w:val="pl-PL"/>
        </w:rPr>
        <w:t xml:space="preserve"> 4 Konwencji jest zapewnienie</w:t>
      </w:r>
      <w:r w:rsidR="003E459E">
        <w:rPr>
          <w:lang w:val="pl-PL"/>
        </w:rPr>
        <w:t>,</w:t>
      </w:r>
      <w:r w:rsidR="00EA1EE4">
        <w:rPr>
          <w:lang w:val="pl-PL"/>
        </w:rPr>
        <w:t xml:space="preserve"> aby osoba pozbawiona wolności dysponowała środkiem</w:t>
      </w:r>
      <w:r w:rsidR="00A26DE4">
        <w:rPr>
          <w:lang w:val="pl-PL"/>
        </w:rPr>
        <w:t>, umożliwiającym jej szybkie zwolnienie</w:t>
      </w:r>
      <w:r w:rsidR="003E459E">
        <w:rPr>
          <w:rFonts w:eastAsiaTheme="minorHAnsi"/>
          <w:sz w:val="23"/>
          <w:szCs w:val="23"/>
          <w:lang w:val="pl-PL" w:eastAsia="en-US"/>
        </w:rPr>
        <w:t>, je</w:t>
      </w:r>
      <w:r w:rsidR="003E459E">
        <w:rPr>
          <w:rFonts w:ascii="TimesNewRoman" w:eastAsia="TimesNewRoman" w:cs="TimesNewRoman"/>
          <w:sz w:val="23"/>
          <w:szCs w:val="23"/>
          <w:lang w:val="pl-PL" w:eastAsia="en-US"/>
        </w:rPr>
        <w:t>ż</w:t>
      </w:r>
      <w:r w:rsidR="003E459E">
        <w:rPr>
          <w:rFonts w:eastAsiaTheme="minorHAnsi"/>
          <w:sz w:val="23"/>
          <w:szCs w:val="23"/>
          <w:lang w:val="pl-PL" w:eastAsia="en-US"/>
        </w:rPr>
        <w:t>eli pozbawienie wolno</w:t>
      </w:r>
      <w:r w:rsidR="003E459E">
        <w:rPr>
          <w:rFonts w:ascii="TimesNewRoman" w:eastAsia="TimesNewRoman" w:cs="TimesNewRoman" w:hint="eastAsia"/>
          <w:sz w:val="23"/>
          <w:szCs w:val="23"/>
          <w:lang w:val="pl-PL" w:eastAsia="en-US"/>
        </w:rPr>
        <w:t>ś</w:t>
      </w:r>
      <w:r w:rsidR="003E459E">
        <w:rPr>
          <w:rFonts w:eastAsiaTheme="minorHAnsi"/>
          <w:sz w:val="23"/>
          <w:szCs w:val="23"/>
          <w:lang w:val="pl-PL" w:eastAsia="en-US"/>
        </w:rPr>
        <w:t xml:space="preserve">ci jest niezgodne z prawem. Prawo zagwarantowane przez </w:t>
      </w:r>
      <w:r w:rsidR="003E459E" w:rsidRPr="00EA1EE4">
        <w:rPr>
          <w:lang w:val="pl-PL"/>
        </w:rPr>
        <w:t>artykuł 5</w:t>
      </w:r>
      <w:r w:rsidR="00B53E39">
        <w:rPr>
          <w:lang w:val="pl-PL"/>
        </w:rPr>
        <w:t xml:space="preserve"> </w:t>
      </w:r>
      <w:r w:rsidR="003E459E" w:rsidRPr="00C86A63">
        <w:rPr>
          <w:lang w:val="pl-PL"/>
        </w:rPr>
        <w:t>§</w:t>
      </w:r>
      <w:r w:rsidR="003E459E">
        <w:rPr>
          <w:lang w:val="pl-PL"/>
        </w:rPr>
        <w:t xml:space="preserve"> 4 stosuje się jedynie w przypadku osób pozbawionych wolności i nie można się na </w:t>
      </w:r>
      <w:r w:rsidR="00493CB8">
        <w:rPr>
          <w:lang w:val="pl-PL"/>
        </w:rPr>
        <w:t>powoływa</w:t>
      </w:r>
      <w:r w:rsidR="003E459E">
        <w:rPr>
          <w:lang w:val="pl-PL"/>
        </w:rPr>
        <w:t>ć</w:t>
      </w:r>
      <w:r w:rsidR="00493CB8">
        <w:rPr>
          <w:lang w:val="pl-PL"/>
        </w:rPr>
        <w:t xml:space="preserve"> na ten artykuł, w sytuacji, gdy po zwolnieniu, </w:t>
      </w:r>
      <w:r w:rsidR="00A26DE4">
        <w:rPr>
          <w:lang w:val="pl-PL"/>
        </w:rPr>
        <w:t>pokrzywdzony będzie chciał wnieść o stwierdzenie</w:t>
      </w:r>
      <w:r w:rsidR="00493CB8">
        <w:rPr>
          <w:lang w:val="pl-PL"/>
        </w:rPr>
        <w:t xml:space="preserve"> nieważności uprzed</w:t>
      </w:r>
      <w:r w:rsidR="005C2E27">
        <w:rPr>
          <w:lang w:val="pl-PL"/>
        </w:rPr>
        <w:t>niego osadzenia lub zatrzymania</w:t>
      </w:r>
      <w:r w:rsidR="00F061A3" w:rsidRPr="00EA1EE4">
        <w:rPr>
          <w:lang w:val="pl-PL"/>
        </w:rPr>
        <w:t xml:space="preserve"> (</w:t>
      </w:r>
      <w:r w:rsidR="00F061A3" w:rsidRPr="00EA1EE4">
        <w:rPr>
          <w:i/>
          <w:lang w:val="pl-PL"/>
        </w:rPr>
        <w:t>X. </w:t>
      </w:r>
      <w:r w:rsidR="00493CB8">
        <w:rPr>
          <w:i/>
          <w:lang w:val="pl-PL"/>
        </w:rPr>
        <w:t>p. Szwecji</w:t>
      </w:r>
      <w:r w:rsidR="00B0470E">
        <w:rPr>
          <w:i/>
          <w:lang w:val="pl-PL"/>
        </w:rPr>
        <w:t xml:space="preserve"> </w:t>
      </w:r>
      <w:r w:rsidR="00493CB8">
        <w:rPr>
          <w:lang w:val="pl-PL"/>
        </w:rPr>
        <w:t>(post.), nr</w:t>
      </w:r>
      <w:r w:rsidR="00F061A3" w:rsidRPr="00EA1EE4">
        <w:rPr>
          <w:lang w:val="pl-PL"/>
        </w:rPr>
        <w:t xml:space="preserve"> 10230/82, </w:t>
      </w:r>
      <w:r w:rsidR="00493CB8">
        <w:rPr>
          <w:lang w:val="pl-PL"/>
        </w:rPr>
        <w:t>dn. 11 maja</w:t>
      </w:r>
      <w:r w:rsidR="00F061A3" w:rsidRPr="00EA1EE4">
        <w:rPr>
          <w:lang w:val="pl-PL"/>
        </w:rPr>
        <w:t xml:space="preserve"> 1983</w:t>
      </w:r>
      <w:r w:rsidR="00493CB8">
        <w:rPr>
          <w:lang w:val="pl-PL"/>
        </w:rPr>
        <w:t xml:space="preserve"> r</w:t>
      </w:r>
      <w:r w:rsidR="00A26DE4">
        <w:rPr>
          <w:lang w:val="pl-PL"/>
        </w:rPr>
        <w:t>.</w:t>
      </w:r>
      <w:r w:rsidR="00A26DE4" w:rsidRPr="00EA1EE4">
        <w:rPr>
          <w:lang w:val="pl-PL"/>
        </w:rPr>
        <w:t>) . Przepis</w:t>
      </w:r>
      <w:r w:rsidR="00493CB8" w:rsidRPr="00493CB8">
        <w:rPr>
          <w:lang w:val="pl-PL"/>
        </w:rPr>
        <w:t xml:space="preserve"> ten nie ma zastosowania</w:t>
      </w:r>
      <w:r w:rsidR="00161A7D">
        <w:rPr>
          <w:lang w:val="pl-PL"/>
        </w:rPr>
        <w:t xml:space="preserve"> do innych środków odwoławczych dających możliwość </w:t>
      </w:r>
      <w:r w:rsidR="00C24CA4">
        <w:rPr>
          <w:lang w:val="pl-PL"/>
        </w:rPr>
        <w:t>skontrolowania</w:t>
      </w:r>
      <w:r w:rsidR="00161A7D">
        <w:rPr>
          <w:lang w:val="pl-PL"/>
        </w:rPr>
        <w:t>, czy zatrzymanie</w:t>
      </w:r>
      <w:r w:rsidR="00A26DE4">
        <w:rPr>
          <w:lang w:val="pl-PL"/>
        </w:rPr>
        <w:t>, które nie ma już miejsca,</w:t>
      </w:r>
      <w:r w:rsidR="00161A7D">
        <w:rPr>
          <w:lang w:val="pl-PL"/>
        </w:rPr>
        <w:t xml:space="preserve"> było zgodne z prawem, a w szczególności gdy trwało bardzo krótko, tak jak w przedmiotowej sprawie </w:t>
      </w:r>
      <w:r w:rsidR="00F061A3" w:rsidRPr="00493CB8">
        <w:rPr>
          <w:lang w:val="pl-PL"/>
        </w:rPr>
        <w:t>(</w:t>
      </w:r>
      <w:r w:rsidR="00161A7D">
        <w:rPr>
          <w:lang w:val="pl-PL"/>
        </w:rPr>
        <w:t>zob.</w:t>
      </w:r>
      <w:r w:rsidR="00F061A3" w:rsidRPr="00493CB8">
        <w:rPr>
          <w:lang w:val="pl-PL"/>
        </w:rPr>
        <w:t xml:space="preserve"> </w:t>
      </w:r>
      <w:proofErr w:type="spellStart"/>
      <w:r w:rsidR="00F061A3" w:rsidRPr="00493CB8">
        <w:rPr>
          <w:i/>
          <w:lang w:val="pl-PL"/>
        </w:rPr>
        <w:t>Slivenko</w:t>
      </w:r>
      <w:proofErr w:type="spellEnd"/>
      <w:r w:rsidR="00B0470E">
        <w:rPr>
          <w:i/>
          <w:lang w:val="pl-PL"/>
        </w:rPr>
        <w:t xml:space="preserve"> </w:t>
      </w:r>
      <w:r w:rsidR="00161A7D">
        <w:rPr>
          <w:i/>
          <w:lang w:val="pl-PL"/>
        </w:rPr>
        <w:t>p. Łotwie</w:t>
      </w:r>
      <w:r w:rsidR="00161A7D">
        <w:rPr>
          <w:lang w:val="pl-PL"/>
        </w:rPr>
        <w:t xml:space="preserve"> [WI], nr</w:t>
      </w:r>
      <w:r w:rsidR="00F061A3" w:rsidRPr="00493CB8">
        <w:rPr>
          <w:lang w:val="pl-PL"/>
        </w:rPr>
        <w:t xml:space="preserve"> 48321/99, § 158, </w:t>
      </w:r>
      <w:r w:rsidR="00161A7D">
        <w:rPr>
          <w:lang w:val="pl-PL"/>
        </w:rPr>
        <w:t>Zbiór</w:t>
      </w:r>
      <w:r w:rsidR="00F061A3" w:rsidRPr="00493CB8">
        <w:rPr>
          <w:lang w:val="pl-PL"/>
        </w:rPr>
        <w:t xml:space="preserve"> 2003-X, </w:t>
      </w:r>
      <w:proofErr w:type="spellStart"/>
      <w:r w:rsidR="00161A7D">
        <w:rPr>
          <w:i/>
          <w:lang w:val="pl-PL"/>
        </w:rPr>
        <w:t>Baisuiev</w:t>
      </w:r>
      <w:proofErr w:type="spellEnd"/>
      <w:r w:rsidR="00161A7D">
        <w:rPr>
          <w:i/>
          <w:lang w:val="pl-PL"/>
        </w:rPr>
        <w:t xml:space="preserve"> i</w:t>
      </w:r>
      <w:r w:rsidR="00B0470E">
        <w:rPr>
          <w:i/>
          <w:lang w:val="pl-PL"/>
        </w:rPr>
        <w:t xml:space="preserve"> </w:t>
      </w:r>
      <w:proofErr w:type="spellStart"/>
      <w:r w:rsidR="00F061A3" w:rsidRPr="00493CB8">
        <w:rPr>
          <w:i/>
          <w:lang w:val="pl-PL"/>
        </w:rPr>
        <w:t>Anzorov</w:t>
      </w:r>
      <w:proofErr w:type="spellEnd"/>
      <w:r w:rsidR="00B0470E">
        <w:rPr>
          <w:i/>
          <w:lang w:val="pl-PL"/>
        </w:rPr>
        <w:t xml:space="preserve"> </w:t>
      </w:r>
      <w:r w:rsidR="00161A7D">
        <w:rPr>
          <w:i/>
          <w:lang w:val="pl-PL"/>
        </w:rPr>
        <w:t>p. Gruzji</w:t>
      </w:r>
      <w:r w:rsidR="00161A7D">
        <w:rPr>
          <w:lang w:val="pl-PL"/>
        </w:rPr>
        <w:t>, nr</w:t>
      </w:r>
      <w:r w:rsidR="00F061A3" w:rsidRPr="00493CB8">
        <w:rPr>
          <w:lang w:val="pl-PL"/>
        </w:rPr>
        <w:t xml:space="preserve"> 39804/04, § 69, </w:t>
      </w:r>
      <w:r w:rsidR="00161A7D">
        <w:rPr>
          <w:lang w:val="pl-PL"/>
        </w:rPr>
        <w:t xml:space="preserve">dn. </w:t>
      </w:r>
      <w:r w:rsidR="00F061A3" w:rsidRPr="00493CB8">
        <w:rPr>
          <w:lang w:val="pl-PL"/>
        </w:rPr>
        <w:t>18 </w:t>
      </w:r>
      <w:r w:rsidR="00161A7D">
        <w:rPr>
          <w:lang w:val="pl-PL"/>
        </w:rPr>
        <w:t>grudnia</w:t>
      </w:r>
      <w:r w:rsidR="00F061A3" w:rsidRPr="00493CB8">
        <w:rPr>
          <w:lang w:val="pl-PL"/>
        </w:rPr>
        <w:t xml:space="preserve"> 2012</w:t>
      </w:r>
      <w:r w:rsidR="00161A7D">
        <w:rPr>
          <w:lang w:val="pl-PL"/>
        </w:rPr>
        <w:t xml:space="preserve"> r.</w:t>
      </w:r>
      <w:r w:rsidR="00F061A3" w:rsidRPr="00493CB8">
        <w:rPr>
          <w:lang w:val="pl-PL"/>
        </w:rPr>
        <w:t>).</w:t>
      </w:r>
    </w:p>
    <w:p w:rsidR="00F061A3" w:rsidRPr="00161A7D" w:rsidRDefault="003001A7" w:rsidP="00F061A3">
      <w:pPr>
        <w:pStyle w:val="JuPara"/>
        <w:rPr>
          <w:lang w:val="pl-PL"/>
        </w:rPr>
      </w:pPr>
      <w:r>
        <w:fldChar w:fldCharType="begin"/>
      </w:r>
      <w:r w:rsidR="00F061A3" w:rsidRPr="007D7B7E">
        <w:rPr>
          <w:lang w:val="pl-PL"/>
        </w:rPr>
        <w:instrText xml:space="preserve"> SEQ level0 \*arabic </w:instrText>
      </w:r>
      <w:r>
        <w:fldChar w:fldCharType="separate"/>
      </w:r>
      <w:r w:rsidR="004E0BEB">
        <w:rPr>
          <w:noProof/>
          <w:lang w:val="pl-PL"/>
        </w:rPr>
        <w:t>147</w:t>
      </w:r>
      <w:r>
        <w:fldChar w:fldCharType="end"/>
      </w:r>
      <w:r w:rsidR="00161A7D" w:rsidRPr="007D7B7E">
        <w:rPr>
          <w:lang w:val="pl-PL"/>
        </w:rPr>
        <w:t>.  </w:t>
      </w:r>
      <w:r w:rsidR="00161A7D" w:rsidRPr="00161A7D">
        <w:rPr>
          <w:lang w:val="pl-PL"/>
        </w:rPr>
        <w:t xml:space="preserve">Stąd Trybunał uważa za zbędne badania zasadności </w:t>
      </w:r>
      <w:r w:rsidR="00161A7D">
        <w:rPr>
          <w:lang w:val="pl-PL"/>
        </w:rPr>
        <w:t xml:space="preserve">zgłoszonego przez skarżącego </w:t>
      </w:r>
      <w:r w:rsidR="00161A7D" w:rsidRPr="00161A7D">
        <w:rPr>
          <w:lang w:val="pl-PL"/>
        </w:rPr>
        <w:t>zarzutu</w:t>
      </w:r>
      <w:r w:rsidR="00161A7D">
        <w:rPr>
          <w:lang w:val="pl-PL"/>
        </w:rPr>
        <w:t xml:space="preserve"> skarżącego </w:t>
      </w:r>
      <w:r w:rsidR="001D2242">
        <w:rPr>
          <w:lang w:val="pl-PL"/>
        </w:rPr>
        <w:t>na gruncie artykułu</w:t>
      </w:r>
      <w:r w:rsidR="00F061A3" w:rsidRPr="00161A7D">
        <w:rPr>
          <w:lang w:val="pl-PL"/>
        </w:rPr>
        <w:t xml:space="preserve"> 5 § 4 </w:t>
      </w:r>
      <w:r w:rsidR="001D2242">
        <w:rPr>
          <w:lang w:val="pl-PL"/>
        </w:rPr>
        <w:t>Konwencji.</w:t>
      </w:r>
    </w:p>
    <w:p w:rsidR="00F061A3" w:rsidRPr="001D2242" w:rsidRDefault="00F061A3" w:rsidP="00F061A3">
      <w:pPr>
        <w:pStyle w:val="JuHa0"/>
        <w:rPr>
          <w:lang w:val="pl-PL"/>
        </w:rPr>
      </w:pPr>
      <w:r w:rsidRPr="001D2242">
        <w:rPr>
          <w:lang w:val="pl-PL"/>
        </w:rPr>
        <w:t>d)  </w:t>
      </w:r>
      <w:r w:rsidR="001D2242" w:rsidRPr="001D2242">
        <w:rPr>
          <w:lang w:val="pl-PL"/>
        </w:rPr>
        <w:t>Brak możliwości skarżących dochodzenia odszkodowania z tytułu pozbawienia wolności</w:t>
      </w:r>
      <w:r w:rsidR="001D2242">
        <w:rPr>
          <w:lang w:val="pl-PL"/>
        </w:rPr>
        <w:t xml:space="preserve"> (artykuł 5 § 5 Konwencji</w:t>
      </w:r>
      <w:r w:rsidRPr="001D2242">
        <w:rPr>
          <w:lang w:val="pl-PL"/>
        </w:rPr>
        <w:t>)</w:t>
      </w:r>
    </w:p>
    <w:p w:rsidR="00F061A3" w:rsidRPr="001D2242" w:rsidRDefault="003001A7" w:rsidP="00F061A3">
      <w:pPr>
        <w:pStyle w:val="JuPara"/>
        <w:rPr>
          <w:lang w:val="pl-PL"/>
        </w:rPr>
      </w:pPr>
      <w:r>
        <w:fldChar w:fldCharType="begin"/>
      </w:r>
      <w:r w:rsidR="00F061A3" w:rsidRPr="007D7B7E">
        <w:rPr>
          <w:lang w:val="pl-PL"/>
        </w:rPr>
        <w:instrText xml:space="preserve"> SEQ level0 \*arabic </w:instrText>
      </w:r>
      <w:r>
        <w:fldChar w:fldCharType="separate"/>
      </w:r>
      <w:r w:rsidR="004E0BEB">
        <w:rPr>
          <w:noProof/>
          <w:lang w:val="pl-PL"/>
        </w:rPr>
        <w:t>148</w:t>
      </w:r>
      <w:r>
        <w:fldChar w:fldCharType="end"/>
      </w:r>
      <w:r w:rsidR="00F061A3" w:rsidRPr="007D7B7E">
        <w:rPr>
          <w:lang w:val="pl-PL"/>
        </w:rPr>
        <w:t>.  </w:t>
      </w:r>
      <w:r w:rsidR="001D2242" w:rsidRPr="001D2242">
        <w:rPr>
          <w:lang w:val="pl-PL"/>
        </w:rPr>
        <w:t xml:space="preserve">Skarżący zarzucają, że nie mieli możliwości dochodzenia odszkodowania za szkodę </w:t>
      </w:r>
      <w:r w:rsidR="009F432D" w:rsidRPr="001D2242">
        <w:rPr>
          <w:lang w:val="pl-PL"/>
        </w:rPr>
        <w:t xml:space="preserve">poniesioną </w:t>
      </w:r>
      <w:r w:rsidR="001D2242" w:rsidRPr="001D2242">
        <w:rPr>
          <w:lang w:val="pl-PL"/>
        </w:rPr>
        <w:t>z powodu niezgodnego z prawem pozbawienia wolności.</w:t>
      </w:r>
    </w:p>
    <w:p w:rsidR="00F061A3" w:rsidRPr="001D2242" w:rsidRDefault="003001A7" w:rsidP="00F061A3">
      <w:pPr>
        <w:pStyle w:val="JuPara"/>
        <w:rPr>
          <w:lang w:val="pl-PL"/>
        </w:rPr>
      </w:pPr>
      <w:r>
        <w:fldChar w:fldCharType="begin"/>
      </w:r>
      <w:r w:rsidR="00F061A3" w:rsidRPr="007D7B7E">
        <w:rPr>
          <w:lang w:val="pl-PL"/>
        </w:rPr>
        <w:instrText xml:space="preserve"> SEQ level0 \*arabic </w:instrText>
      </w:r>
      <w:r>
        <w:fldChar w:fldCharType="separate"/>
      </w:r>
      <w:r w:rsidR="004E0BEB">
        <w:rPr>
          <w:noProof/>
          <w:lang w:val="pl-PL"/>
        </w:rPr>
        <w:t>149</w:t>
      </w:r>
      <w:r>
        <w:fldChar w:fldCharType="end"/>
      </w:r>
      <w:r w:rsidR="00F061A3" w:rsidRPr="007D7B7E">
        <w:rPr>
          <w:lang w:val="pl-PL"/>
        </w:rPr>
        <w:t>.  </w:t>
      </w:r>
      <w:r w:rsidR="001D2242" w:rsidRPr="001D2242">
        <w:rPr>
          <w:lang w:val="pl-PL"/>
        </w:rPr>
        <w:t xml:space="preserve">Rząd nie wypowiedział </w:t>
      </w:r>
      <w:r w:rsidR="00A26DE4">
        <w:rPr>
          <w:lang w:val="pl-PL"/>
        </w:rPr>
        <w:t>się na temat tego zarzutu</w:t>
      </w:r>
      <w:r w:rsidR="00F061A3" w:rsidRPr="001D2242">
        <w:rPr>
          <w:lang w:val="pl-PL"/>
        </w:rPr>
        <w:t>.</w:t>
      </w:r>
    </w:p>
    <w:p w:rsidR="00F061A3" w:rsidRPr="001D2242" w:rsidRDefault="003001A7" w:rsidP="00F061A3">
      <w:pPr>
        <w:pStyle w:val="JuPara"/>
        <w:rPr>
          <w:lang w:val="pl-PL"/>
        </w:rPr>
      </w:pPr>
      <w:r>
        <w:fldChar w:fldCharType="begin"/>
      </w:r>
      <w:r w:rsidR="00F061A3" w:rsidRPr="007D7B7E">
        <w:rPr>
          <w:lang w:val="pl-PL"/>
        </w:rPr>
        <w:instrText xml:space="preserve"> SEQ level0 \*arabic </w:instrText>
      </w:r>
      <w:r>
        <w:fldChar w:fldCharType="separate"/>
      </w:r>
      <w:r w:rsidR="004E0BEB">
        <w:rPr>
          <w:noProof/>
          <w:lang w:val="pl-PL"/>
        </w:rPr>
        <w:t>150</w:t>
      </w:r>
      <w:r>
        <w:fldChar w:fldCharType="end"/>
      </w:r>
      <w:r w:rsidR="00F061A3" w:rsidRPr="007D7B7E">
        <w:rPr>
          <w:lang w:val="pl-PL"/>
        </w:rPr>
        <w:t>.  </w:t>
      </w:r>
      <w:r w:rsidR="001D2242" w:rsidRPr="001D2242">
        <w:rPr>
          <w:lang w:val="pl-PL"/>
        </w:rPr>
        <w:t xml:space="preserve">Trybunał przypomina, że prawo do odszkodowania, o którym mowa w </w:t>
      </w:r>
      <w:r w:rsidR="001D2242">
        <w:rPr>
          <w:lang w:val="pl-PL"/>
        </w:rPr>
        <w:t>ustępie</w:t>
      </w:r>
      <w:r w:rsidR="001D2242" w:rsidRPr="001D2242">
        <w:rPr>
          <w:lang w:val="pl-PL"/>
        </w:rPr>
        <w:t xml:space="preserve"> 5</w:t>
      </w:r>
      <w:r w:rsidR="001D2242">
        <w:rPr>
          <w:lang w:val="pl-PL"/>
        </w:rPr>
        <w:t xml:space="preserve"> artykułu 5 Konwencji zakłada, że naruszenie jednego z pozostałych ustępów tego przepisu zostało </w:t>
      </w:r>
      <w:r w:rsidR="00651FC8">
        <w:rPr>
          <w:lang w:val="pl-PL"/>
        </w:rPr>
        <w:t>dowiedzione</w:t>
      </w:r>
      <w:r w:rsidR="001D2242">
        <w:rPr>
          <w:lang w:val="pl-PL"/>
        </w:rPr>
        <w:t xml:space="preserve"> przez organ krajowy lub instytucje Konwencji</w:t>
      </w:r>
      <w:r w:rsidR="00894318">
        <w:rPr>
          <w:lang w:val="pl-PL"/>
        </w:rPr>
        <w:t xml:space="preserve"> </w:t>
      </w:r>
      <w:r w:rsidR="00F061A3" w:rsidRPr="001D2242">
        <w:rPr>
          <w:lang w:val="pl-PL"/>
        </w:rPr>
        <w:t>(</w:t>
      </w:r>
      <w:r w:rsidR="00F061A3" w:rsidRPr="001D2242">
        <w:rPr>
          <w:rStyle w:val="ju-005fpara--char"/>
          <w:i/>
          <w:iCs/>
          <w:lang w:val="pl-PL"/>
        </w:rPr>
        <w:t xml:space="preserve">N.C. </w:t>
      </w:r>
      <w:r w:rsidR="001D2242">
        <w:rPr>
          <w:rStyle w:val="ju-005fpara--char"/>
          <w:i/>
          <w:iCs/>
          <w:lang w:val="pl-PL"/>
        </w:rPr>
        <w:t>p. Włochom</w:t>
      </w:r>
      <w:r w:rsidR="001D2242">
        <w:rPr>
          <w:lang w:val="pl-PL"/>
        </w:rPr>
        <w:t>[WI], nr</w:t>
      </w:r>
      <w:r w:rsidR="00F061A3" w:rsidRPr="001D2242">
        <w:rPr>
          <w:lang w:val="pl-PL"/>
        </w:rPr>
        <w:t xml:space="preserve"> 24952/94, § 49, </w:t>
      </w:r>
      <w:r w:rsidR="001D2242">
        <w:rPr>
          <w:lang w:val="pl-PL"/>
        </w:rPr>
        <w:t>ETPC</w:t>
      </w:r>
      <w:r w:rsidR="00F061A3" w:rsidRPr="001D2242">
        <w:rPr>
          <w:lang w:val="pl-PL"/>
        </w:rPr>
        <w:t>, 2002</w:t>
      </w:r>
      <w:r w:rsidR="00F061A3" w:rsidRPr="001D2242">
        <w:rPr>
          <w:lang w:val="pl-PL"/>
        </w:rPr>
        <w:noBreakHyphen/>
        <w:t xml:space="preserve">X ; </w:t>
      </w:r>
      <w:proofErr w:type="spellStart"/>
      <w:r w:rsidR="00F10134">
        <w:rPr>
          <w:i/>
          <w:lang w:val="pl-PL"/>
        </w:rPr>
        <w:t>Pantea</w:t>
      </w:r>
      <w:proofErr w:type="spellEnd"/>
      <w:r w:rsidR="00F10134">
        <w:rPr>
          <w:i/>
          <w:lang w:val="pl-PL"/>
        </w:rPr>
        <w:t xml:space="preserve"> p</w:t>
      </w:r>
      <w:r w:rsidR="001D2242">
        <w:rPr>
          <w:i/>
          <w:lang w:val="pl-PL"/>
        </w:rPr>
        <w:t>. Rumunii</w:t>
      </w:r>
      <w:r w:rsidR="00F061A3" w:rsidRPr="001D2242">
        <w:rPr>
          <w:lang w:val="pl-PL"/>
        </w:rPr>
        <w:t>,</w:t>
      </w:r>
      <w:r w:rsidR="001D2242">
        <w:rPr>
          <w:lang w:val="pl-PL"/>
        </w:rPr>
        <w:t xml:space="preserve"> nr</w:t>
      </w:r>
      <w:r w:rsidR="00CC54EF">
        <w:rPr>
          <w:lang w:val="pl-PL"/>
        </w:rPr>
        <w:t xml:space="preserve"> </w:t>
      </w:r>
      <w:r w:rsidR="00461C47">
        <w:rPr>
          <w:lang w:val="pl-PL"/>
        </w:rPr>
        <w:t xml:space="preserve">33343/96 </w:t>
      </w:r>
      <w:r w:rsidR="00F061A3" w:rsidRPr="001D2242">
        <w:rPr>
          <w:lang w:val="pl-PL"/>
        </w:rPr>
        <w:t xml:space="preserve">§ 262, </w:t>
      </w:r>
      <w:r w:rsidR="001D2242">
        <w:rPr>
          <w:lang w:val="pl-PL"/>
        </w:rPr>
        <w:t>dn. 3 czerwca</w:t>
      </w:r>
      <w:r w:rsidR="00F061A3" w:rsidRPr="001D2242">
        <w:rPr>
          <w:lang w:val="pl-PL"/>
        </w:rPr>
        <w:t xml:space="preserve"> 2003</w:t>
      </w:r>
      <w:r w:rsidR="001D2242">
        <w:rPr>
          <w:lang w:val="pl-PL"/>
        </w:rPr>
        <w:t xml:space="preserve"> r.</w:t>
      </w:r>
      <w:r w:rsidR="00F061A3" w:rsidRPr="001D2242">
        <w:rPr>
          <w:lang w:val="pl-PL"/>
        </w:rPr>
        <w:t>).</w:t>
      </w:r>
    </w:p>
    <w:p w:rsidR="00F061A3" w:rsidRPr="00651FC8" w:rsidRDefault="003001A7" w:rsidP="00F061A3">
      <w:pPr>
        <w:pStyle w:val="JuPara"/>
        <w:rPr>
          <w:lang w:val="pl-PL" w:eastAsia="en-US"/>
        </w:rPr>
      </w:pPr>
      <w:r>
        <w:rPr>
          <w:lang w:eastAsia="en-US"/>
        </w:rPr>
        <w:fldChar w:fldCharType="begin"/>
      </w:r>
      <w:r w:rsidR="00F061A3" w:rsidRPr="007D7B7E">
        <w:rPr>
          <w:lang w:val="pl-PL" w:eastAsia="en-US"/>
        </w:rPr>
        <w:instrText xml:space="preserve"> SEQ level0 \*arabic </w:instrText>
      </w:r>
      <w:r>
        <w:rPr>
          <w:lang w:eastAsia="en-US"/>
        </w:rPr>
        <w:fldChar w:fldCharType="separate"/>
      </w:r>
      <w:r w:rsidR="004E0BEB">
        <w:rPr>
          <w:noProof/>
          <w:lang w:val="pl-PL" w:eastAsia="en-US"/>
        </w:rPr>
        <w:t>151</w:t>
      </w:r>
      <w:r>
        <w:rPr>
          <w:lang w:eastAsia="en-US"/>
        </w:rPr>
        <w:fldChar w:fldCharType="end"/>
      </w:r>
      <w:r w:rsidR="00F061A3" w:rsidRPr="007D7B7E">
        <w:rPr>
          <w:lang w:val="pl-PL" w:eastAsia="en-US"/>
        </w:rPr>
        <w:t>.  </w:t>
      </w:r>
      <w:r w:rsidR="001D2242" w:rsidRPr="00651FC8">
        <w:rPr>
          <w:lang w:val="pl-PL" w:eastAsia="en-US"/>
        </w:rPr>
        <w:t>Następnie Trybunał przypomina, że stwierdził naruszenie</w:t>
      </w:r>
      <w:r w:rsidR="00651FC8" w:rsidRPr="00651FC8">
        <w:rPr>
          <w:lang w:val="pl-PL" w:eastAsia="en-US"/>
        </w:rPr>
        <w:t xml:space="preserve"> artykułu</w:t>
      </w:r>
      <w:r w:rsidR="00F061A3" w:rsidRPr="00651FC8">
        <w:rPr>
          <w:lang w:val="pl-PL" w:eastAsia="en-US"/>
        </w:rPr>
        <w:t xml:space="preserve"> 5 § 1 </w:t>
      </w:r>
      <w:r w:rsidR="00651FC8" w:rsidRPr="00651FC8">
        <w:rPr>
          <w:lang w:val="pl-PL" w:eastAsia="en-US"/>
        </w:rPr>
        <w:t xml:space="preserve">Konwencji z powodu niezgodnego z prawem pozbawienia wolności skarżących (zob. powyżej punkt 145). </w:t>
      </w:r>
      <w:r w:rsidR="00651FC8">
        <w:rPr>
          <w:lang w:val="pl-PL" w:eastAsia="en-US"/>
        </w:rPr>
        <w:t>Wynika z tego, że artykuł</w:t>
      </w:r>
      <w:r w:rsidR="00F061A3" w:rsidRPr="00651FC8">
        <w:rPr>
          <w:lang w:val="pl-PL" w:eastAsia="en-US"/>
        </w:rPr>
        <w:t xml:space="preserve"> 5 § 5 </w:t>
      </w:r>
      <w:r w:rsidR="00651FC8">
        <w:rPr>
          <w:lang w:val="pl-PL" w:eastAsia="en-US"/>
        </w:rPr>
        <w:t>ma w przedmiotowej sprawie zastosowanie.</w:t>
      </w:r>
    </w:p>
    <w:p w:rsidR="00F061A3" w:rsidRPr="00651FC8" w:rsidRDefault="003001A7" w:rsidP="00F061A3">
      <w:pPr>
        <w:pStyle w:val="JuPara"/>
        <w:rPr>
          <w:lang w:val="pl-PL" w:eastAsia="en-US"/>
        </w:rPr>
      </w:pPr>
      <w:r>
        <w:rPr>
          <w:lang w:eastAsia="en-US"/>
        </w:rPr>
        <w:fldChar w:fldCharType="begin"/>
      </w:r>
      <w:r w:rsidR="00F061A3" w:rsidRPr="007D7B7E">
        <w:rPr>
          <w:lang w:val="pl-PL" w:eastAsia="en-US"/>
        </w:rPr>
        <w:instrText xml:space="preserve"> SEQ level0 \*arabic </w:instrText>
      </w:r>
      <w:r>
        <w:rPr>
          <w:lang w:eastAsia="en-US"/>
        </w:rPr>
        <w:fldChar w:fldCharType="separate"/>
      </w:r>
      <w:r w:rsidR="004E0BEB">
        <w:rPr>
          <w:noProof/>
          <w:lang w:val="pl-PL" w:eastAsia="en-US"/>
        </w:rPr>
        <w:t>152</w:t>
      </w:r>
      <w:r>
        <w:rPr>
          <w:lang w:eastAsia="en-US"/>
        </w:rPr>
        <w:fldChar w:fldCharType="end"/>
      </w:r>
      <w:r w:rsidR="00F061A3" w:rsidRPr="007D7B7E">
        <w:rPr>
          <w:lang w:val="pl-PL" w:eastAsia="en-US"/>
        </w:rPr>
        <w:t>.  </w:t>
      </w:r>
      <w:r w:rsidR="00651FC8" w:rsidRPr="00651FC8">
        <w:rPr>
          <w:lang w:val="pl-PL" w:eastAsia="en-US"/>
        </w:rPr>
        <w:t>Trybunał zauważa, że artykuł</w:t>
      </w:r>
      <w:r w:rsidR="00F061A3" w:rsidRPr="00651FC8">
        <w:rPr>
          <w:lang w:val="pl-PL" w:eastAsia="en-US"/>
        </w:rPr>
        <w:t xml:space="preserve"> 552 § 4 </w:t>
      </w:r>
      <w:r w:rsidR="00651FC8">
        <w:rPr>
          <w:lang w:val="pl-PL" w:eastAsia="en-US"/>
        </w:rPr>
        <w:t>p</w:t>
      </w:r>
      <w:r w:rsidR="00651FC8" w:rsidRPr="00651FC8">
        <w:rPr>
          <w:lang w:val="pl-PL" w:eastAsia="en-US"/>
        </w:rPr>
        <w:t xml:space="preserve">olskiego kodeksu postępowania </w:t>
      </w:r>
      <w:r w:rsidR="00A26DE4">
        <w:rPr>
          <w:lang w:val="pl-PL" w:eastAsia="en-US"/>
        </w:rPr>
        <w:t>karnego przewiduje możliwość, aby osoba pokrzywdzona</w:t>
      </w:r>
      <w:r w:rsidR="00651FC8" w:rsidRPr="00651FC8">
        <w:rPr>
          <w:lang w:val="pl-PL" w:eastAsia="en-US"/>
        </w:rPr>
        <w:t xml:space="preserve"> oczywiście nieuzasa</w:t>
      </w:r>
      <w:r w:rsidR="00A26DE4">
        <w:rPr>
          <w:lang w:val="pl-PL" w:eastAsia="en-US"/>
        </w:rPr>
        <w:t>dnionym zatrzymaniem dochodziła</w:t>
      </w:r>
      <w:r w:rsidR="00651FC8" w:rsidRPr="00651FC8">
        <w:rPr>
          <w:lang w:val="pl-PL" w:eastAsia="en-US"/>
        </w:rPr>
        <w:t xml:space="preserve"> odszkodowania za poniesioną w ten sposób szkodę (</w:t>
      </w:r>
      <w:r w:rsidR="00651FC8">
        <w:rPr>
          <w:lang w:val="pl-PL" w:eastAsia="en-US"/>
        </w:rPr>
        <w:t>zob. powyżej punkty 68-69).</w:t>
      </w:r>
    </w:p>
    <w:p w:rsidR="00F061A3" w:rsidRPr="00651FC8" w:rsidRDefault="003001A7" w:rsidP="00F061A3">
      <w:pPr>
        <w:pStyle w:val="JuPara"/>
        <w:rPr>
          <w:lang w:val="pl-PL" w:eastAsia="en-US"/>
        </w:rPr>
      </w:pPr>
      <w:r>
        <w:rPr>
          <w:lang w:eastAsia="en-US"/>
        </w:rPr>
        <w:lastRenderedPageBreak/>
        <w:fldChar w:fldCharType="begin"/>
      </w:r>
      <w:r w:rsidR="00F061A3" w:rsidRPr="007D7B7E">
        <w:rPr>
          <w:lang w:val="pl-PL" w:eastAsia="en-US"/>
        </w:rPr>
        <w:instrText xml:space="preserve"> SEQ level0 \*arabic </w:instrText>
      </w:r>
      <w:r>
        <w:rPr>
          <w:lang w:eastAsia="en-US"/>
        </w:rPr>
        <w:fldChar w:fldCharType="separate"/>
      </w:r>
      <w:r w:rsidR="004E0BEB">
        <w:rPr>
          <w:noProof/>
          <w:lang w:val="pl-PL" w:eastAsia="en-US"/>
        </w:rPr>
        <w:t>153</w:t>
      </w:r>
      <w:r>
        <w:rPr>
          <w:lang w:eastAsia="en-US"/>
        </w:rPr>
        <w:fldChar w:fldCharType="end"/>
      </w:r>
      <w:r w:rsidR="00F061A3" w:rsidRPr="007D7B7E">
        <w:rPr>
          <w:lang w:val="pl-PL" w:eastAsia="en-US"/>
        </w:rPr>
        <w:t>.  </w:t>
      </w:r>
      <w:r w:rsidR="00651FC8" w:rsidRPr="00651FC8">
        <w:rPr>
          <w:lang w:val="pl-PL" w:eastAsia="en-US"/>
        </w:rPr>
        <w:t xml:space="preserve">Niemniej jednak z akt niniejszej sprawy wynika, że pozbawienie wolności skarżących, które nastąpiło w wyniku doprowadzania ich i przetrzymywania na komisariacie, nie zostało uznane przez władze za </w:t>
      </w:r>
      <w:r w:rsidR="00651FC8">
        <w:rPr>
          <w:lang w:val="pl-PL" w:eastAsia="en-US"/>
        </w:rPr>
        <w:t>„</w:t>
      </w:r>
      <w:r w:rsidR="00651FC8" w:rsidRPr="00651FC8">
        <w:rPr>
          <w:lang w:val="pl-PL" w:eastAsia="en-US"/>
        </w:rPr>
        <w:t>z</w:t>
      </w:r>
      <w:r w:rsidR="00651FC8">
        <w:rPr>
          <w:lang w:val="pl-PL" w:eastAsia="en-US"/>
        </w:rPr>
        <w:t>atrzymanie” w rozumieniu tego kodeksu. Tak też</w:t>
      </w:r>
      <w:r w:rsidR="00A26DE4">
        <w:rPr>
          <w:lang w:val="pl-PL" w:eastAsia="en-US"/>
        </w:rPr>
        <w:t>,</w:t>
      </w:r>
      <w:r w:rsidR="00651FC8">
        <w:rPr>
          <w:lang w:val="pl-PL" w:eastAsia="en-US"/>
        </w:rPr>
        <w:t xml:space="preserve"> nie wydaje się, żeby skarżący </w:t>
      </w:r>
      <w:r w:rsidR="00D96341">
        <w:rPr>
          <w:lang w:val="pl-PL" w:eastAsia="en-US"/>
        </w:rPr>
        <w:t xml:space="preserve">mogli się powołać się na </w:t>
      </w:r>
      <w:r w:rsidR="004014C9">
        <w:rPr>
          <w:lang w:val="pl-PL" w:eastAsia="en-US"/>
        </w:rPr>
        <w:t>przepisy tego kodeks</w:t>
      </w:r>
      <w:r w:rsidR="00A26DE4">
        <w:rPr>
          <w:lang w:val="pl-PL" w:eastAsia="en-US"/>
        </w:rPr>
        <w:t>u</w:t>
      </w:r>
      <w:r w:rsidR="00284752">
        <w:rPr>
          <w:lang w:val="pl-PL" w:eastAsia="en-US"/>
        </w:rPr>
        <w:t xml:space="preserve"> w razie</w:t>
      </w:r>
      <w:r w:rsidR="004014C9">
        <w:rPr>
          <w:lang w:val="pl-PL" w:eastAsia="en-US"/>
        </w:rPr>
        <w:t xml:space="preserve"> dochodzenia odszkodowania z tytułu pozbawienia wolności </w:t>
      </w:r>
    </w:p>
    <w:p w:rsidR="004014C9" w:rsidRPr="0010794E" w:rsidRDefault="003001A7" w:rsidP="004014C9">
      <w:pPr>
        <w:pStyle w:val="JuPara"/>
        <w:rPr>
          <w:szCs w:val="24"/>
          <w:lang w:val="pl-PL"/>
        </w:rPr>
      </w:pPr>
      <w:r>
        <w:rPr>
          <w:lang w:eastAsia="en-US"/>
        </w:rPr>
        <w:fldChar w:fldCharType="begin"/>
      </w:r>
      <w:r w:rsidR="00F061A3" w:rsidRPr="004014C9">
        <w:rPr>
          <w:lang w:val="pl-PL" w:eastAsia="en-US"/>
        </w:rPr>
        <w:instrText xml:space="preserve"> SEQ level0 \*arabic </w:instrText>
      </w:r>
      <w:r>
        <w:rPr>
          <w:lang w:eastAsia="en-US"/>
        </w:rPr>
        <w:fldChar w:fldCharType="separate"/>
      </w:r>
      <w:r w:rsidR="004E0BEB">
        <w:rPr>
          <w:noProof/>
          <w:lang w:val="pl-PL" w:eastAsia="en-US"/>
        </w:rPr>
        <w:t>154</w:t>
      </w:r>
      <w:r>
        <w:rPr>
          <w:lang w:eastAsia="en-US"/>
        </w:rPr>
        <w:fldChar w:fldCharType="end"/>
      </w:r>
      <w:r w:rsidR="00F061A3" w:rsidRPr="004014C9">
        <w:rPr>
          <w:lang w:val="pl-PL" w:eastAsia="en-US"/>
        </w:rPr>
        <w:t>.  </w:t>
      </w:r>
      <w:r w:rsidR="004014C9" w:rsidRPr="004014C9">
        <w:rPr>
          <w:lang w:val="pl-PL" w:eastAsia="en-US"/>
        </w:rPr>
        <w:t>Trybunał zauważa również, że artykuł 417 Kodeksu cywilnego</w:t>
      </w:r>
      <w:r w:rsidR="00B0470E">
        <w:rPr>
          <w:lang w:val="pl-PL" w:eastAsia="en-US"/>
        </w:rPr>
        <w:t xml:space="preserve"> </w:t>
      </w:r>
      <w:r w:rsidR="004014C9">
        <w:rPr>
          <w:rStyle w:val="FontStyle44"/>
          <w:sz w:val="24"/>
          <w:szCs w:val="24"/>
          <w:lang w:val="pl-PL" w:eastAsia="es-ES_tradnl"/>
        </w:rPr>
        <w:t>przewiduje, że osoba pokrzywdzona niezgodnym</w:t>
      </w:r>
      <w:r w:rsidR="004014C9" w:rsidRPr="0010794E">
        <w:rPr>
          <w:rStyle w:val="FontStyle44"/>
          <w:sz w:val="24"/>
          <w:szCs w:val="24"/>
          <w:lang w:val="pl-PL" w:eastAsia="es-ES_tradnl"/>
        </w:rPr>
        <w:t xml:space="preserve"> z prawem działanie</w:t>
      </w:r>
      <w:r w:rsidR="004014C9">
        <w:rPr>
          <w:rStyle w:val="FontStyle44"/>
          <w:sz w:val="24"/>
          <w:szCs w:val="24"/>
          <w:lang w:val="pl-PL" w:eastAsia="es-ES_tradnl"/>
        </w:rPr>
        <w:t>m</w:t>
      </w:r>
      <w:r w:rsidR="004014C9" w:rsidRPr="0010794E">
        <w:rPr>
          <w:rStyle w:val="FontStyle44"/>
          <w:sz w:val="24"/>
          <w:szCs w:val="24"/>
          <w:lang w:val="pl-PL" w:eastAsia="es-ES_tradnl"/>
        </w:rPr>
        <w:t xml:space="preserve"> lub zaniechanie</w:t>
      </w:r>
      <w:r w:rsidR="004014C9">
        <w:rPr>
          <w:rStyle w:val="FontStyle44"/>
          <w:sz w:val="24"/>
          <w:szCs w:val="24"/>
          <w:lang w:val="pl-PL" w:eastAsia="es-ES_tradnl"/>
        </w:rPr>
        <w:t>m</w:t>
      </w:r>
      <w:r w:rsidR="00F10134">
        <w:rPr>
          <w:rStyle w:val="FontStyle44"/>
          <w:sz w:val="24"/>
          <w:szCs w:val="24"/>
          <w:lang w:val="pl-PL" w:eastAsia="es-ES_tradnl"/>
        </w:rPr>
        <w:t xml:space="preserve"> Państwa moż</w:t>
      </w:r>
      <w:r w:rsidR="004014C9">
        <w:rPr>
          <w:rStyle w:val="FontStyle44"/>
          <w:sz w:val="24"/>
          <w:szCs w:val="24"/>
          <w:lang w:val="pl-PL" w:eastAsia="es-ES_tradnl"/>
        </w:rPr>
        <w:t>e wnosić o naprawienie doznanej z tego powodu szkody (zob. powyżej punkt 62). Treść tego przepisu wskazuje</w:t>
      </w:r>
      <w:r w:rsidR="00B81E96">
        <w:rPr>
          <w:rStyle w:val="FontStyle44"/>
          <w:sz w:val="24"/>
          <w:szCs w:val="24"/>
          <w:lang w:val="pl-PL" w:eastAsia="es-ES_tradnl"/>
        </w:rPr>
        <w:t xml:space="preserve">, że wniesienie powództwa o odszkodowanie zależy od wcześniejszego wykazania niezgodnego z prawem działania lub zaniechania Państwa, które stanowiło przyczynę szkody. </w:t>
      </w:r>
    </w:p>
    <w:p w:rsidR="00F061A3" w:rsidRPr="00B81E96" w:rsidRDefault="003001A7" w:rsidP="00F061A3">
      <w:pPr>
        <w:pStyle w:val="JuPara"/>
        <w:rPr>
          <w:lang w:val="pl-PL" w:eastAsia="en-US"/>
        </w:rPr>
      </w:pPr>
      <w:r>
        <w:rPr>
          <w:lang w:eastAsia="en-US"/>
        </w:rPr>
        <w:fldChar w:fldCharType="begin"/>
      </w:r>
      <w:r w:rsidR="00F061A3" w:rsidRPr="00B81E96">
        <w:rPr>
          <w:lang w:val="pl-PL" w:eastAsia="en-US"/>
        </w:rPr>
        <w:instrText xml:space="preserve"> SEQ level0 \*arabic </w:instrText>
      </w:r>
      <w:r>
        <w:rPr>
          <w:lang w:eastAsia="en-US"/>
        </w:rPr>
        <w:fldChar w:fldCharType="separate"/>
      </w:r>
      <w:r w:rsidR="004E0BEB">
        <w:rPr>
          <w:noProof/>
          <w:lang w:val="pl-PL" w:eastAsia="en-US"/>
        </w:rPr>
        <w:t>155</w:t>
      </w:r>
      <w:r>
        <w:rPr>
          <w:lang w:eastAsia="en-US"/>
        </w:rPr>
        <w:fldChar w:fldCharType="end"/>
      </w:r>
      <w:r w:rsidR="00F061A3" w:rsidRPr="00B81E96">
        <w:rPr>
          <w:lang w:val="pl-PL" w:eastAsia="en-US"/>
        </w:rPr>
        <w:t>.  </w:t>
      </w:r>
      <w:r w:rsidR="00B81E96" w:rsidRPr="00B81E96">
        <w:rPr>
          <w:lang w:val="pl-PL" w:eastAsia="en-US"/>
        </w:rPr>
        <w:t xml:space="preserve">A z postanowień wydanych w przedmiotowej sprawie przez władze krajowe wynika, że uważały one, </w:t>
      </w:r>
      <w:r w:rsidR="00A26DE4">
        <w:rPr>
          <w:lang w:val="pl-PL" w:eastAsia="en-US"/>
        </w:rPr>
        <w:t>iż</w:t>
      </w:r>
      <w:r w:rsidR="00B81E96" w:rsidRPr="00B81E96">
        <w:rPr>
          <w:lang w:val="pl-PL" w:eastAsia="en-US"/>
        </w:rPr>
        <w:t xml:space="preserve"> pozbawienie wolności skarżących miało w prawie krajowym podstawę prawną i co za tym idzie było zgodne z prawem.</w:t>
      </w:r>
      <w:r w:rsidR="00B81E96">
        <w:rPr>
          <w:lang w:val="pl-PL" w:eastAsia="en-US"/>
        </w:rPr>
        <w:t xml:space="preserve"> Tak też, uwzględniając przyjęte na poziomie krajowym podejście, Trybunał nie jest przekonany, czy powództwo o odszkodowanie na podstawie artykułu 417 kodeksu cywilnego byłoby w przypadku skarżących skutecznym środkiem odwoławczym w rozumieniu artykułu 5 </w:t>
      </w:r>
      <w:r w:rsidR="00B81E96" w:rsidRPr="00651FC8">
        <w:rPr>
          <w:lang w:val="pl-PL" w:eastAsia="en-US"/>
        </w:rPr>
        <w:t>§</w:t>
      </w:r>
      <w:r w:rsidR="00B81E96">
        <w:rPr>
          <w:lang w:val="pl-PL" w:eastAsia="en-US"/>
        </w:rPr>
        <w:t xml:space="preserve"> 5 Konwencji.  </w:t>
      </w:r>
    </w:p>
    <w:p w:rsidR="00F061A3" w:rsidRPr="00B81E96" w:rsidRDefault="003001A7" w:rsidP="00F061A3">
      <w:pPr>
        <w:pStyle w:val="JuPara"/>
        <w:rPr>
          <w:lang w:val="pl-PL"/>
        </w:rPr>
      </w:pPr>
      <w:r>
        <w:rPr>
          <w:lang w:eastAsia="en-US"/>
        </w:rPr>
        <w:fldChar w:fldCharType="begin"/>
      </w:r>
      <w:r w:rsidR="00F061A3" w:rsidRPr="00B81E96">
        <w:rPr>
          <w:lang w:val="pl-PL" w:eastAsia="en-US"/>
        </w:rPr>
        <w:instrText xml:space="preserve"> SEQ level0 \*arabic </w:instrText>
      </w:r>
      <w:r>
        <w:rPr>
          <w:lang w:eastAsia="en-US"/>
        </w:rPr>
        <w:fldChar w:fldCharType="separate"/>
      </w:r>
      <w:r w:rsidR="004E0BEB">
        <w:rPr>
          <w:noProof/>
          <w:lang w:val="pl-PL" w:eastAsia="en-US"/>
        </w:rPr>
        <w:t>156</w:t>
      </w:r>
      <w:r>
        <w:rPr>
          <w:lang w:eastAsia="en-US"/>
        </w:rPr>
        <w:fldChar w:fldCharType="end"/>
      </w:r>
      <w:r w:rsidR="00F061A3" w:rsidRPr="00B81E96">
        <w:rPr>
          <w:lang w:val="pl-PL" w:eastAsia="en-US"/>
        </w:rPr>
        <w:t>.  </w:t>
      </w:r>
      <w:r w:rsidR="00B81E96">
        <w:rPr>
          <w:lang w:val="pl-PL" w:eastAsia="en-US"/>
        </w:rPr>
        <w:t>Trybunał nie otrzymał informacji o innych przepisach prawa krajowego</w:t>
      </w:r>
      <w:r w:rsidR="00A00BA7">
        <w:rPr>
          <w:lang w:val="pl-PL" w:eastAsia="en-US"/>
        </w:rPr>
        <w:t xml:space="preserve">, które pozwoliłyby skarżącym uzyskać odszkodowanie za uznane za niezgodne z Konwencją </w:t>
      </w:r>
      <w:r w:rsidR="00A26DE4">
        <w:rPr>
          <w:lang w:val="pl-PL" w:eastAsia="en-US"/>
        </w:rPr>
        <w:t>pozbawienie wolności</w:t>
      </w:r>
      <w:r w:rsidR="00A00BA7">
        <w:rPr>
          <w:lang w:val="pl-PL" w:eastAsia="en-US"/>
        </w:rPr>
        <w:t xml:space="preserve">. Trybunał uważa zatem, że nie zostało dowiedzione, że skarżący dysponowali taką możliwość na gruncie krajowym. </w:t>
      </w:r>
    </w:p>
    <w:p w:rsidR="00F061A3" w:rsidRPr="00A00BA7" w:rsidRDefault="003001A7" w:rsidP="00F061A3">
      <w:pPr>
        <w:pStyle w:val="JuPara"/>
        <w:rPr>
          <w:lang w:val="pl-PL" w:eastAsia="en-US"/>
        </w:rPr>
      </w:pPr>
      <w:r>
        <w:rPr>
          <w:lang w:eastAsia="en-US"/>
        </w:rPr>
        <w:fldChar w:fldCharType="begin"/>
      </w:r>
      <w:r w:rsidR="00F061A3" w:rsidRPr="007D7B7E">
        <w:rPr>
          <w:lang w:val="pl-PL" w:eastAsia="en-US"/>
        </w:rPr>
        <w:instrText xml:space="preserve"> SEQ level0 \*arabic </w:instrText>
      </w:r>
      <w:r>
        <w:rPr>
          <w:lang w:eastAsia="en-US"/>
        </w:rPr>
        <w:fldChar w:fldCharType="separate"/>
      </w:r>
      <w:r w:rsidR="004E0BEB">
        <w:rPr>
          <w:noProof/>
          <w:lang w:val="pl-PL" w:eastAsia="en-US"/>
        </w:rPr>
        <w:t>157</w:t>
      </w:r>
      <w:r>
        <w:rPr>
          <w:lang w:eastAsia="en-US"/>
        </w:rPr>
        <w:fldChar w:fldCharType="end"/>
      </w:r>
      <w:r w:rsidR="00F061A3" w:rsidRPr="007D7B7E">
        <w:rPr>
          <w:lang w:val="pl-PL" w:eastAsia="en-US"/>
        </w:rPr>
        <w:t>.  </w:t>
      </w:r>
      <w:r w:rsidR="00A00BA7" w:rsidRPr="00A00BA7">
        <w:rPr>
          <w:lang w:val="pl-PL" w:eastAsia="en-US"/>
        </w:rPr>
        <w:t>Stąd Trybunał stwierdza naruszenie artykułu</w:t>
      </w:r>
      <w:r w:rsidR="00F061A3" w:rsidRPr="00A00BA7">
        <w:rPr>
          <w:lang w:val="pl-PL" w:eastAsia="en-US"/>
        </w:rPr>
        <w:t xml:space="preserve"> 5 § 5 </w:t>
      </w:r>
      <w:r w:rsidR="00A00BA7">
        <w:rPr>
          <w:lang w:val="pl-PL" w:eastAsia="en-US"/>
        </w:rPr>
        <w:t>Konwencji.</w:t>
      </w:r>
    </w:p>
    <w:p w:rsidR="00F061A3" w:rsidRPr="007D7B7E" w:rsidRDefault="00F061A3" w:rsidP="00F061A3">
      <w:pPr>
        <w:pStyle w:val="JuHIRoman"/>
        <w:rPr>
          <w:lang w:val="pl-PL"/>
        </w:rPr>
      </w:pPr>
      <w:r w:rsidRPr="007D7B7E">
        <w:rPr>
          <w:lang w:val="pl-PL"/>
        </w:rPr>
        <w:t>IV.  </w:t>
      </w:r>
      <w:r w:rsidR="00A00BA7" w:rsidRPr="007D7B7E">
        <w:rPr>
          <w:lang w:val="pl-PL"/>
        </w:rPr>
        <w:t>INNE ZARZUTY</w:t>
      </w:r>
    </w:p>
    <w:p w:rsidR="00F061A3" w:rsidRPr="004968F1" w:rsidRDefault="003001A7" w:rsidP="00A26DE4">
      <w:pPr>
        <w:suppressAutoHyphens w:val="0"/>
        <w:autoSpaceDE w:val="0"/>
        <w:autoSpaceDN w:val="0"/>
        <w:adjustRightInd w:val="0"/>
        <w:jc w:val="both"/>
        <w:rPr>
          <w:rFonts w:eastAsiaTheme="minorHAnsi"/>
          <w:sz w:val="23"/>
          <w:szCs w:val="23"/>
          <w:lang w:val="pl-PL" w:eastAsia="en-US"/>
        </w:rPr>
      </w:pPr>
      <w:r>
        <w:fldChar w:fldCharType="begin"/>
      </w:r>
      <w:r w:rsidR="00F061A3" w:rsidRPr="007D7B7E">
        <w:rPr>
          <w:lang w:val="pl-PL"/>
        </w:rPr>
        <w:instrText xml:space="preserve"> SEQ level0 \*arabic </w:instrText>
      </w:r>
      <w:r>
        <w:fldChar w:fldCharType="separate"/>
      </w:r>
      <w:r w:rsidR="004E0BEB">
        <w:rPr>
          <w:noProof/>
          <w:lang w:val="pl-PL"/>
        </w:rPr>
        <w:t>158</w:t>
      </w:r>
      <w:r>
        <w:fldChar w:fldCharType="end"/>
      </w:r>
      <w:r w:rsidR="00F061A3" w:rsidRPr="007D7B7E">
        <w:rPr>
          <w:lang w:val="pl-PL"/>
        </w:rPr>
        <w:t>.  </w:t>
      </w:r>
      <w:r w:rsidR="00A00BA7" w:rsidRPr="00A00BA7">
        <w:rPr>
          <w:lang w:val="pl-PL"/>
        </w:rPr>
        <w:t>Skarżący zarzucają, że nie zostali poinformowani o przyczynach dla których zostali zatrzymani.</w:t>
      </w:r>
    </w:p>
    <w:p w:rsidR="00F061A3" w:rsidRPr="004968F1" w:rsidRDefault="003001A7" w:rsidP="00A00BA7">
      <w:pPr>
        <w:suppressAutoHyphens w:val="0"/>
        <w:autoSpaceDE w:val="0"/>
        <w:autoSpaceDN w:val="0"/>
        <w:adjustRightInd w:val="0"/>
        <w:jc w:val="both"/>
        <w:rPr>
          <w:rFonts w:eastAsiaTheme="minorHAnsi"/>
          <w:sz w:val="23"/>
          <w:szCs w:val="23"/>
          <w:lang w:val="pl-PL" w:eastAsia="en-US"/>
        </w:rPr>
      </w:pPr>
      <w:r>
        <w:fldChar w:fldCharType="begin"/>
      </w:r>
      <w:r w:rsidR="00F061A3" w:rsidRPr="004968F1">
        <w:rPr>
          <w:lang w:val="pl-PL"/>
        </w:rPr>
        <w:instrText xml:space="preserve"> SEQ level0 \*arabic </w:instrText>
      </w:r>
      <w:r>
        <w:fldChar w:fldCharType="separate"/>
      </w:r>
      <w:r w:rsidR="004E0BEB">
        <w:rPr>
          <w:noProof/>
          <w:lang w:val="pl-PL"/>
        </w:rPr>
        <w:t>159</w:t>
      </w:r>
      <w:r>
        <w:fldChar w:fldCharType="end"/>
      </w:r>
      <w:r w:rsidR="00F061A3" w:rsidRPr="00D51AA5">
        <w:rPr>
          <w:szCs w:val="24"/>
          <w:lang w:val="pl-PL"/>
        </w:rPr>
        <w:t>.  </w:t>
      </w:r>
      <w:r w:rsidR="00A00BA7" w:rsidRPr="00D51AA5">
        <w:rPr>
          <w:szCs w:val="24"/>
          <w:lang w:val="pl-PL"/>
        </w:rPr>
        <w:t>Trybunał przypomina, że artykuł</w:t>
      </w:r>
      <w:r w:rsidR="00F061A3" w:rsidRPr="00D51AA5">
        <w:rPr>
          <w:szCs w:val="24"/>
          <w:lang w:val="pl-PL"/>
        </w:rPr>
        <w:t xml:space="preserve"> 5 § 2 </w:t>
      </w:r>
      <w:r w:rsidR="00A00BA7" w:rsidRPr="00D51AA5">
        <w:rPr>
          <w:szCs w:val="24"/>
          <w:lang w:val="pl-PL"/>
        </w:rPr>
        <w:t xml:space="preserve">Konwencji nakłada obowiązek poinformowania osoby zatrzymanej </w:t>
      </w:r>
      <w:r w:rsidR="00A00BA7" w:rsidRPr="00D51AA5">
        <w:rPr>
          <w:rFonts w:eastAsiaTheme="minorHAnsi"/>
          <w:szCs w:val="24"/>
          <w:lang w:val="pl-PL" w:eastAsia="en-US"/>
        </w:rPr>
        <w:t>w prostym i zrozumiałym dla niego j</w:t>
      </w:r>
      <w:r w:rsidR="00A00BA7" w:rsidRPr="00D51AA5">
        <w:rPr>
          <w:rFonts w:ascii="TimesNewRoman" w:eastAsia="TimesNewRoman" w:cs="TimesNewRoman" w:hint="eastAsia"/>
          <w:szCs w:val="24"/>
          <w:lang w:val="pl-PL" w:eastAsia="en-US"/>
        </w:rPr>
        <w:t>ę</w:t>
      </w:r>
      <w:r w:rsidR="004968F1" w:rsidRPr="00D51AA5">
        <w:rPr>
          <w:rFonts w:eastAsiaTheme="minorHAnsi"/>
          <w:szCs w:val="24"/>
          <w:lang w:val="pl-PL" w:eastAsia="en-US"/>
        </w:rPr>
        <w:t>zyku o przyczynach zatrzymania i o stawianych mu zarzutach, tak by, na podstawie ustępu 4 tego przepisu, mógł odwołać się do sądu w celu ustalenia legalno</w:t>
      </w:r>
      <w:r w:rsidR="004968F1" w:rsidRPr="00D51AA5">
        <w:rPr>
          <w:rFonts w:ascii="TimesNewRoman" w:eastAsia="TimesNewRoman" w:cs="TimesNewRoman" w:hint="eastAsia"/>
          <w:szCs w:val="24"/>
          <w:lang w:val="pl-PL" w:eastAsia="en-US"/>
        </w:rPr>
        <w:t>ś</w:t>
      </w:r>
      <w:r w:rsidR="004968F1" w:rsidRPr="00D51AA5">
        <w:rPr>
          <w:rFonts w:eastAsiaTheme="minorHAnsi"/>
          <w:szCs w:val="24"/>
          <w:lang w:val="pl-PL" w:eastAsia="en-US"/>
        </w:rPr>
        <w:t>ci tego zatrzymania</w:t>
      </w:r>
      <w:r w:rsidR="00D51AA5">
        <w:rPr>
          <w:rFonts w:eastAsiaTheme="minorHAnsi"/>
          <w:szCs w:val="24"/>
          <w:lang w:val="pl-PL" w:eastAsia="en-US"/>
        </w:rPr>
        <w:t xml:space="preserve"> </w:t>
      </w:r>
      <w:r w:rsidR="00F061A3" w:rsidRPr="00D51AA5">
        <w:rPr>
          <w:szCs w:val="24"/>
          <w:lang w:val="pl-PL"/>
        </w:rPr>
        <w:t>(</w:t>
      </w:r>
      <w:r w:rsidR="004968F1" w:rsidRPr="00D51AA5">
        <w:rPr>
          <w:i/>
          <w:szCs w:val="24"/>
          <w:lang w:val="pl-PL"/>
        </w:rPr>
        <w:t>Fox, Campbell i</w:t>
      </w:r>
      <w:r w:rsidR="00F061A3" w:rsidRPr="00D51AA5">
        <w:rPr>
          <w:i/>
          <w:szCs w:val="24"/>
          <w:lang w:val="pl-PL"/>
        </w:rPr>
        <w:t xml:space="preserve"> Hartley </w:t>
      </w:r>
      <w:r w:rsidR="004968F1" w:rsidRPr="00D51AA5">
        <w:rPr>
          <w:i/>
          <w:szCs w:val="24"/>
          <w:lang w:val="pl-PL"/>
        </w:rPr>
        <w:t>p. Zjednoczonemu Królestwu</w:t>
      </w:r>
      <w:r w:rsidR="004968F1" w:rsidRPr="00D51AA5">
        <w:rPr>
          <w:szCs w:val="24"/>
          <w:lang w:val="pl-PL"/>
        </w:rPr>
        <w:t xml:space="preserve">, nr </w:t>
      </w:r>
      <w:r w:rsidR="00F061A3" w:rsidRPr="00D51AA5">
        <w:rPr>
          <w:color w:val="000000"/>
          <w:szCs w:val="24"/>
          <w:lang w:val="pl-PL"/>
        </w:rPr>
        <w:t xml:space="preserve">12244/8 </w:t>
      </w:r>
      <w:r w:rsidR="004968F1" w:rsidRPr="00D51AA5">
        <w:rPr>
          <w:color w:val="000000"/>
          <w:szCs w:val="24"/>
          <w:lang w:val="pl-PL"/>
        </w:rPr>
        <w:t>i następne</w:t>
      </w:r>
      <w:r w:rsidR="00F061A3" w:rsidRPr="00D51AA5">
        <w:rPr>
          <w:color w:val="000000"/>
          <w:szCs w:val="24"/>
          <w:lang w:val="pl-PL"/>
        </w:rPr>
        <w:t xml:space="preserve">, § 42, </w:t>
      </w:r>
      <w:r w:rsidR="004968F1" w:rsidRPr="00D51AA5">
        <w:rPr>
          <w:color w:val="000000"/>
          <w:szCs w:val="24"/>
          <w:lang w:val="pl-PL"/>
        </w:rPr>
        <w:t>dn. 27 lipca</w:t>
      </w:r>
      <w:r w:rsidR="00F061A3" w:rsidRPr="00D51AA5">
        <w:rPr>
          <w:color w:val="000000"/>
          <w:szCs w:val="24"/>
          <w:lang w:val="pl-PL"/>
        </w:rPr>
        <w:t xml:space="preserve"> 2006</w:t>
      </w:r>
      <w:r w:rsidR="004968F1" w:rsidRPr="00D51AA5">
        <w:rPr>
          <w:color w:val="000000"/>
          <w:szCs w:val="24"/>
          <w:lang w:val="pl-PL"/>
        </w:rPr>
        <w:t xml:space="preserve"> r</w:t>
      </w:r>
      <w:r w:rsidR="00461C47" w:rsidRPr="00D51AA5">
        <w:rPr>
          <w:color w:val="000000"/>
          <w:szCs w:val="24"/>
          <w:lang w:val="pl-PL"/>
        </w:rPr>
        <w:t>.</w:t>
      </w:r>
      <w:r w:rsidR="00461C47">
        <w:rPr>
          <w:szCs w:val="24"/>
          <w:lang w:val="pl-PL"/>
        </w:rPr>
        <w:t>)  Zatrzymany</w:t>
      </w:r>
      <w:r w:rsidR="004968F1" w:rsidRPr="00D51AA5">
        <w:rPr>
          <w:szCs w:val="24"/>
          <w:lang w:val="pl-PL"/>
        </w:rPr>
        <w:t xml:space="preserve"> powinien uzyskać te informacje „niezwłocznie”, lecz zatrzymujący go policjant może </w:t>
      </w:r>
      <w:r w:rsidR="00093928" w:rsidRPr="00D51AA5">
        <w:rPr>
          <w:szCs w:val="24"/>
          <w:lang w:val="pl-PL"/>
        </w:rPr>
        <w:t>mu nie od razu udzielić tych wszystkich</w:t>
      </w:r>
      <w:r w:rsidR="00093928">
        <w:rPr>
          <w:lang w:val="pl-PL"/>
        </w:rPr>
        <w:t xml:space="preserve"> informacji</w:t>
      </w:r>
      <w:r w:rsidR="004968F1">
        <w:rPr>
          <w:lang w:val="pl-PL"/>
        </w:rPr>
        <w:t xml:space="preserve">. </w:t>
      </w:r>
      <w:r w:rsidR="004D6927">
        <w:rPr>
          <w:lang w:val="pl-PL"/>
        </w:rPr>
        <w:t>Aby stwierdzić, czy zatrzymany otrzymał wystarczającą ilość informacji i w odpowiednim czasie, należy uwzględnić okoliczności danej sprawy.</w:t>
      </w:r>
    </w:p>
    <w:p w:rsidR="00F061A3" w:rsidRPr="004D6927" w:rsidRDefault="003001A7" w:rsidP="00F061A3">
      <w:pPr>
        <w:pStyle w:val="JuPara"/>
        <w:rPr>
          <w:lang w:val="pl-PL"/>
        </w:rPr>
      </w:pPr>
      <w:r>
        <w:lastRenderedPageBreak/>
        <w:fldChar w:fldCharType="begin"/>
      </w:r>
      <w:r w:rsidR="00F061A3" w:rsidRPr="007D7B7E">
        <w:rPr>
          <w:lang w:val="pl-PL"/>
        </w:rPr>
        <w:instrText xml:space="preserve"> SEQ level0 \*arabic </w:instrText>
      </w:r>
      <w:r>
        <w:fldChar w:fldCharType="separate"/>
      </w:r>
      <w:r w:rsidR="004E0BEB">
        <w:rPr>
          <w:noProof/>
          <w:lang w:val="pl-PL"/>
        </w:rPr>
        <w:t>160</w:t>
      </w:r>
      <w:r>
        <w:fldChar w:fldCharType="end"/>
      </w:r>
      <w:r w:rsidR="00F061A3" w:rsidRPr="007D7B7E">
        <w:rPr>
          <w:lang w:val="pl-PL"/>
        </w:rPr>
        <w:t>.  </w:t>
      </w:r>
      <w:r w:rsidR="004D6927" w:rsidRPr="004D6927">
        <w:rPr>
          <w:lang w:val="pl-PL"/>
        </w:rPr>
        <w:t xml:space="preserve">W niniejszej sprawie, Trybunał podnosi, że </w:t>
      </w:r>
      <w:r w:rsidR="004D6927">
        <w:rPr>
          <w:lang w:val="pl-PL"/>
        </w:rPr>
        <w:t xml:space="preserve">z </w:t>
      </w:r>
      <w:r w:rsidR="004D6927" w:rsidRPr="004D6927">
        <w:rPr>
          <w:lang w:val="pl-PL"/>
        </w:rPr>
        <w:t>odręcznie sporządzonej przez funkcjonariusza policji</w:t>
      </w:r>
      <w:r w:rsidR="00093928">
        <w:rPr>
          <w:lang w:val="pl-PL"/>
        </w:rPr>
        <w:t xml:space="preserve"> notatce</w:t>
      </w:r>
      <w:r w:rsidR="004D6927">
        <w:rPr>
          <w:lang w:val="pl-PL"/>
        </w:rPr>
        <w:t xml:space="preserve"> datowanej na 23 sierpnia 2003 roku wynika, że po opuszczeniu posterunku, to jest co najmniej po dwóch godzinach od za</w:t>
      </w:r>
      <w:r w:rsidR="0076778B">
        <w:rPr>
          <w:lang w:val="pl-PL"/>
        </w:rPr>
        <w:t>trzymania skarżących poinformowano ich</w:t>
      </w:r>
      <w:r w:rsidR="004D6927">
        <w:rPr>
          <w:lang w:val="pl-PL"/>
        </w:rPr>
        <w:t xml:space="preserve">, że zostanie wszczęte wobec nich postępowanie o zachowanie </w:t>
      </w:r>
      <w:r w:rsidR="00093928">
        <w:rPr>
          <w:lang w:val="pl-PL"/>
        </w:rPr>
        <w:t>stanowiące zakłócenie</w:t>
      </w:r>
      <w:r w:rsidR="004D6927">
        <w:rPr>
          <w:lang w:val="pl-PL"/>
        </w:rPr>
        <w:t xml:space="preserve"> porządku publicznego. </w:t>
      </w:r>
      <w:r w:rsidR="00093928">
        <w:rPr>
          <w:lang w:val="pl-PL"/>
        </w:rPr>
        <w:t xml:space="preserve">Tak też </w:t>
      </w:r>
      <w:r w:rsidR="00717881">
        <w:rPr>
          <w:lang w:val="pl-PL"/>
        </w:rPr>
        <w:t xml:space="preserve">Trybunał uważa, że skarżący zostali poinformowani o powodach pozbawienia ich wolności w rozumieniu artykułu 5 </w:t>
      </w:r>
      <w:r w:rsidR="00717881" w:rsidRPr="00717881">
        <w:rPr>
          <w:lang w:val="pl-PL"/>
        </w:rPr>
        <w:t>§ 2 Konwencji.</w:t>
      </w:r>
    </w:p>
    <w:p w:rsidR="00717881" w:rsidRPr="00902DF1" w:rsidRDefault="003001A7" w:rsidP="00717881">
      <w:pPr>
        <w:pStyle w:val="ju-005fpara"/>
        <w:spacing w:before="0" w:beforeAutospacing="0" w:after="0" w:afterAutospacing="0"/>
        <w:ind w:firstLine="340"/>
        <w:jc w:val="both"/>
        <w:rPr>
          <w:lang w:val="pl-PL"/>
        </w:rPr>
      </w:pPr>
      <w:r>
        <w:fldChar w:fldCharType="begin"/>
      </w:r>
      <w:r w:rsidR="00F061A3" w:rsidRPr="00717881">
        <w:rPr>
          <w:lang w:val="pl-PL"/>
        </w:rPr>
        <w:instrText xml:space="preserve"> SEQ level0 \*arabic </w:instrText>
      </w:r>
      <w:r>
        <w:fldChar w:fldCharType="separate"/>
      </w:r>
      <w:r w:rsidR="004E0BEB">
        <w:rPr>
          <w:noProof/>
          <w:lang w:val="pl-PL"/>
        </w:rPr>
        <w:t>161</w:t>
      </w:r>
      <w:r>
        <w:fldChar w:fldCharType="end"/>
      </w:r>
      <w:r w:rsidR="00F061A3" w:rsidRPr="00717881">
        <w:rPr>
          <w:lang w:val="pl-PL"/>
        </w:rPr>
        <w:t>.  </w:t>
      </w:r>
      <w:r w:rsidR="00717881">
        <w:rPr>
          <w:rStyle w:val="JuParaCar"/>
          <w:lang w:val="pl-PL"/>
        </w:rPr>
        <w:t>Na podstawie artykułu 35 §§ 3 (a) oraz</w:t>
      </w:r>
      <w:r w:rsidR="00717881" w:rsidRPr="00902DF1">
        <w:rPr>
          <w:rStyle w:val="JuParaCar"/>
          <w:lang w:val="pl-PL"/>
        </w:rPr>
        <w:t xml:space="preserve"> 4 </w:t>
      </w:r>
      <w:r w:rsidR="00717881">
        <w:rPr>
          <w:rStyle w:val="JuParaCar"/>
          <w:lang w:val="pl-PL"/>
        </w:rPr>
        <w:t xml:space="preserve">Konwencji, </w:t>
      </w:r>
      <w:r w:rsidR="00717881" w:rsidRPr="00902DF1">
        <w:rPr>
          <w:rStyle w:val="JuParaCar"/>
          <w:lang w:val="pl-PL"/>
        </w:rPr>
        <w:t xml:space="preserve">Trybunał oddala zatem </w:t>
      </w:r>
      <w:r w:rsidR="00717881">
        <w:rPr>
          <w:rStyle w:val="JuParaCar"/>
          <w:lang w:val="pl-PL"/>
        </w:rPr>
        <w:t xml:space="preserve">ten </w:t>
      </w:r>
      <w:r w:rsidR="00717881" w:rsidRPr="00902DF1">
        <w:rPr>
          <w:rStyle w:val="JuParaCar"/>
          <w:lang w:val="pl-PL"/>
        </w:rPr>
        <w:t xml:space="preserve">zarzut </w:t>
      </w:r>
      <w:r w:rsidR="00717881">
        <w:rPr>
          <w:rStyle w:val="JuParaCar"/>
          <w:lang w:val="pl-PL"/>
        </w:rPr>
        <w:t>jako oczywiście bezzasadny.</w:t>
      </w:r>
    </w:p>
    <w:p w:rsidR="00F061A3" w:rsidRPr="00717881" w:rsidRDefault="003001A7" w:rsidP="00F061A3">
      <w:pPr>
        <w:ind w:firstLine="284"/>
        <w:jc w:val="both"/>
        <w:rPr>
          <w:lang w:val="pl-PL"/>
        </w:rPr>
      </w:pPr>
      <w:r>
        <w:fldChar w:fldCharType="begin"/>
      </w:r>
      <w:r w:rsidR="00F061A3" w:rsidRPr="00717881">
        <w:rPr>
          <w:lang w:val="pl-PL"/>
        </w:rPr>
        <w:instrText xml:space="preserve"> SEQ level0 \*arabic </w:instrText>
      </w:r>
      <w:r>
        <w:fldChar w:fldCharType="separate"/>
      </w:r>
      <w:r w:rsidR="004E0BEB">
        <w:rPr>
          <w:noProof/>
          <w:lang w:val="pl-PL"/>
        </w:rPr>
        <w:t>162</w:t>
      </w:r>
      <w:r>
        <w:fldChar w:fldCharType="end"/>
      </w:r>
      <w:r w:rsidR="00F061A3" w:rsidRPr="00717881">
        <w:rPr>
          <w:lang w:val="pl-PL"/>
        </w:rPr>
        <w:t>.  </w:t>
      </w:r>
      <w:r w:rsidR="00717881" w:rsidRPr="00717881">
        <w:rPr>
          <w:rStyle w:val="JuParaCar"/>
          <w:lang w:val="pl-PL"/>
        </w:rPr>
        <w:t xml:space="preserve">Przywołując artykuł 6 Konwencji skarżący Sebastian i Artur Tomaszewscy </w:t>
      </w:r>
      <w:r w:rsidR="00717881">
        <w:rPr>
          <w:rStyle w:val="JuParaCar"/>
          <w:lang w:val="pl-PL"/>
        </w:rPr>
        <w:t xml:space="preserve">zarzucają, że </w:t>
      </w:r>
      <w:r w:rsidR="000738B1">
        <w:rPr>
          <w:rStyle w:val="JuParaCar"/>
          <w:lang w:val="pl-PL"/>
        </w:rPr>
        <w:t>wszczęte</w:t>
      </w:r>
      <w:r w:rsidR="00717881">
        <w:rPr>
          <w:rStyle w:val="JuParaCar"/>
          <w:lang w:val="pl-PL"/>
        </w:rPr>
        <w:t xml:space="preserve"> przeciwko nim postępowania</w:t>
      </w:r>
      <w:r w:rsidR="000738B1">
        <w:rPr>
          <w:rStyle w:val="JuParaCar"/>
          <w:lang w:val="pl-PL"/>
        </w:rPr>
        <w:t xml:space="preserve"> karne</w:t>
      </w:r>
      <w:r w:rsidR="00717881">
        <w:rPr>
          <w:rStyle w:val="JuParaCar"/>
          <w:lang w:val="pl-PL"/>
        </w:rPr>
        <w:t xml:space="preserve"> nie były </w:t>
      </w:r>
      <w:r w:rsidR="00E930A0">
        <w:rPr>
          <w:rStyle w:val="JuParaCar"/>
          <w:lang w:val="pl-PL"/>
        </w:rPr>
        <w:t xml:space="preserve">rzetelnie </w:t>
      </w:r>
      <w:r w:rsidR="000738B1">
        <w:rPr>
          <w:rStyle w:val="JuParaCar"/>
          <w:lang w:val="pl-PL"/>
        </w:rPr>
        <w:t>prowadzone.</w:t>
      </w:r>
      <w:r w:rsidR="00E930A0">
        <w:rPr>
          <w:rStyle w:val="JuParaCar"/>
          <w:lang w:val="pl-PL"/>
        </w:rPr>
        <w:t xml:space="preserve"> </w:t>
      </w:r>
    </w:p>
    <w:p w:rsidR="00F061A3" w:rsidRPr="000738B1" w:rsidRDefault="003001A7" w:rsidP="000738B1">
      <w:pPr>
        <w:suppressAutoHyphens w:val="0"/>
        <w:autoSpaceDE w:val="0"/>
        <w:autoSpaceDN w:val="0"/>
        <w:adjustRightInd w:val="0"/>
        <w:jc w:val="both"/>
        <w:rPr>
          <w:lang w:val="pl-PL"/>
        </w:rPr>
      </w:pPr>
      <w:r>
        <w:fldChar w:fldCharType="begin"/>
      </w:r>
      <w:r w:rsidR="00F061A3" w:rsidRPr="007D7B7E">
        <w:rPr>
          <w:lang w:val="pl-PL"/>
        </w:rPr>
        <w:instrText xml:space="preserve"> SEQ level0 \*arabic </w:instrText>
      </w:r>
      <w:r>
        <w:fldChar w:fldCharType="separate"/>
      </w:r>
      <w:r w:rsidR="004E0BEB">
        <w:rPr>
          <w:noProof/>
          <w:lang w:val="pl-PL"/>
        </w:rPr>
        <w:t>163</w:t>
      </w:r>
      <w:r>
        <w:fldChar w:fldCharType="end"/>
      </w:r>
      <w:r w:rsidR="00F061A3" w:rsidRPr="007D7B7E">
        <w:rPr>
          <w:lang w:val="pl-PL"/>
        </w:rPr>
        <w:t>.  </w:t>
      </w:r>
      <w:r w:rsidR="000738B1" w:rsidRPr="00DB3CF6">
        <w:rPr>
          <w:lang w:val="pl-PL"/>
        </w:rPr>
        <w:t xml:space="preserve">Trybunał stale przypomina, że zgodnie z Artykułem 19 Konwencji jego obowiązkiem jest zapewnienie przestrzegania zobowiązań </w:t>
      </w:r>
      <w:r w:rsidR="000738B1">
        <w:rPr>
          <w:lang w:val="pl-PL"/>
        </w:rPr>
        <w:t>przyjętych</w:t>
      </w:r>
      <w:r w:rsidR="000738B1" w:rsidRPr="00DB3CF6">
        <w:rPr>
          <w:lang w:val="pl-PL"/>
        </w:rPr>
        <w:t xml:space="preserve"> przez Umawiające się Strony Konwencji. W szczególności nie jest jego rolą zajmowanie się błędami </w:t>
      </w:r>
      <w:r w:rsidR="000738B1">
        <w:rPr>
          <w:lang w:val="pl-PL"/>
        </w:rPr>
        <w:t>w ustaleniach faktycznych</w:t>
      </w:r>
      <w:r w:rsidR="000738B1" w:rsidRPr="00DB3CF6">
        <w:rPr>
          <w:lang w:val="pl-PL"/>
        </w:rPr>
        <w:t xml:space="preserve"> lub prawn</w:t>
      </w:r>
      <w:r w:rsidR="000738B1">
        <w:rPr>
          <w:lang w:val="pl-PL"/>
        </w:rPr>
        <w:t>ych,</w:t>
      </w:r>
      <w:r w:rsidR="000738B1" w:rsidRPr="00DB3CF6">
        <w:rPr>
          <w:lang w:val="pl-PL"/>
        </w:rPr>
        <w:t xml:space="preserve"> rzekomo popełnionymi przez</w:t>
      </w:r>
      <w:r w:rsidR="000738B1">
        <w:rPr>
          <w:lang w:val="pl-PL"/>
        </w:rPr>
        <w:t xml:space="preserve"> sąd krajowy, chyba że i tylko w takim stopniu, w jakim </w:t>
      </w:r>
      <w:r w:rsidR="000738B1" w:rsidRPr="00DB3CF6">
        <w:rPr>
          <w:lang w:val="pl-PL"/>
        </w:rPr>
        <w:t xml:space="preserve">mogą one naruszać prawa i wolności chronione Konwencją. </w:t>
      </w:r>
      <w:r w:rsidR="000738B1">
        <w:rPr>
          <w:lang w:val="pl-PL"/>
        </w:rPr>
        <w:t>Choć</w:t>
      </w:r>
      <w:r w:rsidR="000738B1" w:rsidRPr="00DB3CF6">
        <w:rPr>
          <w:lang w:val="pl-PL"/>
        </w:rPr>
        <w:t xml:space="preserve"> Artykuł 6 gwarantuje prawo do rzetelnego procesu, to nie ustanawia żadnych zasad dotyczących dopuszczalności dowodów </w:t>
      </w:r>
      <w:r w:rsidR="000738B1">
        <w:rPr>
          <w:lang w:val="pl-PL"/>
        </w:rPr>
        <w:t>ani</w:t>
      </w:r>
      <w:r w:rsidR="000738B1" w:rsidRPr="00DB3CF6">
        <w:rPr>
          <w:lang w:val="pl-PL"/>
        </w:rPr>
        <w:t xml:space="preserve"> spos</w:t>
      </w:r>
      <w:r w:rsidR="000738B1">
        <w:rPr>
          <w:lang w:val="pl-PL"/>
        </w:rPr>
        <w:t>o</w:t>
      </w:r>
      <w:r w:rsidR="000738B1" w:rsidRPr="00DB3CF6">
        <w:rPr>
          <w:lang w:val="pl-PL"/>
        </w:rPr>
        <w:t xml:space="preserve">bu, w jaki powinny być oceniane, które to </w:t>
      </w:r>
      <w:r w:rsidR="000738B1">
        <w:rPr>
          <w:lang w:val="pl-PL"/>
        </w:rPr>
        <w:t xml:space="preserve">kwestie </w:t>
      </w:r>
      <w:r w:rsidR="000738B1" w:rsidRPr="00DB3CF6">
        <w:rPr>
          <w:lang w:val="pl-PL"/>
        </w:rPr>
        <w:t xml:space="preserve">są zasadniczo </w:t>
      </w:r>
      <w:r w:rsidR="000738B1">
        <w:rPr>
          <w:lang w:val="pl-PL"/>
        </w:rPr>
        <w:t>przedmiotem</w:t>
      </w:r>
      <w:r w:rsidR="000738B1" w:rsidRPr="00DB3CF6">
        <w:rPr>
          <w:lang w:val="pl-PL"/>
        </w:rPr>
        <w:t xml:space="preserve"> regulacji prawa krajowego i sądów krajowych</w:t>
      </w:r>
      <w:r w:rsidR="00F061A3" w:rsidRPr="000738B1">
        <w:rPr>
          <w:rStyle w:val="JuParaCar"/>
          <w:lang w:val="pl-PL"/>
        </w:rPr>
        <w:t xml:space="preserve"> (</w:t>
      </w:r>
      <w:proofErr w:type="spellStart"/>
      <w:r w:rsidR="00F061A3" w:rsidRPr="000738B1">
        <w:rPr>
          <w:rStyle w:val="JuParaCar"/>
          <w:i/>
          <w:lang w:val="pl-PL"/>
        </w:rPr>
        <w:t>García</w:t>
      </w:r>
      <w:proofErr w:type="spellEnd"/>
      <w:r w:rsidR="00F061A3" w:rsidRPr="000738B1">
        <w:rPr>
          <w:rStyle w:val="JuParaCar"/>
          <w:i/>
          <w:lang w:val="pl-PL"/>
        </w:rPr>
        <w:t xml:space="preserve"> Ruiz </w:t>
      </w:r>
      <w:r w:rsidR="000738B1">
        <w:rPr>
          <w:rStyle w:val="JuParaCar"/>
          <w:i/>
          <w:lang w:val="pl-PL"/>
        </w:rPr>
        <w:t>p. Hiszpanii</w:t>
      </w:r>
      <w:r w:rsidR="000738B1">
        <w:rPr>
          <w:rStyle w:val="JuParaCar"/>
          <w:lang w:val="pl-PL"/>
        </w:rPr>
        <w:t xml:space="preserve"> [WI], nr 30544/96, § 28, ETPC</w:t>
      </w:r>
      <w:r w:rsidR="00F061A3" w:rsidRPr="000738B1">
        <w:rPr>
          <w:rStyle w:val="JuParaCar"/>
          <w:lang w:val="pl-PL"/>
        </w:rPr>
        <w:t xml:space="preserve"> 1999</w:t>
      </w:r>
      <w:r w:rsidR="00F061A3" w:rsidRPr="000738B1">
        <w:rPr>
          <w:rStyle w:val="JuParaCar"/>
          <w:lang w:val="pl-PL"/>
        </w:rPr>
        <w:noBreakHyphen/>
        <w:t>I</w:t>
      </w:r>
      <w:r w:rsidR="0090407E">
        <w:rPr>
          <w:rStyle w:val="JuParaCar"/>
          <w:lang w:val="pl-PL"/>
        </w:rPr>
        <w:t xml:space="preserve"> </w:t>
      </w:r>
      <w:r w:rsidR="00F061A3" w:rsidRPr="000738B1">
        <w:rPr>
          <w:rStyle w:val="JuParaCar"/>
          <w:lang w:val="pl-PL"/>
        </w:rPr>
        <w:t>§ 28).</w:t>
      </w:r>
    </w:p>
    <w:p w:rsidR="00F061A3" w:rsidRPr="000738B1" w:rsidRDefault="003001A7" w:rsidP="00F061A3">
      <w:pPr>
        <w:pStyle w:val="JuPara"/>
        <w:rPr>
          <w:lang w:val="pl-PL"/>
        </w:rPr>
      </w:pPr>
      <w:r>
        <w:fldChar w:fldCharType="begin"/>
      </w:r>
      <w:r w:rsidR="00F061A3" w:rsidRPr="007D7B7E">
        <w:rPr>
          <w:lang w:val="pl-PL"/>
        </w:rPr>
        <w:instrText xml:space="preserve"> SEQ level0 \*arabic </w:instrText>
      </w:r>
      <w:r>
        <w:fldChar w:fldCharType="separate"/>
      </w:r>
      <w:r w:rsidR="004E0BEB">
        <w:rPr>
          <w:noProof/>
          <w:lang w:val="pl-PL"/>
        </w:rPr>
        <w:t>164</w:t>
      </w:r>
      <w:r>
        <w:fldChar w:fldCharType="end"/>
      </w:r>
      <w:r w:rsidR="00F061A3" w:rsidRPr="007D7B7E">
        <w:rPr>
          <w:lang w:val="pl-PL"/>
        </w:rPr>
        <w:t>.  </w:t>
      </w:r>
      <w:r w:rsidR="000738B1" w:rsidRPr="000738B1">
        <w:rPr>
          <w:lang w:val="pl-PL"/>
        </w:rPr>
        <w:t>W przedmiotowej sprawie, Trybunał zauważa, że</w:t>
      </w:r>
      <w:r w:rsidR="000738B1">
        <w:rPr>
          <w:lang w:val="pl-PL"/>
        </w:rPr>
        <w:t xml:space="preserve"> nie przedstawiono żadnego dowodu na poparcie tezy</w:t>
      </w:r>
      <w:r w:rsidR="00F63036">
        <w:rPr>
          <w:lang w:val="pl-PL"/>
        </w:rPr>
        <w:t xml:space="preserve"> skarżących, że </w:t>
      </w:r>
      <w:r w:rsidR="00B77F9D">
        <w:rPr>
          <w:lang w:val="pl-PL"/>
        </w:rPr>
        <w:t>wszczęte</w:t>
      </w:r>
      <w:r w:rsidR="00F63036">
        <w:rPr>
          <w:lang w:val="pl-PL"/>
        </w:rPr>
        <w:t xml:space="preserve"> przeciwko nim postępowania były prowadzone </w:t>
      </w:r>
      <w:r w:rsidR="00093928">
        <w:rPr>
          <w:lang w:val="pl-PL"/>
        </w:rPr>
        <w:t>w nierzetelny sposób</w:t>
      </w:r>
      <w:r w:rsidR="00F63036">
        <w:rPr>
          <w:lang w:val="pl-PL"/>
        </w:rPr>
        <w:t>.</w:t>
      </w:r>
      <w:r w:rsidR="00B0470E">
        <w:rPr>
          <w:lang w:val="pl-PL"/>
        </w:rPr>
        <w:t xml:space="preserve"> </w:t>
      </w:r>
      <w:r w:rsidR="00B77F9D">
        <w:rPr>
          <w:lang w:val="pl-PL"/>
        </w:rPr>
        <w:t xml:space="preserve">Trybunał podnosi, że skarżący mogli przedstawić uznane przez nich za właściwe do obrony argumenty na takich samych warunkach </w:t>
      </w:r>
      <w:r w:rsidR="00E86305">
        <w:rPr>
          <w:lang w:val="pl-PL"/>
        </w:rPr>
        <w:t xml:space="preserve">jak </w:t>
      </w:r>
      <w:r w:rsidR="00B77F9D">
        <w:rPr>
          <w:lang w:val="pl-PL"/>
        </w:rPr>
        <w:t>oskarżenie, zgodnie z zasadą kontradyktoryjności. Okoliczność, że sądy</w:t>
      </w:r>
      <w:r w:rsidR="00E86305">
        <w:rPr>
          <w:lang w:val="pl-PL"/>
        </w:rPr>
        <w:t>,</w:t>
      </w:r>
      <w:r w:rsidR="00B77F9D">
        <w:rPr>
          <w:lang w:val="pl-PL"/>
        </w:rPr>
        <w:t xml:space="preserve"> w zresztą</w:t>
      </w:r>
      <w:r w:rsidR="00E86305">
        <w:rPr>
          <w:lang w:val="pl-PL"/>
        </w:rPr>
        <w:t xml:space="preserve"> w obszernie uzasadnionym </w:t>
      </w:r>
      <w:r w:rsidR="005F4277">
        <w:rPr>
          <w:lang w:val="pl-PL"/>
        </w:rPr>
        <w:t>wyroku</w:t>
      </w:r>
      <w:bookmarkStart w:id="0" w:name="_GoBack"/>
      <w:bookmarkEnd w:id="0"/>
      <w:r w:rsidR="00E86305">
        <w:rPr>
          <w:lang w:val="pl-PL"/>
        </w:rPr>
        <w:t>, przychyliły si</w:t>
      </w:r>
      <w:r w:rsidR="00F6137B">
        <w:rPr>
          <w:lang w:val="pl-PL"/>
        </w:rPr>
        <w:t>ę do tezy oskarżenia a nie do argumentów oskarżonych</w:t>
      </w:r>
      <w:r w:rsidR="00E86305">
        <w:rPr>
          <w:lang w:val="pl-PL"/>
        </w:rPr>
        <w:t xml:space="preserve"> zdecydowanie nie wystarczy, żeby stwierdzić naruszenie zasady rzetelnego procesu.   </w:t>
      </w:r>
    </w:p>
    <w:p w:rsidR="00F061A3" w:rsidRPr="00F6137B" w:rsidRDefault="003001A7" w:rsidP="00F061A3">
      <w:pPr>
        <w:pStyle w:val="JuPara"/>
        <w:rPr>
          <w:lang w:val="pl-PL"/>
        </w:rPr>
      </w:pPr>
      <w:r>
        <w:fldChar w:fldCharType="begin"/>
      </w:r>
      <w:r w:rsidR="00F061A3" w:rsidRPr="007D7B7E">
        <w:rPr>
          <w:lang w:val="pl-PL"/>
        </w:rPr>
        <w:instrText xml:space="preserve"> SEQ level0 \*arabic </w:instrText>
      </w:r>
      <w:r>
        <w:fldChar w:fldCharType="separate"/>
      </w:r>
      <w:r w:rsidR="004E0BEB">
        <w:rPr>
          <w:noProof/>
          <w:lang w:val="pl-PL"/>
        </w:rPr>
        <w:t>165</w:t>
      </w:r>
      <w:r>
        <w:fldChar w:fldCharType="end"/>
      </w:r>
      <w:r w:rsidR="00F061A3" w:rsidRPr="007D7B7E">
        <w:rPr>
          <w:lang w:val="pl-PL"/>
        </w:rPr>
        <w:t>.  </w:t>
      </w:r>
      <w:r w:rsidR="00E86305" w:rsidRPr="00F6137B">
        <w:rPr>
          <w:lang w:val="pl-PL"/>
        </w:rPr>
        <w:t>Ni</w:t>
      </w:r>
      <w:r w:rsidR="005F59F6" w:rsidRPr="00F6137B">
        <w:rPr>
          <w:lang w:val="pl-PL"/>
        </w:rPr>
        <w:t xml:space="preserve">e </w:t>
      </w:r>
      <w:r w:rsidR="00F6137B" w:rsidRPr="00F6137B">
        <w:rPr>
          <w:lang w:val="pl-PL"/>
        </w:rPr>
        <w:t>doszło zatem do naruszenia</w:t>
      </w:r>
      <w:r w:rsidR="00B208D0">
        <w:rPr>
          <w:lang w:val="pl-PL"/>
        </w:rPr>
        <w:t xml:space="preserve"> </w:t>
      </w:r>
      <w:r w:rsidR="00F061A3" w:rsidRPr="00F6137B">
        <w:rPr>
          <w:lang w:val="pl-PL"/>
        </w:rPr>
        <w:t xml:space="preserve">6 § 1 </w:t>
      </w:r>
      <w:r w:rsidR="005F59F6" w:rsidRPr="00F6137B">
        <w:rPr>
          <w:lang w:val="pl-PL"/>
        </w:rPr>
        <w:t>Konwencji</w:t>
      </w:r>
      <w:r w:rsidR="00F061A3" w:rsidRPr="00F6137B">
        <w:rPr>
          <w:lang w:val="pl-PL"/>
        </w:rPr>
        <w:t xml:space="preserve">, </w:t>
      </w:r>
      <w:r w:rsidR="00F6137B" w:rsidRPr="00F6137B">
        <w:rPr>
          <w:lang w:val="pl-PL"/>
        </w:rPr>
        <w:t>a ta część skargi jest oczywiście nieuzasadniona</w:t>
      </w:r>
      <w:r w:rsidR="00F061A3" w:rsidRPr="00F6137B">
        <w:rPr>
          <w:lang w:val="pl-PL"/>
        </w:rPr>
        <w:t xml:space="preserve">, </w:t>
      </w:r>
      <w:r w:rsidR="00F6137B">
        <w:rPr>
          <w:lang w:val="pl-PL"/>
        </w:rPr>
        <w:t>w rozumieniu artykułu</w:t>
      </w:r>
      <w:r w:rsidR="00F061A3" w:rsidRPr="00F6137B">
        <w:rPr>
          <w:lang w:val="pl-PL"/>
        </w:rPr>
        <w:t xml:space="preserve"> 35 §§ 3</w:t>
      </w:r>
      <w:r w:rsidR="00F6137B">
        <w:rPr>
          <w:lang w:val="pl-PL"/>
        </w:rPr>
        <w:t xml:space="preserve"> (a) i</w:t>
      </w:r>
      <w:r w:rsidR="00F061A3" w:rsidRPr="00F6137B">
        <w:rPr>
          <w:lang w:val="pl-PL"/>
        </w:rPr>
        <w:t xml:space="preserve"> 4 </w:t>
      </w:r>
      <w:r w:rsidR="00F6137B">
        <w:rPr>
          <w:lang w:val="pl-PL"/>
        </w:rPr>
        <w:t>Konwencji</w:t>
      </w:r>
      <w:r w:rsidR="00F061A3" w:rsidRPr="00F6137B">
        <w:rPr>
          <w:lang w:val="pl-PL"/>
        </w:rPr>
        <w:t>.</w:t>
      </w:r>
    </w:p>
    <w:p w:rsidR="00F061A3" w:rsidRPr="00F82004" w:rsidRDefault="00F061A3" w:rsidP="00F061A3">
      <w:pPr>
        <w:pStyle w:val="JuHIRoman"/>
        <w:rPr>
          <w:lang w:val="pl-PL"/>
        </w:rPr>
      </w:pPr>
      <w:r w:rsidRPr="00F82004">
        <w:rPr>
          <w:lang w:val="pl-PL"/>
        </w:rPr>
        <w:lastRenderedPageBreak/>
        <w:t>V.  </w:t>
      </w:r>
      <w:r w:rsidR="00F61E8F" w:rsidRPr="00F82004">
        <w:rPr>
          <w:lang w:val="pl-PL"/>
        </w:rPr>
        <w:t>ZASTOSOWANIE ARTYKUŁU 41 KONWENCJI</w:t>
      </w:r>
    </w:p>
    <w:p w:rsidR="00F61E8F" w:rsidRPr="006F5C5C" w:rsidRDefault="003001A7" w:rsidP="00F61E8F">
      <w:pPr>
        <w:pStyle w:val="JuPara"/>
        <w:keepNext/>
        <w:keepLines/>
        <w:outlineLvl w:val="0"/>
        <w:rPr>
          <w:lang w:val="pl-PL"/>
        </w:rPr>
      </w:pPr>
      <w:r>
        <w:fldChar w:fldCharType="begin"/>
      </w:r>
      <w:r w:rsidR="00F061A3" w:rsidRPr="005332DB">
        <w:rPr>
          <w:lang w:val="pl-PL"/>
        </w:rPr>
        <w:instrText xml:space="preserve"> SEQ level0 \*arabic </w:instrText>
      </w:r>
      <w:r>
        <w:fldChar w:fldCharType="separate"/>
      </w:r>
      <w:r w:rsidR="004E0BEB">
        <w:rPr>
          <w:noProof/>
          <w:lang w:val="pl-PL"/>
        </w:rPr>
        <w:t>166</w:t>
      </w:r>
      <w:r>
        <w:fldChar w:fldCharType="end"/>
      </w:r>
      <w:r w:rsidR="00F061A3" w:rsidRPr="005332DB">
        <w:rPr>
          <w:lang w:val="pl-PL"/>
        </w:rPr>
        <w:t>.  </w:t>
      </w:r>
      <w:r w:rsidR="00F61E8F" w:rsidRPr="006F5C5C">
        <w:rPr>
          <w:lang w:val="pl-PL"/>
        </w:rPr>
        <w:t>Zgodnie z artykułem 41 Konwencji,</w:t>
      </w:r>
    </w:p>
    <w:p w:rsidR="00F61E8F" w:rsidRPr="00B40DC9" w:rsidRDefault="00F61E8F" w:rsidP="00F61E8F">
      <w:pPr>
        <w:pStyle w:val="JuQuot"/>
        <w:keepNext/>
        <w:keepLines/>
        <w:rPr>
          <w:lang w:val="pl-PL"/>
        </w:rPr>
      </w:pPr>
      <w:r w:rsidRPr="00005A77">
        <w:rPr>
          <w:lang w:val="pl-PL"/>
        </w:rPr>
        <w:t>„Jeśli Trybunał stwierdzi, że nastąpiło naruszenie Konwencji lub jej Protokołów oraz jeśli prawo wewnętrzne Wysokiej Układającej się Strony pozwala tylko na częściowe usunięcie konsekwencji tego naruszenia</w:t>
      </w:r>
      <w:r>
        <w:rPr>
          <w:lang w:val="pl-PL"/>
        </w:rPr>
        <w:t xml:space="preserve">, </w:t>
      </w:r>
      <w:r w:rsidRPr="00B40DC9">
        <w:rPr>
          <w:lang w:val="pl-PL"/>
        </w:rPr>
        <w:t xml:space="preserve">Trybunał orzeka, gdy zachodzi potrzeba, słuszne zadośćuczynienie pokrzywdzonej stronie.” </w:t>
      </w:r>
    </w:p>
    <w:p w:rsidR="00F061A3" w:rsidRPr="00F82004" w:rsidRDefault="00F061A3" w:rsidP="00F061A3">
      <w:pPr>
        <w:pStyle w:val="JuHA"/>
        <w:outlineLvl w:val="0"/>
        <w:rPr>
          <w:lang w:val="pl-PL"/>
        </w:rPr>
      </w:pPr>
      <w:r w:rsidRPr="00F82004">
        <w:rPr>
          <w:lang w:val="pl-PL"/>
        </w:rPr>
        <w:t>A.  </w:t>
      </w:r>
      <w:r w:rsidR="00A66E0E" w:rsidRPr="00C45182">
        <w:rPr>
          <w:lang w:val="pl-PL"/>
        </w:rPr>
        <w:t>Szkoda</w:t>
      </w:r>
    </w:p>
    <w:p w:rsidR="00F061A3" w:rsidRPr="006B1D54" w:rsidRDefault="003001A7" w:rsidP="00F061A3">
      <w:pPr>
        <w:pStyle w:val="JuPara"/>
        <w:rPr>
          <w:lang w:val="pl-PL"/>
        </w:rPr>
      </w:pPr>
      <w:r>
        <w:fldChar w:fldCharType="begin"/>
      </w:r>
      <w:r w:rsidR="00F061A3" w:rsidRPr="005332DB">
        <w:rPr>
          <w:lang w:val="pl-PL"/>
        </w:rPr>
        <w:instrText xml:space="preserve"> SEQ level0 \*arabic </w:instrText>
      </w:r>
      <w:r>
        <w:fldChar w:fldCharType="separate"/>
      </w:r>
      <w:r w:rsidR="004E0BEB">
        <w:rPr>
          <w:noProof/>
          <w:lang w:val="pl-PL"/>
        </w:rPr>
        <w:t>167</w:t>
      </w:r>
      <w:r>
        <w:fldChar w:fldCharType="end"/>
      </w:r>
      <w:r w:rsidR="00F061A3" w:rsidRPr="005332DB">
        <w:rPr>
          <w:lang w:val="pl-PL"/>
        </w:rPr>
        <w:t>.  </w:t>
      </w:r>
      <w:r w:rsidR="007C13FA" w:rsidRPr="007C13FA">
        <w:rPr>
          <w:lang w:val="pl-PL"/>
        </w:rPr>
        <w:t xml:space="preserve">Każdy ze skarżących domaga się </w:t>
      </w:r>
      <w:r w:rsidR="00093928">
        <w:rPr>
          <w:lang w:val="pl-PL"/>
        </w:rPr>
        <w:t>35</w:t>
      </w:r>
      <w:r w:rsidR="007C13FA" w:rsidRPr="007C13FA">
        <w:rPr>
          <w:lang w:val="pl-PL"/>
        </w:rPr>
        <w:t> 000 euro (EUR) z tytułu doznanej sz</w:t>
      </w:r>
      <w:r w:rsidR="007C13FA">
        <w:rPr>
          <w:lang w:val="pl-PL"/>
        </w:rPr>
        <w:t>k</w:t>
      </w:r>
      <w:r w:rsidR="006B1D54">
        <w:rPr>
          <w:lang w:val="pl-PL"/>
        </w:rPr>
        <w:t>ody</w:t>
      </w:r>
      <w:r w:rsidR="007C13FA" w:rsidRPr="007C13FA">
        <w:rPr>
          <w:lang w:val="pl-PL"/>
        </w:rPr>
        <w:t xml:space="preserve">. </w:t>
      </w:r>
    </w:p>
    <w:p w:rsidR="00F061A3" w:rsidRPr="005332DB" w:rsidRDefault="003001A7" w:rsidP="00F061A3">
      <w:pPr>
        <w:pStyle w:val="JuPara"/>
        <w:outlineLvl w:val="0"/>
        <w:rPr>
          <w:lang w:val="pl-PL"/>
        </w:rPr>
      </w:pPr>
      <w:r>
        <w:fldChar w:fldCharType="begin"/>
      </w:r>
      <w:r w:rsidR="00F061A3" w:rsidRPr="005332DB">
        <w:rPr>
          <w:lang w:val="pl-PL"/>
        </w:rPr>
        <w:instrText xml:space="preserve"> SEQ level0 \*arabic </w:instrText>
      </w:r>
      <w:r>
        <w:fldChar w:fldCharType="separate"/>
      </w:r>
      <w:r w:rsidR="004E0BEB">
        <w:rPr>
          <w:noProof/>
          <w:lang w:val="pl-PL"/>
        </w:rPr>
        <w:t>168</w:t>
      </w:r>
      <w:r>
        <w:fldChar w:fldCharType="end"/>
      </w:r>
      <w:r w:rsidR="00F061A3" w:rsidRPr="005332DB">
        <w:rPr>
          <w:lang w:val="pl-PL"/>
        </w:rPr>
        <w:t>.  </w:t>
      </w:r>
      <w:r w:rsidR="007C13FA" w:rsidRPr="006F5C5C">
        <w:rPr>
          <w:lang w:val="pl-PL"/>
        </w:rPr>
        <w:t xml:space="preserve">Rząd uważa, że </w:t>
      </w:r>
      <w:r w:rsidR="00093928">
        <w:rPr>
          <w:lang w:val="pl-PL"/>
        </w:rPr>
        <w:t>roszczenia te są</w:t>
      </w:r>
      <w:r w:rsidR="00B0470E">
        <w:rPr>
          <w:lang w:val="pl-PL"/>
        </w:rPr>
        <w:t xml:space="preserve"> </w:t>
      </w:r>
      <w:r w:rsidR="00093928">
        <w:rPr>
          <w:lang w:val="pl-PL"/>
        </w:rPr>
        <w:t>wygórowane</w:t>
      </w:r>
      <w:r w:rsidR="00311A5D">
        <w:rPr>
          <w:lang w:val="pl-PL"/>
        </w:rPr>
        <w:t>.</w:t>
      </w:r>
    </w:p>
    <w:p w:rsidR="00A0208C" w:rsidRPr="00A0208C" w:rsidRDefault="003001A7" w:rsidP="00F061A3">
      <w:pPr>
        <w:pStyle w:val="JuPara"/>
        <w:rPr>
          <w:lang w:val="pl-PL"/>
        </w:rPr>
      </w:pPr>
      <w:r>
        <w:fldChar w:fldCharType="begin"/>
      </w:r>
      <w:r w:rsidR="00F061A3" w:rsidRPr="005332DB">
        <w:rPr>
          <w:lang w:val="pl-PL"/>
        </w:rPr>
        <w:instrText xml:space="preserve"> SEQ level0 \*arabic </w:instrText>
      </w:r>
      <w:r>
        <w:fldChar w:fldCharType="separate"/>
      </w:r>
      <w:r w:rsidR="004E0BEB">
        <w:rPr>
          <w:noProof/>
          <w:lang w:val="pl-PL"/>
        </w:rPr>
        <w:t>169</w:t>
      </w:r>
      <w:r>
        <w:fldChar w:fldCharType="end"/>
      </w:r>
      <w:r w:rsidR="00F061A3" w:rsidRPr="005332DB">
        <w:rPr>
          <w:lang w:val="pl-PL"/>
        </w:rPr>
        <w:t>.  </w:t>
      </w:r>
      <w:r w:rsidR="00A0208C">
        <w:rPr>
          <w:lang w:val="pl-PL"/>
        </w:rPr>
        <w:t>Trybunał nie dostrzega</w:t>
      </w:r>
      <w:r w:rsidR="00A0208C" w:rsidRPr="00A87C85">
        <w:rPr>
          <w:lang w:val="pl-PL"/>
        </w:rPr>
        <w:t xml:space="preserve"> związku przyczynowego pomiędzy stwierdzonym</w:t>
      </w:r>
      <w:r w:rsidR="00A0208C">
        <w:rPr>
          <w:lang w:val="pl-PL"/>
        </w:rPr>
        <w:t xml:space="preserve"> naruszeniem a przywołaną szkodą materialną i odrzuca to żądanie. </w:t>
      </w:r>
      <w:r w:rsidR="00A0208C" w:rsidRPr="00A0208C">
        <w:rPr>
          <w:lang w:val="pl-PL"/>
        </w:rPr>
        <w:t xml:space="preserve">Uznaje natomiast, że istnieją podstawy do przyznania </w:t>
      </w:r>
      <w:r w:rsidR="00A0208C">
        <w:rPr>
          <w:lang w:val="pl-PL"/>
        </w:rPr>
        <w:t xml:space="preserve">każdemu ze </w:t>
      </w:r>
      <w:r w:rsidR="00C45182">
        <w:rPr>
          <w:lang w:val="pl-PL"/>
        </w:rPr>
        <w:t>skarżąc</w:t>
      </w:r>
      <w:r w:rsidR="00A0208C">
        <w:rPr>
          <w:lang w:val="pl-PL"/>
        </w:rPr>
        <w:t>ych</w:t>
      </w:r>
      <w:r w:rsidR="00A0208C" w:rsidRPr="00A0208C">
        <w:rPr>
          <w:lang w:val="pl-PL"/>
        </w:rPr>
        <w:t xml:space="preserve"> kwoty 6 000 euro z tytułu szkody moralnej.</w:t>
      </w:r>
    </w:p>
    <w:p w:rsidR="00F061A3" w:rsidRPr="00DF3623" w:rsidRDefault="00F061A3" w:rsidP="00F061A3">
      <w:pPr>
        <w:pStyle w:val="JuHA"/>
        <w:outlineLvl w:val="0"/>
        <w:rPr>
          <w:lang w:val="pl-PL"/>
        </w:rPr>
      </w:pPr>
      <w:r w:rsidRPr="00DF3623">
        <w:rPr>
          <w:lang w:val="pl-PL"/>
        </w:rPr>
        <w:t>B.  </w:t>
      </w:r>
      <w:r w:rsidR="00C45182" w:rsidRPr="00DF3623">
        <w:rPr>
          <w:lang w:val="pl-PL"/>
        </w:rPr>
        <w:t>Koszty i wydatki</w:t>
      </w:r>
    </w:p>
    <w:p w:rsidR="00F061A3" w:rsidRPr="008A3198" w:rsidRDefault="003001A7" w:rsidP="00F061A3">
      <w:pPr>
        <w:pStyle w:val="JuPara"/>
        <w:rPr>
          <w:lang w:val="pl-PL"/>
        </w:rPr>
      </w:pPr>
      <w:r w:rsidRPr="008A3198">
        <w:rPr>
          <w:rStyle w:val="sb8d990e2"/>
        </w:rPr>
        <w:fldChar w:fldCharType="begin"/>
      </w:r>
      <w:r w:rsidR="00F061A3" w:rsidRPr="00DF3623">
        <w:rPr>
          <w:rStyle w:val="sb8d990e2"/>
          <w:lang w:val="pl-PL"/>
        </w:rPr>
        <w:instrText xml:space="preserve"> SEQ level0 \*arabic </w:instrText>
      </w:r>
      <w:r w:rsidRPr="008A3198">
        <w:rPr>
          <w:rStyle w:val="sb8d990e2"/>
        </w:rPr>
        <w:fldChar w:fldCharType="separate"/>
      </w:r>
      <w:r w:rsidR="004E0BEB">
        <w:rPr>
          <w:rStyle w:val="sb8d990e2"/>
          <w:noProof/>
          <w:lang w:val="pl-PL"/>
        </w:rPr>
        <w:t>170</w:t>
      </w:r>
      <w:r w:rsidRPr="008A3198">
        <w:rPr>
          <w:rStyle w:val="sb8d990e2"/>
        </w:rPr>
        <w:fldChar w:fldCharType="end"/>
      </w:r>
      <w:r w:rsidR="00F061A3" w:rsidRPr="00DF3623">
        <w:rPr>
          <w:rStyle w:val="sb8d990e2"/>
          <w:lang w:val="pl-PL"/>
        </w:rPr>
        <w:t>.  </w:t>
      </w:r>
      <w:r w:rsidR="008A3198" w:rsidRPr="008A3198">
        <w:rPr>
          <w:rStyle w:val="sb8d990e2"/>
          <w:lang w:val="pl-PL"/>
        </w:rPr>
        <w:t xml:space="preserve">Trybunał zauważa, że </w:t>
      </w:r>
      <w:r w:rsidR="008A3198" w:rsidRPr="008A3198">
        <w:rPr>
          <w:lang w:val="pl-PL"/>
        </w:rPr>
        <w:t>s</w:t>
      </w:r>
      <w:r w:rsidR="008A3198">
        <w:rPr>
          <w:lang w:val="pl-PL"/>
        </w:rPr>
        <w:t>karżący</w:t>
      </w:r>
      <w:r w:rsidR="008A3198" w:rsidRPr="008A3198">
        <w:rPr>
          <w:lang w:val="pl-PL"/>
        </w:rPr>
        <w:t xml:space="preserve"> nie przedstawili roszczeń z tytułu kosztów i wydatków.</w:t>
      </w:r>
      <w:r w:rsidR="00B0470E">
        <w:rPr>
          <w:lang w:val="pl-PL"/>
        </w:rPr>
        <w:t xml:space="preserve"> </w:t>
      </w:r>
      <w:r w:rsidR="008A3198">
        <w:rPr>
          <w:noProof/>
          <w:lang w:val="pl-PL"/>
        </w:rPr>
        <w:t>Trybunał nie przyznaje więc kwoty pieniężnej z tego tytułu.</w:t>
      </w:r>
    </w:p>
    <w:p w:rsidR="00F061A3" w:rsidRPr="00F82004" w:rsidRDefault="00F061A3" w:rsidP="00F061A3">
      <w:pPr>
        <w:pStyle w:val="JuHA"/>
        <w:outlineLvl w:val="0"/>
        <w:rPr>
          <w:lang w:val="pl-PL"/>
        </w:rPr>
      </w:pPr>
      <w:r w:rsidRPr="00F82004">
        <w:rPr>
          <w:lang w:val="pl-PL"/>
        </w:rPr>
        <w:t>C.  </w:t>
      </w:r>
      <w:r w:rsidR="006F2E31" w:rsidRPr="00F82004">
        <w:rPr>
          <w:lang w:val="pl-PL"/>
        </w:rPr>
        <w:t>ODSETKI ZA ZWŁOKĘ</w:t>
      </w:r>
    </w:p>
    <w:p w:rsidR="006F2E31" w:rsidRPr="00C95FB5" w:rsidRDefault="003001A7" w:rsidP="006F2E31">
      <w:pPr>
        <w:pStyle w:val="JuPara"/>
        <w:rPr>
          <w:lang w:val="pl-PL"/>
        </w:rPr>
      </w:pPr>
      <w:r>
        <w:fldChar w:fldCharType="begin"/>
      </w:r>
      <w:r w:rsidR="00F061A3" w:rsidRPr="005332DB">
        <w:rPr>
          <w:lang w:val="pl-PL"/>
        </w:rPr>
        <w:instrText xml:space="preserve"> SEQ level0 \*arabic </w:instrText>
      </w:r>
      <w:r>
        <w:fldChar w:fldCharType="separate"/>
      </w:r>
      <w:r w:rsidR="004E0BEB">
        <w:rPr>
          <w:noProof/>
          <w:lang w:val="pl-PL"/>
        </w:rPr>
        <w:t>171</w:t>
      </w:r>
      <w:r>
        <w:fldChar w:fldCharType="end"/>
      </w:r>
      <w:r w:rsidR="00F061A3" w:rsidRPr="005332DB">
        <w:rPr>
          <w:lang w:val="pl-PL"/>
        </w:rPr>
        <w:t>.  </w:t>
      </w:r>
      <w:r w:rsidR="006F2E31" w:rsidRPr="00C95FB5">
        <w:rPr>
          <w:lang w:val="pl-PL"/>
        </w:rPr>
        <w:t xml:space="preserve">Trybunał uznaje, że odsetki z tytułu niewypłacenia zasądzonych kwot </w:t>
      </w:r>
      <w:r w:rsidR="006F2E31" w:rsidRPr="00C56856">
        <w:rPr>
          <w:lang w:val="pl-PL"/>
        </w:rPr>
        <w:t>powinny</w:t>
      </w:r>
      <w:r w:rsidR="006F2E31" w:rsidRPr="00C95FB5">
        <w:rPr>
          <w:lang w:val="pl-PL"/>
        </w:rPr>
        <w:t xml:space="preserve"> być naliczone według stopy równej krańcowej stopie procentowej Europejskiego </w:t>
      </w:r>
      <w:r w:rsidR="006F2E31" w:rsidRPr="00C56856">
        <w:rPr>
          <w:lang w:val="pl-PL"/>
        </w:rPr>
        <w:t>Banku</w:t>
      </w:r>
      <w:r w:rsidR="006F2E31" w:rsidRPr="00C95FB5">
        <w:rPr>
          <w:lang w:val="pl-PL"/>
        </w:rPr>
        <w:t xml:space="preserve"> Centralnego, powiększonej o trzy punkty procentowe.</w:t>
      </w:r>
    </w:p>
    <w:p w:rsidR="00F061A3" w:rsidRPr="007D7B7E" w:rsidRDefault="000738B1" w:rsidP="00F061A3">
      <w:pPr>
        <w:pStyle w:val="JuHHead"/>
        <w:rPr>
          <w:lang w:val="pl-PL"/>
        </w:rPr>
      </w:pPr>
      <w:r w:rsidRPr="007D7B7E">
        <w:rPr>
          <w:lang w:val="pl-PL"/>
        </w:rPr>
        <w:t xml:space="preserve">Z </w:t>
      </w:r>
      <w:r w:rsidRPr="000738B1">
        <w:rPr>
          <w:lang w:val="pl-PL"/>
        </w:rPr>
        <w:t>TYCHPRZYCZYNTRYBUNAŁ</w:t>
      </w:r>
      <w:r w:rsidR="00F061A3" w:rsidRPr="007D7B7E">
        <w:rPr>
          <w:lang w:val="pl-PL"/>
        </w:rPr>
        <w:t>,</w:t>
      </w:r>
    </w:p>
    <w:p w:rsidR="00A44EFE" w:rsidRPr="00A44EFE" w:rsidRDefault="00F061A3" w:rsidP="00F061A3">
      <w:pPr>
        <w:pStyle w:val="JuList"/>
        <w:rPr>
          <w:i/>
          <w:lang w:val="pl-PL"/>
        </w:rPr>
      </w:pPr>
      <w:r w:rsidRPr="00A44EFE">
        <w:rPr>
          <w:lang w:val="pl-PL"/>
        </w:rPr>
        <w:t>1.  </w:t>
      </w:r>
      <w:r w:rsidR="00A44EFE" w:rsidRPr="00A44EFE">
        <w:rPr>
          <w:i/>
          <w:lang w:val="pl-PL"/>
        </w:rPr>
        <w:t>Uznaje</w:t>
      </w:r>
      <w:r w:rsidR="00A44EFE" w:rsidRPr="00A44EFE">
        <w:rPr>
          <w:lang w:val="pl-PL"/>
        </w:rPr>
        <w:t xml:space="preserve"> skargę za dopuszczalną, co do zarzutów </w:t>
      </w:r>
      <w:r w:rsidR="00A44EFE">
        <w:rPr>
          <w:lang w:val="pl-PL"/>
        </w:rPr>
        <w:t>z artykułu</w:t>
      </w:r>
      <w:r w:rsidR="00B97F61">
        <w:rPr>
          <w:lang w:val="pl-PL"/>
        </w:rPr>
        <w:t xml:space="preserve"> </w:t>
      </w:r>
      <w:r w:rsidR="00A44EFE">
        <w:rPr>
          <w:lang w:val="pl-PL"/>
        </w:rPr>
        <w:t xml:space="preserve">5 §§ 1, 4 i </w:t>
      </w:r>
      <w:r w:rsidR="000738B1">
        <w:rPr>
          <w:lang w:val="pl-PL"/>
        </w:rPr>
        <w:t xml:space="preserve">5 </w:t>
      </w:r>
      <w:r w:rsidR="00A44EFE" w:rsidRPr="00A44EFE">
        <w:rPr>
          <w:lang w:val="pl-PL"/>
        </w:rPr>
        <w:t xml:space="preserve">Konwencji </w:t>
      </w:r>
      <w:r w:rsidR="00A44EFE">
        <w:rPr>
          <w:lang w:val="pl-PL"/>
        </w:rPr>
        <w:t xml:space="preserve">dotyczących skarżących Sebastiana i Artura Tomaszewskich </w:t>
      </w:r>
      <w:r w:rsidR="00A44EFE" w:rsidRPr="00A44EFE">
        <w:rPr>
          <w:lang w:val="pl-PL"/>
        </w:rPr>
        <w:t>oraz uznaje za niedopuszczalną w pozostałej części</w:t>
      </w:r>
      <w:r w:rsidR="00A44EFE">
        <w:rPr>
          <w:lang w:val="pl-PL"/>
        </w:rPr>
        <w:t>;</w:t>
      </w:r>
      <w:r w:rsidR="00A44EFE" w:rsidRPr="00A44EFE">
        <w:rPr>
          <w:lang w:val="pl-PL"/>
        </w:rPr>
        <w:t> </w:t>
      </w:r>
    </w:p>
    <w:p w:rsidR="00F061A3" w:rsidRPr="00A44EFE" w:rsidRDefault="00F061A3" w:rsidP="00F061A3">
      <w:pPr>
        <w:pStyle w:val="JuList"/>
        <w:rPr>
          <w:lang w:val="pl-PL"/>
        </w:rPr>
      </w:pPr>
    </w:p>
    <w:p w:rsidR="007D58A9" w:rsidRDefault="00F061A3" w:rsidP="00F061A3">
      <w:pPr>
        <w:pStyle w:val="JuList"/>
        <w:rPr>
          <w:lang w:val="pl-PL"/>
        </w:rPr>
      </w:pPr>
      <w:r w:rsidRPr="007D58A9">
        <w:rPr>
          <w:lang w:val="pl-PL"/>
        </w:rPr>
        <w:t>2.  </w:t>
      </w:r>
      <w:r w:rsidR="007D58A9">
        <w:rPr>
          <w:i/>
          <w:lang w:val="pl-PL"/>
        </w:rPr>
        <w:t>Stwierdza</w:t>
      </w:r>
      <w:r w:rsidR="007D58A9" w:rsidRPr="00C30B74">
        <w:rPr>
          <w:lang w:val="pl-PL"/>
        </w:rPr>
        <w:t xml:space="preserve">, jednogłośnie, że doszło do naruszenia artykułu </w:t>
      </w:r>
      <w:r w:rsidR="007D58A9" w:rsidRPr="007D58A9">
        <w:rPr>
          <w:lang w:val="pl-PL"/>
        </w:rPr>
        <w:t>5 § 1</w:t>
      </w:r>
      <w:r w:rsidR="007D58A9">
        <w:rPr>
          <w:lang w:val="pl-PL"/>
        </w:rPr>
        <w:t xml:space="preserve"> Konwencji;</w:t>
      </w:r>
    </w:p>
    <w:p w:rsidR="00F061A3" w:rsidRPr="00E53B47" w:rsidRDefault="00F061A3" w:rsidP="00F061A3">
      <w:pPr>
        <w:pStyle w:val="JuList"/>
        <w:rPr>
          <w:lang w:val="pl-PL"/>
        </w:rPr>
      </w:pPr>
    </w:p>
    <w:p w:rsidR="00F061A3" w:rsidRPr="00A44EFE" w:rsidRDefault="00F061A3" w:rsidP="00F061A3">
      <w:pPr>
        <w:pStyle w:val="JuList"/>
        <w:rPr>
          <w:lang w:val="pl-PL"/>
        </w:rPr>
      </w:pPr>
      <w:r w:rsidRPr="006B31D5">
        <w:rPr>
          <w:lang w:val="pl-PL"/>
        </w:rPr>
        <w:t>3.  </w:t>
      </w:r>
      <w:r w:rsidR="007D58A9" w:rsidRPr="00A44EFE">
        <w:rPr>
          <w:i/>
          <w:lang w:val="pl-PL"/>
        </w:rPr>
        <w:t>Stwierdza</w:t>
      </w:r>
      <w:r w:rsidR="007D58A9" w:rsidRPr="00A44EFE">
        <w:rPr>
          <w:lang w:val="pl-PL"/>
        </w:rPr>
        <w:t xml:space="preserve">, </w:t>
      </w:r>
      <w:r w:rsidR="007E70FE" w:rsidRPr="00A44EFE">
        <w:rPr>
          <w:lang w:val="pl-PL"/>
        </w:rPr>
        <w:t>stosunkiem głosów sześć do jednego</w:t>
      </w:r>
      <w:r w:rsidR="007D58A9" w:rsidRPr="00A44EFE">
        <w:rPr>
          <w:lang w:val="pl-PL"/>
        </w:rPr>
        <w:t xml:space="preserve">, że </w:t>
      </w:r>
      <w:r w:rsidR="00A44EFE" w:rsidRPr="00A44EFE">
        <w:rPr>
          <w:lang w:val="pl-PL"/>
        </w:rPr>
        <w:t xml:space="preserve">nie ma </w:t>
      </w:r>
      <w:r w:rsidR="008302B3">
        <w:rPr>
          <w:lang w:val="pl-PL"/>
        </w:rPr>
        <w:t>konieczności przeprowadzania analizy</w:t>
      </w:r>
      <w:r w:rsidR="00A44EFE" w:rsidRPr="00A44EFE">
        <w:rPr>
          <w:lang w:val="pl-PL"/>
        </w:rPr>
        <w:t xml:space="preserve"> zarzutu</w:t>
      </w:r>
      <w:r w:rsidR="00B0470E">
        <w:rPr>
          <w:lang w:val="pl-PL"/>
        </w:rPr>
        <w:t xml:space="preserve"> </w:t>
      </w:r>
      <w:r w:rsidR="00A44EFE">
        <w:rPr>
          <w:lang w:val="pl-PL"/>
        </w:rPr>
        <w:t xml:space="preserve">z artykułu </w:t>
      </w:r>
      <w:r w:rsidRPr="00A44EFE">
        <w:rPr>
          <w:lang w:val="pl-PL"/>
        </w:rPr>
        <w:t xml:space="preserve">5 § 4 </w:t>
      </w:r>
      <w:r w:rsidR="00A44EFE">
        <w:rPr>
          <w:lang w:val="pl-PL"/>
        </w:rPr>
        <w:t>Konwencji</w:t>
      </w:r>
      <w:r w:rsidRPr="00A44EFE">
        <w:rPr>
          <w:lang w:val="pl-PL"/>
        </w:rPr>
        <w:t> ;</w:t>
      </w:r>
    </w:p>
    <w:p w:rsidR="00F061A3" w:rsidRPr="00A44EFE" w:rsidRDefault="00F061A3" w:rsidP="00F061A3">
      <w:pPr>
        <w:pStyle w:val="JuList"/>
        <w:rPr>
          <w:lang w:val="pl-PL"/>
        </w:rPr>
      </w:pPr>
    </w:p>
    <w:p w:rsidR="00F061A3" w:rsidRPr="007D58A9" w:rsidRDefault="00F061A3" w:rsidP="00F061A3">
      <w:pPr>
        <w:pStyle w:val="JuList"/>
        <w:rPr>
          <w:lang w:val="pl-PL"/>
        </w:rPr>
      </w:pPr>
      <w:r w:rsidRPr="00E53B47">
        <w:rPr>
          <w:lang w:val="pl-PL"/>
        </w:rPr>
        <w:t>4.  </w:t>
      </w:r>
      <w:r w:rsidR="007D58A9" w:rsidRPr="007D58A9">
        <w:rPr>
          <w:i/>
          <w:lang w:val="pl-PL"/>
        </w:rPr>
        <w:t>Stwierdza</w:t>
      </w:r>
      <w:r w:rsidR="007D58A9" w:rsidRPr="007D58A9">
        <w:rPr>
          <w:lang w:val="pl-PL"/>
        </w:rPr>
        <w:t>, jednogłośnie, że doszło do naruszenia artykułu 5 § 5 Konwencji</w:t>
      </w:r>
      <w:r w:rsidRPr="007D58A9">
        <w:rPr>
          <w:lang w:val="pl-PL"/>
        </w:rPr>
        <w:t>;</w:t>
      </w:r>
    </w:p>
    <w:p w:rsidR="00F061A3" w:rsidRPr="007D58A9" w:rsidRDefault="00F061A3" w:rsidP="00F061A3">
      <w:pPr>
        <w:pStyle w:val="JuList"/>
        <w:ind w:left="0" w:firstLine="0"/>
        <w:rPr>
          <w:lang w:val="pl-PL"/>
        </w:rPr>
      </w:pPr>
    </w:p>
    <w:p w:rsidR="003D5B57" w:rsidRPr="00C30B74" w:rsidRDefault="00F061A3" w:rsidP="003D5B57">
      <w:pPr>
        <w:pStyle w:val="JuList"/>
        <w:rPr>
          <w:lang w:val="pl-PL"/>
        </w:rPr>
      </w:pPr>
      <w:r w:rsidRPr="00F82004">
        <w:rPr>
          <w:lang w:val="pl-PL"/>
        </w:rPr>
        <w:t>5.  </w:t>
      </w:r>
      <w:r w:rsidR="003D5B57" w:rsidRPr="00C30B74">
        <w:rPr>
          <w:i/>
          <w:lang w:val="pl-PL"/>
        </w:rPr>
        <w:t>Stwierdza</w:t>
      </w:r>
      <w:r w:rsidR="003D5B57" w:rsidRPr="00C30B74">
        <w:rPr>
          <w:lang w:val="pl-PL"/>
        </w:rPr>
        <w:t>, jednogłośnie,</w:t>
      </w:r>
    </w:p>
    <w:p w:rsidR="003D5B57" w:rsidRPr="006145B8" w:rsidRDefault="003D5B57" w:rsidP="003D5B57">
      <w:pPr>
        <w:pStyle w:val="JuLista"/>
        <w:ind w:left="360"/>
        <w:rPr>
          <w:szCs w:val="24"/>
          <w:lang w:val="pl-PL"/>
        </w:rPr>
      </w:pPr>
      <w:r w:rsidRPr="006145B8">
        <w:rPr>
          <w:lang w:val="pl-PL"/>
        </w:rPr>
        <w:t>a)  </w:t>
      </w:r>
      <w:r w:rsidRPr="00E82E7E">
        <w:rPr>
          <w:szCs w:val="24"/>
          <w:lang w:val="pl-PL"/>
        </w:rPr>
        <w:t>że</w:t>
      </w:r>
      <w:r w:rsidR="00B0470E">
        <w:rPr>
          <w:szCs w:val="24"/>
          <w:lang w:val="pl-PL"/>
        </w:rPr>
        <w:t xml:space="preserve"> </w:t>
      </w:r>
      <w:r w:rsidRPr="00E82E7E">
        <w:rPr>
          <w:rFonts w:ascii="Times New (W1)" w:hAnsi="Times New (W1)"/>
          <w:szCs w:val="24"/>
          <w:lang w:val="pl-PL" w:eastAsia="en-GB"/>
        </w:rPr>
        <w:t xml:space="preserve">pozwane Państwo </w:t>
      </w:r>
      <w:r w:rsidRPr="00E82E7E">
        <w:rPr>
          <w:szCs w:val="24"/>
          <w:lang w:val="pl-PL"/>
        </w:rPr>
        <w:t xml:space="preserve">winno wypłacić </w:t>
      </w:r>
      <w:r w:rsidR="00961BCE">
        <w:rPr>
          <w:szCs w:val="24"/>
          <w:lang w:val="pl-PL"/>
        </w:rPr>
        <w:t xml:space="preserve">każdemu </w:t>
      </w:r>
      <w:r w:rsidR="005A7A56">
        <w:rPr>
          <w:szCs w:val="24"/>
          <w:lang w:val="pl-PL"/>
        </w:rPr>
        <w:t xml:space="preserve">ze </w:t>
      </w:r>
      <w:r w:rsidRPr="00E82E7E">
        <w:rPr>
          <w:szCs w:val="24"/>
          <w:lang w:val="pl-PL"/>
        </w:rPr>
        <w:t>skarżąc</w:t>
      </w:r>
      <w:r w:rsidR="005A7A56">
        <w:rPr>
          <w:szCs w:val="24"/>
          <w:lang w:val="pl-PL"/>
        </w:rPr>
        <w:t>ych</w:t>
      </w:r>
      <w:r>
        <w:rPr>
          <w:szCs w:val="24"/>
          <w:lang w:val="pl-PL"/>
        </w:rPr>
        <w:t xml:space="preserve"> w ciągu trzech miesięcy</w:t>
      </w:r>
      <w:r w:rsidRPr="00E82E7E">
        <w:rPr>
          <w:szCs w:val="24"/>
          <w:lang w:val="pl-PL"/>
        </w:rPr>
        <w:t xml:space="preserve"> od dnia, w którym wyrok stanie się prawomocny zgodnie z artykułem 44 § 2 Konwencji </w:t>
      </w:r>
      <w:r w:rsidR="00DF6148">
        <w:rPr>
          <w:szCs w:val="24"/>
          <w:lang w:val="pl-PL"/>
        </w:rPr>
        <w:t xml:space="preserve">kwotę 6 000 </w:t>
      </w:r>
      <w:r w:rsidR="00230E97">
        <w:rPr>
          <w:szCs w:val="24"/>
          <w:lang w:val="pl-PL"/>
        </w:rPr>
        <w:t>EUR</w:t>
      </w:r>
      <w:r w:rsidR="00D81FEC">
        <w:rPr>
          <w:szCs w:val="24"/>
          <w:lang w:val="pl-PL"/>
        </w:rPr>
        <w:t xml:space="preserve"> (sześć tysięcy euro)</w:t>
      </w:r>
      <w:r>
        <w:rPr>
          <w:szCs w:val="24"/>
          <w:lang w:val="pl-PL"/>
        </w:rPr>
        <w:t xml:space="preserve">, </w:t>
      </w:r>
      <w:r w:rsidR="00D81FEC">
        <w:rPr>
          <w:rStyle w:val="FontStyle26"/>
          <w:sz w:val="24"/>
          <w:szCs w:val="24"/>
          <w:lang w:val="pl-PL"/>
        </w:rPr>
        <w:t>powiększoną</w:t>
      </w:r>
      <w:r w:rsidR="00D81FEC" w:rsidRPr="00D81FEC">
        <w:rPr>
          <w:rStyle w:val="FontStyle26"/>
          <w:sz w:val="24"/>
          <w:szCs w:val="24"/>
          <w:lang w:val="es-ES_tradnl"/>
        </w:rPr>
        <w:t xml:space="preserve"> o</w:t>
      </w:r>
      <w:r w:rsidR="00D81FEC" w:rsidRPr="00D81FEC">
        <w:rPr>
          <w:rStyle w:val="FontStyle26"/>
          <w:sz w:val="24"/>
          <w:szCs w:val="24"/>
          <w:lang w:val="pl-PL"/>
        </w:rPr>
        <w:t xml:space="preserve"> podatek</w:t>
      </w:r>
      <w:r w:rsidR="00D81FEC" w:rsidRPr="00D81FEC">
        <w:rPr>
          <w:rStyle w:val="FontStyle26"/>
          <w:sz w:val="24"/>
          <w:szCs w:val="24"/>
          <w:lang w:val="es-ES_tradnl"/>
        </w:rPr>
        <w:t xml:space="preserve">, </w:t>
      </w:r>
      <w:r w:rsidR="00D81FEC" w:rsidRPr="007D7B7E">
        <w:rPr>
          <w:rStyle w:val="FontStyle26"/>
          <w:sz w:val="24"/>
          <w:szCs w:val="24"/>
          <w:lang w:val="pl-PL"/>
        </w:rPr>
        <w:t>który</w:t>
      </w:r>
      <w:r w:rsidR="00B0470E">
        <w:rPr>
          <w:rStyle w:val="FontStyle26"/>
          <w:sz w:val="24"/>
          <w:szCs w:val="24"/>
          <w:lang w:val="pl-PL"/>
        </w:rPr>
        <w:t xml:space="preserve"> </w:t>
      </w:r>
      <w:r w:rsidR="00D81FEC" w:rsidRPr="007D7B7E">
        <w:rPr>
          <w:rStyle w:val="FontStyle26"/>
          <w:sz w:val="24"/>
          <w:szCs w:val="24"/>
          <w:lang w:val="pl-PL"/>
        </w:rPr>
        <w:t>może</w:t>
      </w:r>
      <w:r w:rsidR="00B0470E">
        <w:rPr>
          <w:rStyle w:val="FontStyle26"/>
          <w:sz w:val="24"/>
          <w:szCs w:val="24"/>
          <w:lang w:val="pl-PL"/>
        </w:rPr>
        <w:t xml:space="preserve"> </w:t>
      </w:r>
      <w:r w:rsidR="00D81FEC" w:rsidRPr="007D7B7E">
        <w:rPr>
          <w:rStyle w:val="FontStyle26"/>
          <w:sz w:val="24"/>
          <w:szCs w:val="24"/>
          <w:lang w:val="pl-PL"/>
        </w:rPr>
        <w:t>być</w:t>
      </w:r>
      <w:r w:rsidR="00B0470E">
        <w:rPr>
          <w:rStyle w:val="FontStyle26"/>
          <w:sz w:val="24"/>
          <w:szCs w:val="24"/>
          <w:lang w:val="pl-PL"/>
        </w:rPr>
        <w:t xml:space="preserve"> </w:t>
      </w:r>
      <w:r w:rsidR="00D81FEC" w:rsidRPr="007D7B7E">
        <w:rPr>
          <w:rStyle w:val="FontStyle26"/>
          <w:sz w:val="24"/>
          <w:szCs w:val="24"/>
          <w:lang w:val="pl-PL"/>
        </w:rPr>
        <w:t>pobrany</w:t>
      </w:r>
      <w:r w:rsidR="00D81FEC">
        <w:rPr>
          <w:rStyle w:val="FontStyle26"/>
          <w:szCs w:val="24"/>
          <w:lang w:val="es-ES_tradnl"/>
        </w:rPr>
        <w:t xml:space="preserve">, </w:t>
      </w:r>
      <w:r w:rsidR="00D81FEC" w:rsidRPr="00C30B74">
        <w:rPr>
          <w:szCs w:val="24"/>
          <w:lang w:val="pl-PL" w:eastAsia="en-GB"/>
        </w:rPr>
        <w:t>z tytułu szkody moralne</w:t>
      </w:r>
      <w:r w:rsidR="00D81FEC">
        <w:rPr>
          <w:szCs w:val="24"/>
          <w:lang w:val="pl-PL" w:eastAsia="en-GB"/>
        </w:rPr>
        <w:t xml:space="preserve">j, </w:t>
      </w:r>
      <w:r w:rsidR="00866E81">
        <w:rPr>
          <w:rStyle w:val="FontStyle26"/>
          <w:sz w:val="24"/>
          <w:szCs w:val="24"/>
          <w:lang w:val="pl-PL"/>
        </w:rPr>
        <w:t>która będzie przeliczona</w:t>
      </w:r>
      <w:r w:rsidRPr="00DF6148">
        <w:rPr>
          <w:rStyle w:val="FontStyle26"/>
          <w:sz w:val="24"/>
          <w:szCs w:val="24"/>
          <w:lang w:val="es-ES_tradnl"/>
        </w:rPr>
        <w:t xml:space="preserve"> </w:t>
      </w:r>
      <w:r w:rsidRPr="00543625">
        <w:rPr>
          <w:rStyle w:val="FontStyle26"/>
          <w:sz w:val="24"/>
          <w:szCs w:val="24"/>
          <w:lang w:val="pl-PL"/>
        </w:rPr>
        <w:t>na</w:t>
      </w:r>
      <w:r w:rsidRPr="00DF6148">
        <w:rPr>
          <w:rStyle w:val="FontStyle26"/>
          <w:sz w:val="24"/>
          <w:szCs w:val="24"/>
          <w:lang w:val="es-ES_tradnl"/>
        </w:rPr>
        <w:t xml:space="preserve"> </w:t>
      </w:r>
      <w:r w:rsidRPr="007D7B7E">
        <w:rPr>
          <w:rStyle w:val="FontStyle26"/>
          <w:sz w:val="24"/>
          <w:szCs w:val="24"/>
          <w:lang w:val="pl-PL"/>
        </w:rPr>
        <w:t>walutę</w:t>
      </w:r>
      <w:r w:rsidR="00B0470E">
        <w:rPr>
          <w:rStyle w:val="FontStyle26"/>
          <w:sz w:val="24"/>
          <w:szCs w:val="24"/>
          <w:lang w:val="pl-PL"/>
        </w:rPr>
        <w:t xml:space="preserve"> </w:t>
      </w:r>
      <w:r w:rsidRPr="007D7B7E">
        <w:rPr>
          <w:rStyle w:val="FontStyle26"/>
          <w:sz w:val="24"/>
          <w:szCs w:val="24"/>
          <w:lang w:val="pl-PL"/>
        </w:rPr>
        <w:t>Państwa</w:t>
      </w:r>
      <w:r w:rsidR="00B0470E">
        <w:rPr>
          <w:rStyle w:val="FontStyle26"/>
          <w:sz w:val="24"/>
          <w:szCs w:val="24"/>
          <w:lang w:val="pl-PL"/>
        </w:rPr>
        <w:t xml:space="preserve"> </w:t>
      </w:r>
      <w:r w:rsidRPr="007D7B7E">
        <w:rPr>
          <w:rStyle w:val="FontStyle26"/>
          <w:sz w:val="24"/>
          <w:szCs w:val="24"/>
          <w:lang w:val="pl-PL"/>
        </w:rPr>
        <w:t>pozwanego</w:t>
      </w:r>
      <w:r w:rsidR="00B0470E">
        <w:rPr>
          <w:rStyle w:val="FontStyle26"/>
          <w:sz w:val="24"/>
          <w:szCs w:val="24"/>
          <w:lang w:val="pl-PL"/>
        </w:rPr>
        <w:t xml:space="preserve"> </w:t>
      </w:r>
      <w:r w:rsidRPr="007D7B7E">
        <w:rPr>
          <w:rStyle w:val="FontStyle26"/>
          <w:sz w:val="24"/>
          <w:szCs w:val="24"/>
          <w:lang w:val="pl-PL"/>
        </w:rPr>
        <w:t>po</w:t>
      </w:r>
      <w:r w:rsidR="00B0470E">
        <w:rPr>
          <w:rStyle w:val="FontStyle26"/>
          <w:sz w:val="24"/>
          <w:szCs w:val="24"/>
          <w:lang w:val="pl-PL"/>
        </w:rPr>
        <w:t xml:space="preserve"> </w:t>
      </w:r>
      <w:r w:rsidRPr="007D7B7E">
        <w:rPr>
          <w:rStyle w:val="FontStyle26"/>
          <w:sz w:val="24"/>
          <w:szCs w:val="24"/>
          <w:lang w:val="pl-PL"/>
        </w:rPr>
        <w:t>kursie</w:t>
      </w:r>
      <w:r w:rsidRPr="00DF6148">
        <w:rPr>
          <w:rStyle w:val="FontStyle26"/>
          <w:sz w:val="24"/>
          <w:szCs w:val="24"/>
          <w:lang w:val="es-ES_tradnl"/>
        </w:rPr>
        <w:t xml:space="preserve"> z </w:t>
      </w:r>
      <w:r w:rsidRPr="007D7B7E">
        <w:rPr>
          <w:rStyle w:val="FontStyle26"/>
          <w:sz w:val="24"/>
          <w:szCs w:val="24"/>
          <w:lang w:val="pl-PL"/>
        </w:rPr>
        <w:t>dnia</w:t>
      </w:r>
      <w:r w:rsidR="00B0470E">
        <w:rPr>
          <w:rStyle w:val="FontStyle26"/>
          <w:sz w:val="24"/>
          <w:szCs w:val="24"/>
          <w:lang w:val="pl-PL"/>
        </w:rPr>
        <w:t xml:space="preserve"> </w:t>
      </w:r>
      <w:r w:rsidRPr="007D7B7E">
        <w:rPr>
          <w:rStyle w:val="FontStyle26"/>
          <w:sz w:val="24"/>
          <w:szCs w:val="24"/>
          <w:lang w:val="pl-PL"/>
        </w:rPr>
        <w:t>zapłaty</w:t>
      </w:r>
      <w:r w:rsidRPr="00DF6148">
        <w:rPr>
          <w:rStyle w:val="FontStyle26"/>
          <w:sz w:val="24"/>
          <w:szCs w:val="24"/>
          <w:lang w:val="pl-PL"/>
        </w:rPr>
        <w:t>;</w:t>
      </w:r>
    </w:p>
    <w:p w:rsidR="003D5B57" w:rsidRPr="00C30B74" w:rsidRDefault="003D5B57" w:rsidP="003D5B57">
      <w:pPr>
        <w:pStyle w:val="JuLista"/>
        <w:rPr>
          <w:rFonts w:ascii="Times New (W1)" w:hAnsi="Times New (W1)"/>
          <w:lang w:val="pl-PL"/>
        </w:rPr>
      </w:pPr>
      <w:r w:rsidRPr="00CE457B">
        <w:rPr>
          <w:lang w:val="pl-PL"/>
        </w:rPr>
        <w:t>b)  </w:t>
      </w:r>
      <w:r>
        <w:rPr>
          <w:lang w:val="pl-PL"/>
        </w:rPr>
        <w:t>że</w:t>
      </w:r>
      <w:r w:rsidRPr="00B07B0C">
        <w:rPr>
          <w:lang w:val="pl-PL"/>
        </w:rPr>
        <w:t> </w:t>
      </w:r>
      <w:r w:rsidRPr="001B0B31">
        <w:rPr>
          <w:szCs w:val="24"/>
          <w:lang w:val="pl-PL"/>
        </w:rPr>
        <w:t>od wygaśnięcia wyżej wspomnianego terminu do momentu zapłaty</w:t>
      </w:r>
      <w:r w:rsidRPr="001B0B31">
        <w:rPr>
          <w:lang w:val="pl-PL"/>
        </w:rPr>
        <w:t xml:space="preserve"> będą płacone zwykłe odsetki według stopy procentowej równej krańcowej stopie Europejskiego Banku Centralnego stosowanej w tym okresie, powiększone</w:t>
      </w:r>
      <w:r>
        <w:rPr>
          <w:lang w:val="pl-PL"/>
        </w:rPr>
        <w:t>j o trzy punkty procentowe;</w:t>
      </w:r>
    </w:p>
    <w:p w:rsidR="00F061A3" w:rsidRPr="005332DB" w:rsidRDefault="00F061A3" w:rsidP="00F061A3">
      <w:pPr>
        <w:pStyle w:val="JuLista"/>
        <w:rPr>
          <w:lang w:val="pl-PL"/>
        </w:rPr>
      </w:pPr>
    </w:p>
    <w:p w:rsidR="00DB7409" w:rsidRDefault="00F061A3" w:rsidP="00F061A3">
      <w:pPr>
        <w:pStyle w:val="JuList"/>
        <w:rPr>
          <w:i/>
          <w:lang w:val="pl-PL"/>
        </w:rPr>
      </w:pPr>
      <w:r w:rsidRPr="00DB7409">
        <w:rPr>
          <w:lang w:val="pl-PL"/>
        </w:rPr>
        <w:t>6.  </w:t>
      </w:r>
      <w:r w:rsidR="00DB7409" w:rsidRPr="00DB7409">
        <w:rPr>
          <w:i/>
          <w:lang w:val="pl-PL"/>
        </w:rPr>
        <w:t xml:space="preserve">Oddala, </w:t>
      </w:r>
      <w:r w:rsidR="00DB7409" w:rsidRPr="00DB7409">
        <w:rPr>
          <w:lang w:val="pl-PL"/>
        </w:rPr>
        <w:t>jednogłośnie pozostałą część roszczenia dotyczącą słusznego zadośćuczynienia</w:t>
      </w:r>
      <w:r w:rsidR="00DB7409">
        <w:rPr>
          <w:lang w:val="pl-PL"/>
        </w:rPr>
        <w:t>.</w:t>
      </w:r>
    </w:p>
    <w:p w:rsidR="00DB7409" w:rsidRPr="00DB7409" w:rsidRDefault="00DB7409" w:rsidP="00F061A3">
      <w:pPr>
        <w:pStyle w:val="JuList"/>
        <w:rPr>
          <w:i/>
          <w:lang w:val="pl-PL"/>
        </w:rPr>
      </w:pPr>
    </w:p>
    <w:p w:rsidR="00DB7409" w:rsidRDefault="00DB7409" w:rsidP="00DB7409">
      <w:pPr>
        <w:ind w:firstLine="284"/>
        <w:jc w:val="both"/>
        <w:rPr>
          <w:lang w:val="pl-PL"/>
        </w:rPr>
      </w:pPr>
      <w:r w:rsidRPr="007876B2">
        <w:rPr>
          <w:lang w:val="pl-PL"/>
        </w:rPr>
        <w:t xml:space="preserve">Sporządzono w języku francuskim i obwieszczono pisemnie w </w:t>
      </w:r>
      <w:r w:rsidR="00093928" w:rsidRPr="007876B2">
        <w:rPr>
          <w:lang w:val="pl-PL"/>
        </w:rPr>
        <w:t xml:space="preserve">dniu </w:t>
      </w:r>
      <w:r w:rsidR="00093928">
        <w:rPr>
          <w:lang w:val="pl-PL"/>
        </w:rPr>
        <w:t>15 kwietnia</w:t>
      </w:r>
      <w:r>
        <w:rPr>
          <w:lang w:val="pl-PL"/>
        </w:rPr>
        <w:t xml:space="preserve"> 2014</w:t>
      </w:r>
      <w:r w:rsidRPr="007876B2">
        <w:rPr>
          <w:lang w:val="pl-PL"/>
        </w:rPr>
        <w:t xml:space="preserve"> roku, zgodnie z artykułem 77 §§ 2 i 3 Regulaminu Trybunału. </w:t>
      </w:r>
    </w:p>
    <w:p w:rsidR="00F061A3" w:rsidRPr="006323B4" w:rsidRDefault="00F061A3" w:rsidP="00F061A3">
      <w:pPr>
        <w:pStyle w:val="JuSigned"/>
        <w:keepNext/>
        <w:keepLines/>
        <w:rPr>
          <w:lang w:val="pl-PL"/>
        </w:rPr>
      </w:pPr>
      <w:r w:rsidRPr="005332DB">
        <w:rPr>
          <w:lang w:val="pl-PL"/>
        </w:rPr>
        <w:tab/>
      </w:r>
      <w:proofErr w:type="spellStart"/>
      <w:r w:rsidRPr="006323B4">
        <w:rPr>
          <w:lang w:val="pl-PL"/>
        </w:rPr>
        <w:t>Fatoş</w:t>
      </w:r>
      <w:proofErr w:type="spellEnd"/>
      <w:r w:rsidR="00EA1796">
        <w:rPr>
          <w:lang w:val="pl-PL"/>
        </w:rPr>
        <w:t xml:space="preserve"> </w:t>
      </w:r>
      <w:proofErr w:type="spellStart"/>
      <w:r w:rsidRPr="006323B4">
        <w:rPr>
          <w:lang w:val="pl-PL"/>
        </w:rPr>
        <w:t>Aracı</w:t>
      </w:r>
      <w:proofErr w:type="spellEnd"/>
      <w:r w:rsidRPr="006323B4">
        <w:rPr>
          <w:lang w:val="pl-PL"/>
        </w:rPr>
        <w:tab/>
      </w:r>
      <w:proofErr w:type="spellStart"/>
      <w:r w:rsidRPr="006323B4">
        <w:rPr>
          <w:szCs w:val="24"/>
          <w:lang w:val="pl-PL"/>
        </w:rPr>
        <w:t>Ineta</w:t>
      </w:r>
      <w:proofErr w:type="spellEnd"/>
      <w:r w:rsidR="00EA1796">
        <w:rPr>
          <w:szCs w:val="24"/>
          <w:lang w:val="pl-PL"/>
        </w:rPr>
        <w:t xml:space="preserve"> </w:t>
      </w:r>
      <w:proofErr w:type="spellStart"/>
      <w:r w:rsidRPr="006323B4">
        <w:rPr>
          <w:szCs w:val="24"/>
          <w:lang w:val="pl-PL"/>
        </w:rPr>
        <w:t>Ziemele</w:t>
      </w:r>
      <w:proofErr w:type="spellEnd"/>
      <w:r w:rsidRPr="006323B4">
        <w:rPr>
          <w:lang w:val="pl-PL"/>
        </w:rPr>
        <w:br/>
      </w:r>
      <w:r w:rsidRPr="006323B4">
        <w:rPr>
          <w:lang w:val="pl-PL"/>
        </w:rPr>
        <w:tab/>
      </w:r>
      <w:r w:rsidR="006323B4" w:rsidRPr="006323B4">
        <w:rPr>
          <w:lang w:val="pl-PL"/>
        </w:rPr>
        <w:t xml:space="preserve">Zastępca </w:t>
      </w:r>
      <w:r w:rsidR="005332DB" w:rsidRPr="006323B4">
        <w:rPr>
          <w:lang w:val="pl-PL"/>
        </w:rPr>
        <w:t>Kanclerza</w:t>
      </w:r>
      <w:r w:rsidRPr="006323B4">
        <w:rPr>
          <w:lang w:val="pl-PL"/>
        </w:rPr>
        <w:tab/>
      </w:r>
      <w:r w:rsidR="006323B4">
        <w:rPr>
          <w:lang w:val="pl-PL"/>
        </w:rPr>
        <w:t>Przewodnicząca</w:t>
      </w:r>
    </w:p>
    <w:p w:rsidR="00F061A3" w:rsidRPr="006323B4" w:rsidRDefault="00F061A3" w:rsidP="00F061A3">
      <w:pPr>
        <w:pStyle w:val="JuParaLast"/>
        <w:rPr>
          <w:lang w:val="pl-PL"/>
        </w:rPr>
      </w:pPr>
    </w:p>
    <w:p w:rsidR="006323B4" w:rsidRPr="00C30B74" w:rsidRDefault="006323B4" w:rsidP="006323B4">
      <w:pPr>
        <w:jc w:val="both"/>
        <w:rPr>
          <w:lang w:val="pl-PL"/>
        </w:rPr>
      </w:pPr>
      <w:r w:rsidRPr="00C30B74">
        <w:rPr>
          <w:lang w:val="pl-PL"/>
        </w:rPr>
        <w:t xml:space="preserve">Zgodnie z artykułami 45 § 2 Konwencji oraz 74 § 2 rozporządzenia, </w:t>
      </w:r>
      <w:r>
        <w:rPr>
          <w:lang w:val="pl-PL"/>
        </w:rPr>
        <w:t xml:space="preserve">do niniejszego wyroku zostaje dołączone zdanie odrębne sędziego Z. </w:t>
      </w:r>
      <w:proofErr w:type="spellStart"/>
      <w:r>
        <w:rPr>
          <w:lang w:val="pl-PL"/>
        </w:rPr>
        <w:t>K</w:t>
      </w:r>
      <w:r w:rsidR="00E51D55">
        <w:rPr>
          <w:lang w:val="pl-PL"/>
        </w:rPr>
        <w:t>al</w:t>
      </w:r>
      <w:r>
        <w:rPr>
          <w:lang w:val="pl-PL"/>
        </w:rPr>
        <w:t>aydjieva</w:t>
      </w:r>
      <w:proofErr w:type="spellEnd"/>
      <w:r>
        <w:rPr>
          <w:lang w:val="pl-PL"/>
        </w:rPr>
        <w:t>.</w:t>
      </w:r>
    </w:p>
    <w:p w:rsidR="006323B4" w:rsidRPr="007D7B7E" w:rsidRDefault="006323B4" w:rsidP="006323B4">
      <w:pPr>
        <w:pStyle w:val="JuInitialled"/>
        <w:rPr>
          <w:lang w:val="pl-PL"/>
        </w:rPr>
      </w:pPr>
      <w:r w:rsidRPr="007D7B7E">
        <w:rPr>
          <w:lang w:val="pl-PL"/>
        </w:rPr>
        <w:t>I.Z.</w:t>
      </w:r>
      <w:r w:rsidRPr="007D7B7E">
        <w:rPr>
          <w:lang w:val="pl-PL"/>
        </w:rPr>
        <w:br/>
        <w:t>F.A.</w:t>
      </w:r>
    </w:p>
    <w:p w:rsidR="007D7B7E" w:rsidRDefault="007D7B7E">
      <w:pPr>
        <w:suppressAutoHyphens w:val="0"/>
        <w:spacing w:after="200" w:line="276" w:lineRule="auto"/>
        <w:rPr>
          <w:lang w:val="pl-PL"/>
        </w:rPr>
        <w:sectPr w:rsidR="007D7B7E" w:rsidSect="002F60E6">
          <w:headerReference w:type="even" r:id="rId15"/>
          <w:headerReference w:type="default" r:id="rId16"/>
          <w:footnotePr>
            <w:numRestart w:val="eachPage"/>
          </w:footnotePr>
          <w:pgSz w:w="11906" w:h="16838" w:code="9"/>
          <w:pgMar w:top="2274" w:right="2274" w:bottom="2274" w:left="2268" w:header="1701" w:footer="720" w:gutter="0"/>
          <w:pgNumType w:start="1"/>
          <w:cols w:space="720"/>
          <w:docGrid w:linePitch="326"/>
        </w:sectPr>
      </w:pPr>
    </w:p>
    <w:p w:rsidR="004571A9" w:rsidRDefault="004571A9" w:rsidP="007D7B7E">
      <w:pPr>
        <w:pStyle w:val="OpiHHead"/>
        <w:jc w:val="left"/>
        <w:rPr>
          <w:lang w:val="pl-PL"/>
        </w:rPr>
        <w:sectPr w:rsidR="004571A9" w:rsidSect="007D7B7E">
          <w:footnotePr>
            <w:numRestart w:val="eachPage"/>
          </w:footnotePr>
          <w:type w:val="continuous"/>
          <w:pgSz w:w="11906" w:h="16838" w:code="9"/>
          <w:pgMar w:top="2274" w:right="2274" w:bottom="2274" w:left="2268" w:header="1701" w:footer="720" w:gutter="0"/>
          <w:cols w:space="720"/>
          <w:docGrid w:linePitch="326"/>
        </w:sectPr>
      </w:pPr>
    </w:p>
    <w:p w:rsidR="004571A9" w:rsidRDefault="004571A9" w:rsidP="007D7B7E">
      <w:pPr>
        <w:pStyle w:val="OpiHHead"/>
        <w:jc w:val="left"/>
        <w:rPr>
          <w:lang w:val="pl-PL"/>
        </w:rPr>
        <w:sectPr w:rsidR="004571A9" w:rsidSect="004571A9">
          <w:headerReference w:type="default" r:id="rId17"/>
          <w:footnotePr>
            <w:numRestart w:val="eachPage"/>
          </w:footnotePr>
          <w:pgSz w:w="11906" w:h="16838" w:code="9"/>
          <w:pgMar w:top="2274" w:right="2274" w:bottom="2274" w:left="2268" w:header="1701" w:footer="720" w:gutter="0"/>
          <w:cols w:space="720"/>
          <w:docGrid w:linePitch="326"/>
        </w:sectPr>
      </w:pPr>
    </w:p>
    <w:p w:rsidR="005B1061" w:rsidRPr="007D7B7E" w:rsidRDefault="005B1061" w:rsidP="007D7B7E">
      <w:pPr>
        <w:pStyle w:val="OpiHHead"/>
        <w:jc w:val="left"/>
        <w:rPr>
          <w:lang w:val="pl-PL"/>
        </w:rPr>
      </w:pPr>
    </w:p>
    <w:p w:rsidR="00F061A3" w:rsidRPr="00B560E1" w:rsidRDefault="00E9347B" w:rsidP="00F061A3">
      <w:pPr>
        <w:pStyle w:val="OpiHHead"/>
        <w:rPr>
          <w:rStyle w:val="Uwydatnienie"/>
          <w:iCs w:val="0"/>
          <w:lang w:val="pl-PL"/>
        </w:rPr>
      </w:pPr>
      <w:r>
        <w:rPr>
          <w:lang w:val="pl-PL"/>
        </w:rPr>
        <w:t>ZDANIE</w:t>
      </w:r>
      <w:r w:rsidR="008A3198">
        <w:rPr>
          <w:lang w:val="pl-PL"/>
        </w:rPr>
        <w:t xml:space="preserve"> </w:t>
      </w:r>
      <w:r w:rsidR="00C10AAF">
        <w:rPr>
          <w:lang w:val="pl-PL"/>
        </w:rPr>
        <w:t xml:space="preserve">odrębne </w:t>
      </w:r>
      <w:r w:rsidR="005D3124">
        <w:rPr>
          <w:lang w:val="pl-PL"/>
        </w:rPr>
        <w:t xml:space="preserve">częściowo </w:t>
      </w:r>
      <w:r w:rsidR="008A3198">
        <w:rPr>
          <w:lang w:val="pl-PL"/>
        </w:rPr>
        <w:t xml:space="preserve">zgodne ze zdaniem większości co do </w:t>
      </w:r>
      <w:r>
        <w:rPr>
          <w:lang w:val="pl-PL"/>
        </w:rPr>
        <w:t>naruszenia</w:t>
      </w:r>
      <w:r w:rsidR="00B560E1" w:rsidRPr="00B560E1">
        <w:rPr>
          <w:lang w:val="pl-PL"/>
        </w:rPr>
        <w:t xml:space="preserve"> </w:t>
      </w:r>
      <w:r w:rsidR="003E43E8" w:rsidRPr="00B560E1">
        <w:rPr>
          <w:lang w:val="pl-PL"/>
        </w:rPr>
        <w:t>SĘDZIEGO</w:t>
      </w:r>
      <w:r w:rsidR="003E43E8">
        <w:rPr>
          <w:lang w:val="pl-PL"/>
        </w:rPr>
        <w:t xml:space="preserve"> </w:t>
      </w:r>
      <w:r w:rsidR="003E43E8" w:rsidRPr="00B560E1">
        <w:rPr>
          <w:lang w:val="pl-PL"/>
        </w:rPr>
        <w:t>KALAYDJIEVA</w:t>
      </w:r>
    </w:p>
    <w:p w:rsidR="00F061A3" w:rsidRPr="00060C1A" w:rsidRDefault="00F061A3" w:rsidP="00F061A3">
      <w:pPr>
        <w:pStyle w:val="OpiTranslation"/>
        <w:rPr>
          <w:lang w:val="pl-PL"/>
        </w:rPr>
      </w:pPr>
      <w:r w:rsidRPr="00060C1A">
        <w:rPr>
          <w:rStyle w:val="Uwydatnienie"/>
          <w:lang w:val="pl-PL"/>
        </w:rPr>
        <w:t>(</w:t>
      </w:r>
      <w:r w:rsidR="00060C1A" w:rsidRPr="00060C1A">
        <w:rPr>
          <w:lang w:val="pl-PL"/>
        </w:rPr>
        <w:t>Tłumaczenie</w:t>
      </w:r>
      <w:r w:rsidRPr="00060C1A">
        <w:rPr>
          <w:rStyle w:val="Uwydatnienie"/>
          <w:lang w:val="pl-PL"/>
        </w:rPr>
        <w:t>)</w:t>
      </w:r>
      <w:r w:rsidR="009E64C6">
        <w:rPr>
          <w:rStyle w:val="Uwydatnienie"/>
          <w:lang w:val="pl-PL"/>
        </w:rPr>
        <w:t xml:space="preserve"> </w:t>
      </w:r>
    </w:p>
    <w:p w:rsidR="00F061A3" w:rsidRPr="004571A9" w:rsidRDefault="004571A9" w:rsidP="00F061A3">
      <w:pPr>
        <w:pStyle w:val="OpiPara"/>
        <w:rPr>
          <w:lang w:val="pl-PL"/>
        </w:rPr>
      </w:pPr>
      <w:r>
        <w:rPr>
          <w:lang w:val="pl-PL"/>
        </w:rPr>
        <w:t>Do stwierdzenia</w:t>
      </w:r>
      <w:r w:rsidRPr="004571A9">
        <w:rPr>
          <w:lang w:val="pl-PL"/>
        </w:rPr>
        <w:t xml:space="preserve">, że zatrzymanie trzech skarżących </w:t>
      </w:r>
      <w:r>
        <w:rPr>
          <w:lang w:val="pl-PL"/>
        </w:rPr>
        <w:t>-</w:t>
      </w:r>
      <w:r w:rsidRPr="004571A9">
        <w:rPr>
          <w:lang w:val="pl-PL"/>
        </w:rPr>
        <w:t xml:space="preserve"> młodych ludzi w </w:t>
      </w:r>
      <w:r w:rsidR="00E9347B">
        <w:rPr>
          <w:lang w:val="pl-PL"/>
        </w:rPr>
        <w:t>okresie okoliczności faktycznych sprawy</w:t>
      </w:r>
      <w:r>
        <w:rPr>
          <w:lang w:val="pl-PL"/>
        </w:rPr>
        <w:t xml:space="preserve"> - było niezgodne z artykułem</w:t>
      </w:r>
      <w:r w:rsidR="00F32C6F">
        <w:rPr>
          <w:lang w:val="pl-PL"/>
        </w:rPr>
        <w:t xml:space="preserve"> 5</w:t>
      </w:r>
      <w:r w:rsidR="00F061A3" w:rsidRPr="004571A9">
        <w:rPr>
          <w:lang w:val="pl-PL"/>
        </w:rPr>
        <w:t xml:space="preserve"> § 1 </w:t>
      </w:r>
      <w:r>
        <w:rPr>
          <w:lang w:val="pl-PL"/>
        </w:rPr>
        <w:t>Konwencji skłoniły mnie inne, niż moich szanownych kolegów, racje.</w:t>
      </w:r>
    </w:p>
    <w:p w:rsidR="00F061A3" w:rsidRPr="00A40E47" w:rsidRDefault="004571A9" w:rsidP="00AE50E7">
      <w:pPr>
        <w:pStyle w:val="JuPara"/>
        <w:tabs>
          <w:tab w:val="left" w:pos="426"/>
        </w:tabs>
        <w:rPr>
          <w:lang w:val="pl-PL"/>
        </w:rPr>
      </w:pPr>
      <w:r w:rsidRPr="00A40E47">
        <w:rPr>
          <w:lang w:val="pl-PL"/>
        </w:rPr>
        <w:t xml:space="preserve">Wydaje mi się, że </w:t>
      </w:r>
      <w:r w:rsidR="00761318">
        <w:rPr>
          <w:lang w:val="pl-PL"/>
        </w:rPr>
        <w:t>sam</w:t>
      </w:r>
      <w:r w:rsidR="005B3132">
        <w:rPr>
          <w:lang w:val="pl-PL"/>
        </w:rPr>
        <w:t xml:space="preserve"> w sobie</w:t>
      </w:r>
      <w:r w:rsidR="002A3C9E">
        <w:rPr>
          <w:lang w:val="pl-PL"/>
        </w:rPr>
        <w:t xml:space="preserve"> fakt, iż</w:t>
      </w:r>
      <w:r w:rsidR="00EA1796">
        <w:rPr>
          <w:lang w:val="pl-PL"/>
        </w:rPr>
        <w:t xml:space="preserve"> </w:t>
      </w:r>
      <w:r w:rsidR="00A40E47">
        <w:rPr>
          <w:lang w:val="pl-PL"/>
        </w:rPr>
        <w:t xml:space="preserve">uprawnienie do zastosowania pozbawienia wolności przez policjantów </w:t>
      </w:r>
      <w:r w:rsidR="005B3132">
        <w:rPr>
          <w:lang w:val="pl-PL"/>
        </w:rPr>
        <w:t>w przedmiotowej sprawie opiera</w:t>
      </w:r>
      <w:r w:rsidR="002A3C9E">
        <w:rPr>
          <w:lang w:val="pl-PL"/>
        </w:rPr>
        <w:t>ło</w:t>
      </w:r>
      <w:r w:rsidR="00A40E47">
        <w:rPr>
          <w:lang w:val="pl-PL"/>
        </w:rPr>
        <w:t xml:space="preserve"> się na zak</w:t>
      </w:r>
      <w:r w:rsidR="00F32C6F">
        <w:rPr>
          <w:lang w:val="pl-PL"/>
        </w:rPr>
        <w:t xml:space="preserve">westionowanej podstawie prawnej, </w:t>
      </w:r>
      <w:r w:rsidR="00A40E47">
        <w:rPr>
          <w:lang w:val="pl-PL"/>
        </w:rPr>
        <w:t xml:space="preserve">a w ustawodawstwie krajowym nie przewidziano kontroli sądowej legalności tych uprawnień </w:t>
      </w:r>
      <w:r w:rsidR="002A3C9E">
        <w:rPr>
          <w:lang w:val="pl-PL"/>
        </w:rPr>
        <w:t xml:space="preserve">jest </w:t>
      </w:r>
      <w:r w:rsidR="00EA1796">
        <w:rPr>
          <w:lang w:val="pl-PL"/>
        </w:rPr>
        <w:t>wystarczający</w:t>
      </w:r>
      <w:r w:rsidR="00A40E47">
        <w:rPr>
          <w:lang w:val="pl-PL"/>
        </w:rPr>
        <w:t xml:space="preserve"> do stwierdzenia naruszenia artykułu 5 </w:t>
      </w:r>
      <w:r w:rsidR="00A40E47" w:rsidRPr="004571A9">
        <w:rPr>
          <w:lang w:val="pl-PL"/>
        </w:rPr>
        <w:t xml:space="preserve">§ 1 </w:t>
      </w:r>
      <w:r w:rsidR="00A40E47">
        <w:rPr>
          <w:lang w:val="pl-PL"/>
        </w:rPr>
        <w:t>Konwencji</w:t>
      </w:r>
      <w:r w:rsidR="00FA65BC">
        <w:rPr>
          <w:lang w:val="pl-PL"/>
        </w:rPr>
        <w:t xml:space="preserve">, przepisu mającego na celu zapobieganie arbitralnemu pozbawieniu wolności. Zważywszy, że orzecznictwo Trybunału w kwestii przewidywalności praw zezwalających na pozbawienie wolności jest jasne, zgadzam się </w:t>
      </w:r>
      <w:r w:rsidR="00AE50E7">
        <w:rPr>
          <w:lang w:val="pl-PL"/>
        </w:rPr>
        <w:t xml:space="preserve">w pełni </w:t>
      </w:r>
      <w:r w:rsidR="00FA65BC">
        <w:rPr>
          <w:lang w:val="pl-PL"/>
        </w:rPr>
        <w:t>z moimi kolegami</w:t>
      </w:r>
      <w:r w:rsidR="00AE50E7">
        <w:rPr>
          <w:lang w:val="pl-PL"/>
        </w:rPr>
        <w:t xml:space="preserve"> w stwierdzeniu, że doszło do naruszenia artykułu 5 </w:t>
      </w:r>
      <w:r w:rsidR="00AE50E7" w:rsidRPr="004571A9">
        <w:rPr>
          <w:lang w:val="pl-PL"/>
        </w:rPr>
        <w:t xml:space="preserve">§ 1 </w:t>
      </w:r>
      <w:r w:rsidR="002A3C9E">
        <w:rPr>
          <w:lang w:val="pl-PL"/>
        </w:rPr>
        <w:t>Konwencji, jako, że, „</w:t>
      </w:r>
      <w:r w:rsidR="00AE50E7">
        <w:rPr>
          <w:lang w:val="pl-PL"/>
        </w:rPr>
        <w:t>polski Rząd n</w:t>
      </w:r>
      <w:r w:rsidR="00AE50E7" w:rsidRPr="00A82FDC">
        <w:rPr>
          <w:lang w:val="pl-PL"/>
        </w:rPr>
        <w:t>ie wykazał</w:t>
      </w:r>
      <w:r w:rsidR="00AE50E7">
        <w:rPr>
          <w:lang w:val="pl-PL"/>
        </w:rPr>
        <w:t>, że w prawie krajowym</w:t>
      </w:r>
      <w:r w:rsidR="00EA1796">
        <w:rPr>
          <w:lang w:val="pl-PL"/>
        </w:rPr>
        <w:t xml:space="preserve"> </w:t>
      </w:r>
      <w:r w:rsidR="00AE50E7">
        <w:rPr>
          <w:lang w:val="pl-PL"/>
        </w:rPr>
        <w:t xml:space="preserve">istnieje podstawa prawna dla pozbawienia wolności skarżących”, (zob. punkty 141-145 wyroku).   </w:t>
      </w:r>
    </w:p>
    <w:p w:rsidR="00F061A3" w:rsidRPr="00060C1A" w:rsidRDefault="002A3C9E" w:rsidP="00F061A3">
      <w:pPr>
        <w:pStyle w:val="OpiPara"/>
        <w:rPr>
          <w:lang w:val="pl-PL"/>
        </w:rPr>
      </w:pPr>
      <w:r>
        <w:rPr>
          <w:lang w:val="pl-PL"/>
        </w:rPr>
        <w:t>Niemniej jednak większość wy</w:t>
      </w:r>
      <w:r w:rsidR="00AE50E7" w:rsidRPr="00AE50E7">
        <w:rPr>
          <w:lang w:val="pl-PL"/>
        </w:rPr>
        <w:t>szła z własnej inicjatywy</w:t>
      </w:r>
      <w:r w:rsidR="00AE50E7">
        <w:rPr>
          <w:lang w:val="pl-PL"/>
        </w:rPr>
        <w:t xml:space="preserve"> poza </w:t>
      </w:r>
      <w:r w:rsidR="00F07434">
        <w:rPr>
          <w:lang w:val="pl-PL"/>
        </w:rPr>
        <w:t xml:space="preserve">to </w:t>
      </w:r>
      <w:r w:rsidR="00AE50E7">
        <w:rPr>
          <w:lang w:val="pl-PL"/>
        </w:rPr>
        <w:t>stwierdzenie</w:t>
      </w:r>
      <w:r>
        <w:rPr>
          <w:lang w:val="pl-PL"/>
        </w:rPr>
        <w:t>, a</w:t>
      </w:r>
      <w:r w:rsidR="00F07434">
        <w:rPr>
          <w:lang w:val="pl-PL"/>
        </w:rPr>
        <w:t xml:space="preserve">by zbadać </w:t>
      </w:r>
      <w:r w:rsidR="00F07434" w:rsidRPr="00C91DAD">
        <w:rPr>
          <w:u w:val="single"/>
          <w:lang w:val="pl-PL"/>
        </w:rPr>
        <w:t>potencjalną zgodność</w:t>
      </w:r>
      <w:r w:rsidR="00F07434">
        <w:rPr>
          <w:lang w:val="pl-PL"/>
        </w:rPr>
        <w:t xml:space="preserve"> zakwestionowanego pozbawienia wolności z artykułem 5 </w:t>
      </w:r>
      <w:r w:rsidR="00F07434" w:rsidRPr="00F07434">
        <w:rPr>
          <w:lang w:val="pl-PL"/>
        </w:rPr>
        <w:t>§ 1 c).</w:t>
      </w:r>
      <w:r w:rsidR="00F07434">
        <w:rPr>
          <w:lang w:val="pl-PL"/>
        </w:rPr>
        <w:t xml:space="preserve"> Co więcej, większość uznała, że pozbawienie wolności było zgodne z tym przepisem, jak się wydaje</w:t>
      </w:r>
      <w:r>
        <w:rPr>
          <w:lang w:val="pl-PL"/>
        </w:rPr>
        <w:t>,</w:t>
      </w:r>
      <w:r w:rsidR="00F07434">
        <w:rPr>
          <w:lang w:val="pl-PL"/>
        </w:rPr>
        <w:t xml:space="preserve"> dlatego, że brak podstawy prawnej wynikał z luki w prawie krajowym.</w:t>
      </w:r>
      <w:r w:rsidR="00EA1796">
        <w:rPr>
          <w:lang w:val="pl-PL"/>
        </w:rPr>
        <w:t xml:space="preserve"> </w:t>
      </w:r>
      <w:r w:rsidR="00156ADF">
        <w:rPr>
          <w:lang w:val="pl-PL"/>
        </w:rPr>
        <w:t xml:space="preserve">Innymi słowy, wydaje się większość uznała, że </w:t>
      </w:r>
      <w:r>
        <w:rPr>
          <w:lang w:val="pl-PL"/>
        </w:rPr>
        <w:t>gdyby</w:t>
      </w:r>
      <w:r w:rsidR="00156ADF">
        <w:rPr>
          <w:lang w:val="pl-PL"/>
        </w:rPr>
        <w:t xml:space="preserve"> zaskarżone zatrzymanie byłoby przewidziane przez prawo</w:t>
      </w:r>
      <w:r>
        <w:rPr>
          <w:lang w:val="pl-PL"/>
        </w:rPr>
        <w:t>, to</w:t>
      </w:r>
      <w:r w:rsidR="004F7360">
        <w:rPr>
          <w:lang w:val="pl-PL"/>
        </w:rPr>
        <w:t xml:space="preserve"> byłoby prawidłowe</w:t>
      </w:r>
      <w:r w:rsidR="00156ADF">
        <w:rPr>
          <w:lang w:val="pl-PL"/>
        </w:rPr>
        <w:t xml:space="preserve"> nie tylko z punktu widzenia prawa krajowego, ale </w:t>
      </w:r>
      <w:r w:rsidR="004F7360">
        <w:rPr>
          <w:lang w:val="pl-PL"/>
        </w:rPr>
        <w:t>z punktu widzenia wymogów</w:t>
      </w:r>
      <w:r w:rsidR="00156ADF">
        <w:rPr>
          <w:lang w:val="pl-PL"/>
        </w:rPr>
        <w:t xml:space="preserve"> artykułu 5 Konwencji. </w:t>
      </w:r>
      <w:r w:rsidR="00156ADF" w:rsidRPr="00060C1A">
        <w:rPr>
          <w:lang w:val="pl-PL"/>
        </w:rPr>
        <w:t xml:space="preserve">Nie </w:t>
      </w:r>
      <w:r w:rsidR="00156ADF" w:rsidRPr="00945F99">
        <w:rPr>
          <w:lang w:val="pl-PL"/>
        </w:rPr>
        <w:t>mogę</w:t>
      </w:r>
      <w:r w:rsidR="00EA1796">
        <w:rPr>
          <w:lang w:val="pl-PL"/>
        </w:rPr>
        <w:t xml:space="preserve"> </w:t>
      </w:r>
      <w:r w:rsidR="00156ADF" w:rsidRPr="00945F99">
        <w:rPr>
          <w:lang w:val="pl-PL"/>
        </w:rPr>
        <w:t>zgodzić</w:t>
      </w:r>
      <w:r w:rsidR="00EA1796">
        <w:rPr>
          <w:lang w:val="pl-PL"/>
        </w:rPr>
        <w:t xml:space="preserve"> </w:t>
      </w:r>
      <w:r w:rsidR="00156ADF" w:rsidRPr="00945F99">
        <w:rPr>
          <w:lang w:val="pl-PL"/>
        </w:rPr>
        <w:t>się</w:t>
      </w:r>
      <w:r w:rsidR="00156ADF" w:rsidRPr="00060C1A">
        <w:rPr>
          <w:lang w:val="pl-PL"/>
        </w:rPr>
        <w:t xml:space="preserve"> z </w:t>
      </w:r>
      <w:r w:rsidR="00156ADF" w:rsidRPr="00945F99">
        <w:rPr>
          <w:lang w:val="pl-PL"/>
        </w:rPr>
        <w:t>tą</w:t>
      </w:r>
      <w:r w:rsidR="00EA1796">
        <w:rPr>
          <w:lang w:val="pl-PL"/>
        </w:rPr>
        <w:t xml:space="preserve"> </w:t>
      </w:r>
      <w:r w:rsidR="00156ADF" w:rsidRPr="00945F99">
        <w:rPr>
          <w:lang w:val="pl-PL"/>
        </w:rPr>
        <w:t>opinią</w:t>
      </w:r>
      <w:r w:rsidR="00156ADF" w:rsidRPr="00060C1A">
        <w:rPr>
          <w:lang w:val="pl-PL"/>
        </w:rPr>
        <w:t>.</w:t>
      </w:r>
    </w:p>
    <w:p w:rsidR="0010630F" w:rsidRDefault="002A3C9E" w:rsidP="00FB5717">
      <w:pPr>
        <w:suppressAutoHyphens w:val="0"/>
        <w:autoSpaceDE w:val="0"/>
        <w:autoSpaceDN w:val="0"/>
        <w:adjustRightInd w:val="0"/>
        <w:jc w:val="both"/>
        <w:rPr>
          <w:lang w:val="pl-PL"/>
        </w:rPr>
      </w:pPr>
      <w:r>
        <w:rPr>
          <w:lang w:val="pl-PL"/>
        </w:rPr>
        <w:t>Wobec trzech zatrzymanych osób</w:t>
      </w:r>
      <w:r w:rsidR="00156ADF">
        <w:rPr>
          <w:lang w:val="pl-PL"/>
        </w:rPr>
        <w:t xml:space="preserve"> można było</w:t>
      </w:r>
      <w:r w:rsidR="00156ADF" w:rsidRPr="00156ADF">
        <w:rPr>
          <w:lang w:val="pl-PL"/>
        </w:rPr>
        <w:t xml:space="preserve"> prawdopodobnie </w:t>
      </w:r>
      <w:r w:rsidR="00156ADF" w:rsidRPr="00156ADF">
        <w:rPr>
          <w:i/>
          <w:lang w:val="pl-PL"/>
        </w:rPr>
        <w:t>„powziąć uzasadnione podejrzenie, że są winni wykroczenia”,</w:t>
      </w:r>
      <w:r w:rsidR="00156ADF">
        <w:rPr>
          <w:lang w:val="pl-PL"/>
        </w:rPr>
        <w:t xml:space="preserve"> ale w aktach sprawy nie ma żadnego dowodu, że to zatrzymanie zostało „dokonane w celu doprowadzenia ich</w:t>
      </w:r>
      <w:r w:rsidR="00945F99">
        <w:rPr>
          <w:lang w:val="pl-PL"/>
        </w:rPr>
        <w:t xml:space="preserve"> przed właściwy sąd” tak jak tego wymaga artykuł 5 § 1 c</w:t>
      </w:r>
      <w:r w:rsidR="00945F99" w:rsidRPr="00945F99">
        <w:rPr>
          <w:lang w:val="pl-PL"/>
        </w:rPr>
        <w:t>).</w:t>
      </w:r>
      <w:r w:rsidR="00945F99">
        <w:rPr>
          <w:lang w:val="pl-PL"/>
        </w:rPr>
        <w:t xml:space="preserve"> Jeśli zgodnie z artykułem 5 </w:t>
      </w:r>
      <w:r w:rsidR="00945F99" w:rsidRPr="00945F99">
        <w:rPr>
          <w:lang w:val="pl-PL"/>
        </w:rPr>
        <w:t xml:space="preserve">§ 2 </w:t>
      </w:r>
      <w:r w:rsidR="00945F99">
        <w:rPr>
          <w:lang w:val="pl-PL"/>
        </w:rPr>
        <w:t>w chwili zatrzymania skarżącym zostałyby przedstawione zarzuty i zostaliby postawieni przed sędzią</w:t>
      </w:r>
      <w:r w:rsidR="00EA1796">
        <w:rPr>
          <w:lang w:val="pl-PL"/>
        </w:rPr>
        <w:t xml:space="preserve"> </w:t>
      </w:r>
      <w:r w:rsidR="00945F99">
        <w:rPr>
          <w:rFonts w:eastAsiaTheme="minorHAnsi"/>
          <w:sz w:val="23"/>
          <w:szCs w:val="23"/>
          <w:lang w:val="pl-PL" w:eastAsia="en-US"/>
        </w:rPr>
        <w:t>lub innym urz</w:t>
      </w:r>
      <w:r w:rsidR="00945F99">
        <w:rPr>
          <w:rFonts w:ascii="TimesNewRoman" w:eastAsia="TimesNewRoman" w:cs="TimesNewRoman" w:hint="eastAsia"/>
          <w:sz w:val="23"/>
          <w:szCs w:val="23"/>
          <w:lang w:val="pl-PL" w:eastAsia="en-US"/>
        </w:rPr>
        <w:t>ę</w:t>
      </w:r>
      <w:r w:rsidR="00945F99">
        <w:rPr>
          <w:rFonts w:eastAsiaTheme="minorHAnsi"/>
          <w:sz w:val="23"/>
          <w:szCs w:val="23"/>
          <w:lang w:val="pl-PL" w:eastAsia="en-US"/>
        </w:rPr>
        <w:t>dnikiem uprawnionym przez ustaw</w:t>
      </w:r>
      <w:r w:rsidR="00945F99">
        <w:rPr>
          <w:rFonts w:ascii="TimesNewRoman" w:eastAsia="TimesNewRoman" w:cs="TimesNewRoman" w:hint="eastAsia"/>
          <w:sz w:val="23"/>
          <w:szCs w:val="23"/>
          <w:lang w:val="pl-PL" w:eastAsia="en-US"/>
        </w:rPr>
        <w:t>ę</w:t>
      </w:r>
      <w:r w:rsidR="00EA1796">
        <w:rPr>
          <w:rFonts w:ascii="TimesNewRoman" w:eastAsia="TimesNewRoman" w:cs="TimesNewRoman"/>
          <w:sz w:val="23"/>
          <w:szCs w:val="23"/>
          <w:lang w:val="pl-PL" w:eastAsia="en-US"/>
        </w:rPr>
        <w:t xml:space="preserve"> </w:t>
      </w:r>
      <w:r w:rsidR="00945F99">
        <w:rPr>
          <w:rFonts w:eastAsiaTheme="minorHAnsi"/>
          <w:sz w:val="23"/>
          <w:szCs w:val="23"/>
          <w:lang w:val="pl-PL" w:eastAsia="en-US"/>
        </w:rPr>
        <w:t>do wykonywania władzy s</w:t>
      </w:r>
      <w:r w:rsidR="00945F99">
        <w:rPr>
          <w:rFonts w:ascii="TimesNewRoman" w:eastAsia="TimesNewRoman" w:cs="TimesNewRoman" w:hint="eastAsia"/>
          <w:sz w:val="23"/>
          <w:szCs w:val="23"/>
          <w:lang w:val="pl-PL" w:eastAsia="en-US"/>
        </w:rPr>
        <w:t>ą</w:t>
      </w:r>
      <w:r w:rsidR="00945F99">
        <w:rPr>
          <w:rFonts w:eastAsiaTheme="minorHAnsi"/>
          <w:sz w:val="23"/>
          <w:szCs w:val="23"/>
          <w:lang w:val="pl-PL" w:eastAsia="en-US"/>
        </w:rPr>
        <w:t>dowej</w:t>
      </w:r>
      <w:r w:rsidR="009D5406">
        <w:rPr>
          <w:rFonts w:eastAsiaTheme="minorHAnsi"/>
          <w:sz w:val="23"/>
          <w:szCs w:val="23"/>
          <w:lang w:val="pl-PL" w:eastAsia="en-US"/>
        </w:rPr>
        <w:t xml:space="preserve"> w </w:t>
      </w:r>
      <w:r w:rsidR="00D917F0">
        <w:rPr>
          <w:rFonts w:eastAsiaTheme="minorHAnsi"/>
          <w:sz w:val="23"/>
          <w:szCs w:val="23"/>
          <w:lang w:val="pl-PL" w:eastAsia="en-US"/>
        </w:rPr>
        <w:t xml:space="preserve">celu potwierdzenia konieczności pozbawienia wolności w rozumieniu artykułu </w:t>
      </w:r>
      <w:r w:rsidR="00D917F0" w:rsidRPr="00D917F0">
        <w:rPr>
          <w:lang w:val="pl-PL"/>
        </w:rPr>
        <w:t>5 § 3</w:t>
      </w:r>
      <w:r w:rsidR="00D917F0">
        <w:rPr>
          <w:lang w:val="pl-PL"/>
        </w:rPr>
        <w:t xml:space="preserve">, to władze należycie wykazałyby, że zatrzymanie skarżących odbyło się właśnie w tym celu. Jednak nawet </w:t>
      </w:r>
      <w:r w:rsidR="00E5206F">
        <w:rPr>
          <w:lang w:val="pl-PL"/>
        </w:rPr>
        <w:t xml:space="preserve">nie </w:t>
      </w:r>
      <w:r w:rsidR="00134D44">
        <w:rPr>
          <w:lang w:val="pl-PL"/>
        </w:rPr>
        <w:t>wspomniano</w:t>
      </w:r>
      <w:r w:rsidR="00D917F0">
        <w:rPr>
          <w:lang w:val="pl-PL"/>
        </w:rPr>
        <w:t>, że kwestionowane zatrzymanie zostało dokonane w tym celu</w:t>
      </w:r>
      <w:r>
        <w:rPr>
          <w:lang w:val="pl-PL"/>
        </w:rPr>
        <w:t>,</w:t>
      </w:r>
      <w:r w:rsidR="00D917F0">
        <w:rPr>
          <w:lang w:val="pl-PL"/>
        </w:rPr>
        <w:t xml:space="preserve"> a policjanci </w:t>
      </w:r>
      <w:r w:rsidR="00D917F0">
        <w:rPr>
          <w:lang w:val="pl-PL"/>
        </w:rPr>
        <w:lastRenderedPageBreak/>
        <w:t>nie powiedzieli, że dokonują go w tym właśnie celu w chwili zatrzymania lub później</w:t>
      </w:r>
      <w:r w:rsidR="002144FD">
        <w:rPr>
          <w:lang w:val="pl-PL"/>
        </w:rPr>
        <w:t xml:space="preserve">, ani nawet </w:t>
      </w:r>
      <w:r w:rsidR="00202722">
        <w:rPr>
          <w:lang w:val="pl-PL"/>
        </w:rPr>
        <w:t xml:space="preserve">nie </w:t>
      </w:r>
      <w:r w:rsidR="002144FD">
        <w:rPr>
          <w:lang w:val="pl-PL"/>
        </w:rPr>
        <w:t xml:space="preserve">utrzymywali, że </w:t>
      </w:r>
      <w:r w:rsidR="00C00D2E">
        <w:rPr>
          <w:lang w:val="pl-PL"/>
        </w:rPr>
        <w:t>to zatrzymanie</w:t>
      </w:r>
      <w:r w:rsidR="002144FD">
        <w:rPr>
          <w:lang w:val="pl-PL"/>
        </w:rPr>
        <w:t xml:space="preserve"> wynika z </w:t>
      </w:r>
      <w:r>
        <w:rPr>
          <w:lang w:val="pl-PL"/>
        </w:rPr>
        <w:t xml:space="preserve">przepisów </w:t>
      </w:r>
      <w:r w:rsidR="002144FD">
        <w:rPr>
          <w:lang w:val="pl-PL"/>
        </w:rPr>
        <w:t>praw</w:t>
      </w:r>
      <w:r>
        <w:rPr>
          <w:lang w:val="pl-PL"/>
        </w:rPr>
        <w:t>a</w:t>
      </w:r>
      <w:r w:rsidR="002144FD">
        <w:rPr>
          <w:lang w:val="pl-PL"/>
        </w:rPr>
        <w:t xml:space="preserve"> lub z wykonywanych przez nich konkretnych czynności. Trzy zatrzymane osoby nie zostały przesłuchane na okoliczność zarzucanego im czynu zabronionego i nie wydano żadnego postanowienia wskazującego, że zatrzymanie było uzasadnione popełnieniem czynu zabronionego lub, że mi</w:t>
      </w:r>
      <w:r>
        <w:rPr>
          <w:lang w:val="pl-PL"/>
        </w:rPr>
        <w:t>a</w:t>
      </w:r>
      <w:r w:rsidR="002144FD">
        <w:rPr>
          <w:lang w:val="pl-PL"/>
        </w:rPr>
        <w:t>ło na celu postawienie tych osób przed właściwym sędzią. Skarżących zwolniono nie informując ich o postawionych im zarzutach. Nadto, kilka miesięcy po zatrzymaniu poinformowano ich o wszczęciu wobec nich postępowania, co nastąpiło najprawdopodobniej po złożeniu przez nich skargi</w:t>
      </w:r>
      <w:r w:rsidR="00FD7653">
        <w:rPr>
          <w:lang w:val="pl-PL"/>
        </w:rPr>
        <w:t xml:space="preserve"> na nadużycie władzy przez policjantów, wtedy gdy ich uczestni</w:t>
      </w:r>
      <w:r>
        <w:rPr>
          <w:lang w:val="pl-PL"/>
        </w:rPr>
        <w:t>ctwo w tym postępowaniu nie było nawet wymagane</w:t>
      </w:r>
      <w:r w:rsidR="00FD7653">
        <w:rPr>
          <w:lang w:val="pl-PL"/>
        </w:rPr>
        <w:t>. Ze swej strony policjanci wyjaśnili, że zatrzymanie nastąpiło w celu kontroli tożsamości i zbadania poziomu alkoholu w organizmie.</w:t>
      </w:r>
      <w:r w:rsidR="00FB5717">
        <w:rPr>
          <w:lang w:val="pl-PL"/>
        </w:rPr>
        <w:t xml:space="preserve"> Jednak w czasie trwania postępowania przed Trybunałem, pozwane Państwo podnosiło, że kwestionowane zatrzymanie podlegało artykułowi</w:t>
      </w:r>
      <w:r w:rsidR="00F061A3" w:rsidRPr="00FB5717">
        <w:rPr>
          <w:lang w:val="pl-PL"/>
        </w:rPr>
        <w:t xml:space="preserve"> 5 § 1 b) </w:t>
      </w:r>
      <w:r w:rsidR="00FB5717">
        <w:rPr>
          <w:lang w:val="pl-PL"/>
        </w:rPr>
        <w:t>a nie artykułowi</w:t>
      </w:r>
      <w:r w:rsidR="00F061A3" w:rsidRPr="00FB5717">
        <w:rPr>
          <w:lang w:val="pl-PL"/>
        </w:rPr>
        <w:t xml:space="preserve"> 5 § 1 c) </w:t>
      </w:r>
      <w:r w:rsidR="00FB5717">
        <w:rPr>
          <w:lang w:val="pl-PL"/>
        </w:rPr>
        <w:t>Konwencji. A zatem</w:t>
      </w:r>
      <w:r w:rsidR="0010630F">
        <w:rPr>
          <w:lang w:val="pl-PL"/>
        </w:rPr>
        <w:t xml:space="preserve">, jest mi trudno zgodzić się z opinią większości zgodnie z którą istnienie w prawie krajowym właściwego przepisu </w:t>
      </w:r>
      <w:r>
        <w:rPr>
          <w:lang w:val="pl-PL"/>
        </w:rPr>
        <w:t>miałoby być</w:t>
      </w:r>
      <w:r w:rsidR="0010630F">
        <w:rPr>
          <w:lang w:val="pl-PL"/>
        </w:rPr>
        <w:t xml:space="preserve"> wystarczające </w:t>
      </w:r>
      <w:r>
        <w:rPr>
          <w:lang w:val="pl-PL"/>
        </w:rPr>
        <w:t>dla uzasadnienia pozbawienia</w:t>
      </w:r>
      <w:r w:rsidR="0010630F">
        <w:rPr>
          <w:lang w:val="pl-PL"/>
        </w:rPr>
        <w:t xml:space="preserve"> wolności skarżących</w:t>
      </w:r>
      <w:r w:rsidR="00EA1796">
        <w:rPr>
          <w:lang w:val="pl-PL"/>
        </w:rPr>
        <w:t xml:space="preserve"> </w:t>
      </w:r>
      <w:r w:rsidR="0010630F">
        <w:rPr>
          <w:lang w:val="pl-PL"/>
        </w:rPr>
        <w:t xml:space="preserve">z punktu widzenia artykułu 5 </w:t>
      </w:r>
      <w:r w:rsidR="0010630F" w:rsidRPr="00C66BF7">
        <w:rPr>
          <w:lang w:val="pl-PL"/>
        </w:rPr>
        <w:t xml:space="preserve">§ 1 c) </w:t>
      </w:r>
      <w:r w:rsidR="0010630F">
        <w:rPr>
          <w:lang w:val="pl-PL"/>
        </w:rPr>
        <w:t>Konwencji tylko dlatego, że byli podejrzani o popełnienie wykroczenia (punkt 136 wyroku).</w:t>
      </w:r>
    </w:p>
    <w:p w:rsidR="00F061A3" w:rsidRPr="00060C1A" w:rsidRDefault="00060C1A" w:rsidP="00F061A3">
      <w:pPr>
        <w:pStyle w:val="OpiPara"/>
        <w:rPr>
          <w:lang w:val="pl-PL"/>
        </w:rPr>
      </w:pPr>
      <w:r w:rsidRPr="00060C1A">
        <w:rPr>
          <w:lang w:val="pl-PL"/>
        </w:rPr>
        <w:t xml:space="preserve">Brak </w:t>
      </w:r>
      <w:r>
        <w:rPr>
          <w:lang w:val="pl-PL"/>
        </w:rPr>
        <w:t xml:space="preserve">odnotowania </w:t>
      </w:r>
      <w:r w:rsidRPr="00060C1A">
        <w:rPr>
          <w:lang w:val="pl-PL"/>
        </w:rPr>
        <w:t>takich danych jak data i godzina zatrzymania, miejsce</w:t>
      </w:r>
      <w:r>
        <w:rPr>
          <w:lang w:val="pl-PL"/>
        </w:rPr>
        <w:t xml:space="preserve"> aresztu, nazwisko aresztowanego, jak również powody aresztowania i tożsamość osoby dokonującej tej czynności </w:t>
      </w:r>
      <w:r w:rsidR="00873A76">
        <w:rPr>
          <w:lang w:val="pl-PL"/>
        </w:rPr>
        <w:t>u</w:t>
      </w:r>
      <w:r w:rsidR="00CC2B39">
        <w:rPr>
          <w:lang w:val="pl-PL"/>
        </w:rPr>
        <w:t>niemożliwia</w:t>
      </w:r>
      <w:r w:rsidR="0095690B">
        <w:rPr>
          <w:lang w:val="pl-PL"/>
        </w:rPr>
        <w:t xml:space="preserve"> </w:t>
      </w:r>
      <w:r w:rsidR="00461C47">
        <w:rPr>
          <w:lang w:val="pl-PL"/>
        </w:rPr>
        <w:t>Trybunałowi sformułowanie</w:t>
      </w:r>
      <w:r w:rsidR="001410E1">
        <w:rPr>
          <w:lang w:val="pl-PL"/>
        </w:rPr>
        <w:t xml:space="preserve"> złożenia</w:t>
      </w:r>
      <w:r w:rsidR="00276162">
        <w:rPr>
          <w:lang w:val="pl-PL"/>
        </w:rPr>
        <w:t>, a co dopiero d</w:t>
      </w:r>
      <w:r w:rsidR="00A27481">
        <w:rPr>
          <w:lang w:val="pl-PL"/>
        </w:rPr>
        <w:t>okonanie</w:t>
      </w:r>
      <w:r w:rsidR="00276162">
        <w:rPr>
          <w:lang w:val="pl-PL"/>
        </w:rPr>
        <w:t xml:space="preserve"> oceny zgodności aresztowania z Konwencją. Według or</w:t>
      </w:r>
      <w:r w:rsidR="00884E94">
        <w:rPr>
          <w:lang w:val="pl-PL"/>
        </w:rPr>
        <w:t xml:space="preserve">zecznictwa Trybunału taka </w:t>
      </w:r>
      <w:r w:rsidR="00461C47">
        <w:rPr>
          <w:lang w:val="pl-PL"/>
        </w:rPr>
        <w:t>luka „musi</w:t>
      </w:r>
      <w:r w:rsidR="00276162">
        <w:rPr>
          <w:lang w:val="pl-PL"/>
        </w:rPr>
        <w:t xml:space="preserve"> być uznana za niezgodną z wymogiem </w:t>
      </w:r>
      <w:r w:rsidR="00884E94">
        <w:rPr>
          <w:lang w:val="pl-PL"/>
        </w:rPr>
        <w:t>zgodności z prawem</w:t>
      </w:r>
      <w:r w:rsidR="00276162">
        <w:rPr>
          <w:lang w:val="pl-PL"/>
        </w:rPr>
        <w:t xml:space="preserve"> aresztowania oraz</w:t>
      </w:r>
      <w:r w:rsidR="00BA37C4">
        <w:rPr>
          <w:lang w:val="pl-PL"/>
        </w:rPr>
        <w:t xml:space="preserve"> z </w:t>
      </w:r>
      <w:r w:rsidR="00D56156">
        <w:rPr>
          <w:lang w:val="pl-PL"/>
        </w:rPr>
        <w:t xml:space="preserve">samym </w:t>
      </w:r>
      <w:r w:rsidR="00BA37C4">
        <w:rPr>
          <w:lang w:val="pl-PL"/>
        </w:rPr>
        <w:t>celem artykułu 5 Konwencji”</w:t>
      </w:r>
      <w:r w:rsidR="00F061A3" w:rsidRPr="00060C1A">
        <w:rPr>
          <w:lang w:val="pl-PL"/>
        </w:rPr>
        <w:t xml:space="preserve"> (</w:t>
      </w:r>
      <w:r w:rsidR="00BA37C4">
        <w:rPr>
          <w:lang w:val="pl-PL"/>
        </w:rPr>
        <w:t>zob.</w:t>
      </w:r>
      <w:r w:rsidR="00433DA9">
        <w:rPr>
          <w:lang w:val="pl-PL"/>
        </w:rPr>
        <w:t xml:space="preserve"> </w:t>
      </w:r>
      <w:proofErr w:type="spellStart"/>
      <w:r w:rsidR="00F061A3" w:rsidRPr="00060C1A">
        <w:rPr>
          <w:i/>
          <w:lang w:val="pl-PL"/>
        </w:rPr>
        <w:t>Anguelova</w:t>
      </w:r>
      <w:proofErr w:type="spellEnd"/>
      <w:r w:rsidR="00433DA9">
        <w:rPr>
          <w:i/>
          <w:lang w:val="pl-PL"/>
        </w:rPr>
        <w:t xml:space="preserve"> </w:t>
      </w:r>
      <w:r w:rsidR="00FD7653" w:rsidRPr="00060C1A">
        <w:rPr>
          <w:i/>
          <w:lang w:val="pl-PL"/>
        </w:rPr>
        <w:t>p. Bułgarii</w:t>
      </w:r>
      <w:r w:rsidR="00FD7653" w:rsidRPr="00060C1A">
        <w:rPr>
          <w:lang w:val="pl-PL"/>
        </w:rPr>
        <w:t xml:space="preserve">, nr </w:t>
      </w:r>
      <w:r w:rsidR="00F061A3" w:rsidRPr="00060C1A">
        <w:rPr>
          <w:lang w:val="pl-PL"/>
        </w:rPr>
        <w:t xml:space="preserve">38361/97, § 154, </w:t>
      </w:r>
      <w:r w:rsidR="00FD7653" w:rsidRPr="00060C1A">
        <w:rPr>
          <w:lang w:val="pl-PL"/>
        </w:rPr>
        <w:t>ETPC</w:t>
      </w:r>
      <w:r w:rsidR="00F061A3" w:rsidRPr="00060C1A">
        <w:rPr>
          <w:lang w:val="pl-PL"/>
        </w:rPr>
        <w:t xml:space="preserve"> 2002</w:t>
      </w:r>
      <w:r w:rsidR="00F061A3" w:rsidRPr="00060C1A">
        <w:rPr>
          <w:lang w:val="pl-PL"/>
        </w:rPr>
        <w:noBreakHyphen/>
        <w:t xml:space="preserve">IV, </w:t>
      </w:r>
      <w:r w:rsidR="00F061A3" w:rsidRPr="00060C1A">
        <w:rPr>
          <w:i/>
          <w:lang w:val="pl-PL"/>
        </w:rPr>
        <w:t xml:space="preserve">Kurt </w:t>
      </w:r>
      <w:r w:rsidR="00BA37C4">
        <w:rPr>
          <w:i/>
          <w:lang w:val="pl-PL"/>
        </w:rPr>
        <w:t>p</w:t>
      </w:r>
      <w:r w:rsidR="00FD7653" w:rsidRPr="00060C1A">
        <w:rPr>
          <w:i/>
          <w:lang w:val="pl-PL"/>
        </w:rPr>
        <w:t>. Turcji</w:t>
      </w:r>
      <w:r w:rsidR="00F061A3" w:rsidRPr="00060C1A">
        <w:rPr>
          <w:lang w:val="pl-PL"/>
        </w:rPr>
        <w:t xml:space="preserve">, </w:t>
      </w:r>
      <w:r w:rsidR="00FD7653" w:rsidRPr="00060C1A">
        <w:rPr>
          <w:lang w:val="pl-PL"/>
        </w:rPr>
        <w:t xml:space="preserve"> dn. 25 maja</w:t>
      </w:r>
      <w:r w:rsidR="00F061A3" w:rsidRPr="00060C1A">
        <w:rPr>
          <w:lang w:val="pl-PL"/>
        </w:rPr>
        <w:t xml:space="preserve"> 1998</w:t>
      </w:r>
      <w:r w:rsidR="00FD7653" w:rsidRPr="00060C1A">
        <w:rPr>
          <w:lang w:val="pl-PL"/>
        </w:rPr>
        <w:t xml:space="preserve"> r.</w:t>
      </w:r>
      <w:r w:rsidR="00F061A3" w:rsidRPr="00060C1A">
        <w:rPr>
          <w:lang w:val="pl-PL"/>
        </w:rPr>
        <w:t xml:space="preserve">, § 125, </w:t>
      </w:r>
      <w:r w:rsidR="00FD7653" w:rsidRPr="00060C1A">
        <w:rPr>
          <w:i/>
          <w:lang w:val="pl-PL"/>
        </w:rPr>
        <w:t xml:space="preserve">Zbiór wyroków i postanowień </w:t>
      </w:r>
      <w:r w:rsidR="00F061A3" w:rsidRPr="00060C1A">
        <w:rPr>
          <w:lang w:val="pl-PL"/>
        </w:rPr>
        <w:t xml:space="preserve">1998-III, </w:t>
      </w:r>
      <w:r w:rsidR="00FD7653" w:rsidRPr="00060C1A">
        <w:rPr>
          <w:lang w:val="pl-PL"/>
        </w:rPr>
        <w:t xml:space="preserve">oraz </w:t>
      </w:r>
      <w:proofErr w:type="spellStart"/>
      <w:r w:rsidR="00FD7653" w:rsidRPr="00060C1A">
        <w:rPr>
          <w:i/>
          <w:lang w:val="pl-PL"/>
        </w:rPr>
        <w:t>Menecheva</w:t>
      </w:r>
      <w:proofErr w:type="spellEnd"/>
      <w:r w:rsidR="00FD7653" w:rsidRPr="00060C1A">
        <w:rPr>
          <w:i/>
          <w:lang w:val="pl-PL"/>
        </w:rPr>
        <w:t xml:space="preserve"> p. Rosji</w:t>
      </w:r>
      <w:r w:rsidR="00FD7653" w:rsidRPr="00060C1A">
        <w:rPr>
          <w:lang w:val="pl-PL"/>
        </w:rPr>
        <w:t>, nr</w:t>
      </w:r>
      <w:r w:rsidR="00F061A3" w:rsidRPr="00060C1A">
        <w:rPr>
          <w:lang w:val="pl-PL"/>
        </w:rPr>
        <w:t xml:space="preserve"> 59261/00, </w:t>
      </w:r>
      <w:r w:rsidR="00F061A3" w:rsidRPr="00F45385">
        <w:rPr>
          <w:lang w:val="bg-BG"/>
        </w:rPr>
        <w:t>§</w:t>
      </w:r>
      <w:r w:rsidR="00FD7653" w:rsidRPr="00060C1A">
        <w:rPr>
          <w:lang w:val="pl-PL"/>
        </w:rPr>
        <w:t xml:space="preserve"> 87, ETPC</w:t>
      </w:r>
      <w:r w:rsidR="00F061A3" w:rsidRPr="00060C1A">
        <w:rPr>
          <w:lang w:val="pl-PL"/>
        </w:rPr>
        <w:t xml:space="preserve"> 2006</w:t>
      </w:r>
      <w:r w:rsidR="00F061A3" w:rsidRPr="00060C1A">
        <w:rPr>
          <w:lang w:val="pl-PL"/>
        </w:rPr>
        <w:noBreakHyphen/>
        <w:t>III).</w:t>
      </w:r>
    </w:p>
    <w:p w:rsidR="00F061A3" w:rsidRPr="00BD0CA7" w:rsidRDefault="00FC5143" w:rsidP="00F061A3">
      <w:pPr>
        <w:pStyle w:val="OpiPara"/>
        <w:rPr>
          <w:lang w:val="pl-PL"/>
        </w:rPr>
      </w:pPr>
      <w:r w:rsidRPr="00FC5143">
        <w:rPr>
          <w:lang w:val="pl-PL"/>
        </w:rPr>
        <w:t xml:space="preserve">Założywszy nawet, że Trybunał powinien </w:t>
      </w:r>
      <w:r>
        <w:rPr>
          <w:lang w:val="pl-PL"/>
        </w:rPr>
        <w:t xml:space="preserve">był </w:t>
      </w:r>
      <w:r w:rsidR="00BA37C4">
        <w:rPr>
          <w:lang w:val="pl-PL"/>
        </w:rPr>
        <w:t>przyjąć</w:t>
      </w:r>
      <w:r>
        <w:rPr>
          <w:lang w:val="pl-PL"/>
        </w:rPr>
        <w:t xml:space="preserve">, że trzy zatrzymane osoby mogły być podejrzane o popełnienie czynu zabronionego oraz, że byłoby to słuszne przypuszczenie, to jednak </w:t>
      </w:r>
      <w:r w:rsidR="00BA37C4">
        <w:rPr>
          <w:lang w:val="pl-PL"/>
        </w:rPr>
        <w:t xml:space="preserve">nie </w:t>
      </w:r>
      <w:r>
        <w:rPr>
          <w:lang w:val="pl-PL"/>
        </w:rPr>
        <w:t xml:space="preserve">to jest </w:t>
      </w:r>
      <w:r w:rsidR="006B4C1B">
        <w:rPr>
          <w:lang w:val="pl-PL"/>
        </w:rPr>
        <w:t>wystarczające</w:t>
      </w:r>
      <w:r>
        <w:rPr>
          <w:lang w:val="pl-PL"/>
        </w:rPr>
        <w:t xml:space="preserve"> by uznać zakwestionowane zatrzymanie natychmiast i bezwarunkowo za zgodne z </w:t>
      </w:r>
      <w:r w:rsidR="00BD0CA7">
        <w:rPr>
          <w:lang w:val="pl-PL"/>
        </w:rPr>
        <w:t>wymogami</w:t>
      </w:r>
      <w:r>
        <w:rPr>
          <w:lang w:val="pl-PL"/>
        </w:rPr>
        <w:t xml:space="preserve"> artykułu </w:t>
      </w:r>
      <w:r w:rsidR="00F061A3" w:rsidRPr="00FC5143">
        <w:rPr>
          <w:lang w:val="pl-PL"/>
        </w:rPr>
        <w:t xml:space="preserve">5 § 1 c) </w:t>
      </w:r>
      <w:r w:rsidR="00BD0CA7">
        <w:rPr>
          <w:lang w:val="pl-PL"/>
        </w:rPr>
        <w:t xml:space="preserve">Konwencji. </w:t>
      </w:r>
      <w:r w:rsidR="00BD0CA7" w:rsidRPr="00BD0CA7">
        <w:rPr>
          <w:lang w:val="pl-PL"/>
        </w:rPr>
        <w:t>Nadto ten warunek</w:t>
      </w:r>
      <w:r w:rsidR="0070617D">
        <w:rPr>
          <w:lang w:val="pl-PL"/>
        </w:rPr>
        <w:t xml:space="preserve"> </w:t>
      </w:r>
      <w:r w:rsidR="00F061A3" w:rsidRPr="00BD0CA7">
        <w:rPr>
          <w:i/>
          <w:lang w:val="pl-PL"/>
        </w:rPr>
        <w:t>sine qua non</w:t>
      </w:r>
      <w:r w:rsidR="00F061A3" w:rsidRPr="00BD0CA7">
        <w:rPr>
          <w:lang w:val="pl-PL"/>
        </w:rPr>
        <w:t xml:space="preserve">, </w:t>
      </w:r>
      <w:r w:rsidR="00BD0CA7" w:rsidRPr="00BD0CA7">
        <w:rPr>
          <w:lang w:val="pl-PL"/>
        </w:rPr>
        <w:t>ten przepis wymaga co najmniej, że</w:t>
      </w:r>
      <w:r w:rsidR="0070617D">
        <w:rPr>
          <w:lang w:val="pl-PL"/>
        </w:rPr>
        <w:t>by</w:t>
      </w:r>
      <w:r w:rsidR="00BD0CA7" w:rsidRPr="00BD0CA7">
        <w:rPr>
          <w:lang w:val="pl-PL"/>
        </w:rPr>
        <w:t xml:space="preserve"> osoba dokonująca czynnośc</w:t>
      </w:r>
      <w:r w:rsidR="00BA37C4">
        <w:rPr>
          <w:lang w:val="pl-PL"/>
        </w:rPr>
        <w:t>i zatrzymania miała rzeczywisty</w:t>
      </w:r>
      <w:r w:rsidR="00BD0CA7" w:rsidRPr="00BD0CA7">
        <w:rPr>
          <w:lang w:val="pl-PL"/>
        </w:rPr>
        <w:t xml:space="preserve"> zamiar postawić zatrzymaną osobę przed właściwym sądem.</w:t>
      </w:r>
    </w:p>
    <w:p w:rsidR="009E744B" w:rsidRPr="00405F05" w:rsidRDefault="00BD0CA7" w:rsidP="009E744B">
      <w:pPr>
        <w:pStyle w:val="OpiPara"/>
        <w:rPr>
          <w:lang w:val="pl-PL"/>
        </w:rPr>
      </w:pPr>
      <w:r w:rsidRPr="00BD0CA7">
        <w:rPr>
          <w:lang w:val="pl-PL"/>
        </w:rPr>
        <w:t>Poza tym, aby wymóg zgodności z artykułem</w:t>
      </w:r>
      <w:r w:rsidR="00BA37C4">
        <w:rPr>
          <w:lang w:val="pl-PL"/>
        </w:rPr>
        <w:t xml:space="preserve"> 5 został spełniony, pozbawienie</w:t>
      </w:r>
      <w:r w:rsidRPr="00BD0CA7">
        <w:rPr>
          <w:lang w:val="pl-PL"/>
        </w:rPr>
        <w:t xml:space="preserve"> wolności</w:t>
      </w:r>
      <w:r w:rsidR="00F32542">
        <w:rPr>
          <w:lang w:val="pl-PL"/>
        </w:rPr>
        <w:t xml:space="preserve"> musi spełni</w:t>
      </w:r>
      <w:r w:rsidR="00285FE7">
        <w:rPr>
          <w:lang w:val="pl-PL"/>
        </w:rPr>
        <w:t>ać</w:t>
      </w:r>
      <w:r w:rsidR="00AD6185">
        <w:rPr>
          <w:lang w:val="pl-PL"/>
        </w:rPr>
        <w:t xml:space="preserve"> gwarancje procesowe</w:t>
      </w:r>
      <w:r w:rsidR="0070617D">
        <w:rPr>
          <w:lang w:val="pl-PL"/>
        </w:rPr>
        <w:t xml:space="preserve"> </w:t>
      </w:r>
      <w:r w:rsidR="00F32542">
        <w:rPr>
          <w:lang w:val="pl-PL"/>
        </w:rPr>
        <w:t xml:space="preserve">braku </w:t>
      </w:r>
      <w:r w:rsidR="003B0927">
        <w:rPr>
          <w:lang w:val="pl-PL"/>
        </w:rPr>
        <w:t xml:space="preserve">arbitralności, w szczególności </w:t>
      </w:r>
      <w:r w:rsidR="00EF205C">
        <w:rPr>
          <w:lang w:val="pl-PL"/>
        </w:rPr>
        <w:t xml:space="preserve">gwarancje </w:t>
      </w:r>
      <w:r w:rsidR="00285FE7">
        <w:rPr>
          <w:lang w:val="pl-PL"/>
        </w:rPr>
        <w:t>wymienione w artykule 5 §§ 3 i</w:t>
      </w:r>
      <w:r w:rsidR="00F061A3" w:rsidRPr="00BD0CA7">
        <w:rPr>
          <w:lang w:val="pl-PL"/>
        </w:rPr>
        <w:t xml:space="preserve"> 4. </w:t>
      </w:r>
      <w:r w:rsidR="00F05311" w:rsidRPr="00EA070E">
        <w:rPr>
          <w:lang w:val="pl-PL"/>
        </w:rPr>
        <w:t>A, jak to zostało wykazane w przedmio</w:t>
      </w:r>
      <w:r w:rsidR="00EA070E" w:rsidRPr="00EA070E">
        <w:rPr>
          <w:lang w:val="pl-PL"/>
        </w:rPr>
        <w:t>towej sprawie, w prawie krajowym nie było takich</w:t>
      </w:r>
      <w:r w:rsidR="00F05311" w:rsidRPr="00EA070E">
        <w:rPr>
          <w:lang w:val="pl-PL"/>
        </w:rPr>
        <w:t xml:space="preserve"> gwarancj</w:t>
      </w:r>
      <w:r w:rsidR="00EA070E" w:rsidRPr="00EA070E">
        <w:rPr>
          <w:lang w:val="pl-PL"/>
        </w:rPr>
        <w:t xml:space="preserve">i, a praktyka </w:t>
      </w:r>
      <w:r w:rsidR="00EA070E">
        <w:rPr>
          <w:lang w:val="pl-PL"/>
        </w:rPr>
        <w:t xml:space="preserve">nie oferowała </w:t>
      </w:r>
      <w:r w:rsidR="00CE283F">
        <w:rPr>
          <w:lang w:val="pl-PL"/>
        </w:rPr>
        <w:t xml:space="preserve">również zabezpieczeń </w:t>
      </w:r>
      <w:r w:rsidR="00CE283F">
        <w:rPr>
          <w:lang w:val="pl-PL"/>
        </w:rPr>
        <w:lastRenderedPageBreak/>
        <w:t xml:space="preserve">mających na celu zapobieżenie arbitralnym zatrzymaniom administracyjnym. </w:t>
      </w:r>
      <w:r w:rsidR="009E744B" w:rsidRPr="00405F05">
        <w:rPr>
          <w:lang w:val="pl-PL"/>
        </w:rPr>
        <w:t>Z tego względu, wyrażam ubolewanie, że większość uznał</w:t>
      </w:r>
      <w:r w:rsidR="00405F05" w:rsidRPr="00405F05">
        <w:rPr>
          <w:lang w:val="pl-PL"/>
        </w:rPr>
        <w:t>a</w:t>
      </w:r>
      <w:r w:rsidR="009E744B" w:rsidRPr="00405F05">
        <w:rPr>
          <w:lang w:val="pl-PL"/>
        </w:rPr>
        <w:t xml:space="preserve">, że artykuł </w:t>
      </w:r>
      <w:r w:rsidR="00F061A3" w:rsidRPr="00405F05">
        <w:rPr>
          <w:lang w:val="pl-PL"/>
        </w:rPr>
        <w:t>5 § 4</w:t>
      </w:r>
      <w:r w:rsidR="00405F05">
        <w:rPr>
          <w:lang w:val="pl-PL"/>
        </w:rPr>
        <w:t xml:space="preserve"> nie daje </w:t>
      </w:r>
      <w:r w:rsidR="00AD6E41">
        <w:rPr>
          <w:lang w:val="pl-PL"/>
        </w:rPr>
        <w:t>prawa do odwołania się do sądu</w:t>
      </w:r>
      <w:r w:rsidR="00EF205C">
        <w:rPr>
          <w:lang w:val="pl-PL"/>
        </w:rPr>
        <w:t xml:space="preserve"> </w:t>
      </w:r>
      <w:r w:rsidR="005E56D9">
        <w:rPr>
          <w:lang w:val="pl-PL"/>
        </w:rPr>
        <w:t>w przypadku gdy</w:t>
      </w:r>
      <w:r w:rsidR="00EF205C">
        <w:rPr>
          <w:lang w:val="pl-PL"/>
        </w:rPr>
        <w:t xml:space="preserve"> </w:t>
      </w:r>
      <w:r w:rsidR="00CA4B49">
        <w:rPr>
          <w:lang w:val="pl-PL"/>
        </w:rPr>
        <w:t xml:space="preserve">zainteresowana </w:t>
      </w:r>
      <w:r w:rsidR="00ED3B80">
        <w:rPr>
          <w:lang w:val="pl-PL"/>
        </w:rPr>
        <w:t>osoba zost</w:t>
      </w:r>
      <w:r w:rsidR="00892942">
        <w:rPr>
          <w:lang w:val="pl-PL"/>
        </w:rPr>
        <w:t>ała</w:t>
      </w:r>
      <w:r w:rsidR="005E56D9">
        <w:rPr>
          <w:lang w:val="pl-PL"/>
        </w:rPr>
        <w:t xml:space="preserve"> zwolniona po krótkim zatrzymaniu (zob. punkt 146 wyroku</w:t>
      </w:r>
      <w:r w:rsidR="00892942">
        <w:rPr>
          <w:lang w:val="pl-PL"/>
        </w:rPr>
        <w:t>) i</w:t>
      </w:r>
      <w:r w:rsidR="00CA4B49">
        <w:rPr>
          <w:lang w:val="pl-PL"/>
        </w:rPr>
        <w:t xml:space="preserve"> dow</w:t>
      </w:r>
      <w:r w:rsidR="00B54547">
        <w:rPr>
          <w:lang w:val="pl-PL"/>
        </w:rPr>
        <w:t xml:space="preserve">iaduje się, że nie </w:t>
      </w:r>
      <w:r w:rsidR="00134D44">
        <w:rPr>
          <w:lang w:val="pl-PL"/>
        </w:rPr>
        <w:t>ma konieczności przeprowadzania analizy</w:t>
      </w:r>
      <w:r w:rsidR="00B54547">
        <w:rPr>
          <w:lang w:val="pl-PL"/>
        </w:rPr>
        <w:t xml:space="preserve"> </w:t>
      </w:r>
      <w:r w:rsidR="00CA4B49" w:rsidRPr="00A44EFE">
        <w:rPr>
          <w:lang w:val="pl-PL"/>
        </w:rPr>
        <w:t>zarzutu</w:t>
      </w:r>
      <w:r w:rsidR="00CA4B49">
        <w:rPr>
          <w:lang w:val="pl-PL"/>
        </w:rPr>
        <w:t xml:space="preserve"> z artykułu </w:t>
      </w:r>
      <w:r w:rsidR="00CA4B49" w:rsidRPr="00A44EFE">
        <w:rPr>
          <w:lang w:val="pl-PL"/>
        </w:rPr>
        <w:t xml:space="preserve">5 § 4 </w:t>
      </w:r>
      <w:r w:rsidR="00CA4B49">
        <w:rPr>
          <w:lang w:val="pl-PL"/>
        </w:rPr>
        <w:t>Konwencji</w:t>
      </w:r>
      <w:r w:rsidR="00BA37C4">
        <w:rPr>
          <w:lang w:val="pl-PL"/>
        </w:rPr>
        <w:t>.</w:t>
      </w:r>
      <w:r w:rsidR="00CA4B49" w:rsidRPr="00A44EFE">
        <w:rPr>
          <w:lang w:val="pl-PL"/>
        </w:rPr>
        <w:t> </w:t>
      </w:r>
    </w:p>
    <w:p w:rsidR="00F061A3" w:rsidRPr="002F6763" w:rsidRDefault="00AA75A8" w:rsidP="00F061A3">
      <w:pPr>
        <w:pStyle w:val="OpiPara"/>
        <w:rPr>
          <w:lang w:val="pl-PL"/>
        </w:rPr>
      </w:pPr>
      <w:r w:rsidRPr="002F6763">
        <w:rPr>
          <w:lang w:val="pl-PL"/>
        </w:rPr>
        <w:t>Stanowisko przyjęte przez większość</w:t>
      </w:r>
      <w:r w:rsidR="002F6763" w:rsidRPr="002F6763">
        <w:rPr>
          <w:lang w:val="pl-PL"/>
        </w:rPr>
        <w:t xml:space="preserve">, </w:t>
      </w:r>
      <w:r w:rsidR="00C91DAD">
        <w:rPr>
          <w:lang w:val="pl-PL"/>
        </w:rPr>
        <w:t xml:space="preserve">stawiające - wydaje mi się niesłusznie </w:t>
      </w:r>
      <w:r w:rsidR="00B54547">
        <w:rPr>
          <w:lang w:val="pl-PL"/>
        </w:rPr>
        <w:t>-</w:t>
      </w:r>
      <w:r w:rsidR="005A7CC3">
        <w:rPr>
          <w:lang w:val="pl-PL"/>
        </w:rPr>
        <w:t xml:space="preserve"> </w:t>
      </w:r>
      <w:r w:rsidR="008F5F2D">
        <w:rPr>
          <w:lang w:val="pl-PL"/>
        </w:rPr>
        <w:t>domniemanie potencjalnej zgodnoś</w:t>
      </w:r>
      <w:r w:rsidR="00B54547">
        <w:rPr>
          <w:lang w:val="pl-PL"/>
        </w:rPr>
        <w:t>ci zakwestionowanego zatrzymania</w:t>
      </w:r>
      <w:r w:rsidR="008F5F2D">
        <w:rPr>
          <w:lang w:val="pl-PL"/>
        </w:rPr>
        <w:t xml:space="preserve"> z materialnymi wymogami Konwencji, </w:t>
      </w:r>
      <w:r w:rsidR="00EF4714">
        <w:rPr>
          <w:lang w:val="pl-PL"/>
        </w:rPr>
        <w:t>stwarza wrażenie</w:t>
      </w:r>
      <w:r w:rsidR="00677B0E">
        <w:rPr>
          <w:lang w:val="pl-PL"/>
        </w:rPr>
        <w:t xml:space="preserve">, że </w:t>
      </w:r>
      <w:r w:rsidR="00063ABC">
        <w:rPr>
          <w:lang w:val="pl-PL"/>
        </w:rPr>
        <w:t>do oceny tej zgodności nie są</w:t>
      </w:r>
      <w:r w:rsidR="00677B0E">
        <w:rPr>
          <w:lang w:val="pl-PL"/>
        </w:rPr>
        <w:t xml:space="preserve"> wymagane żadne</w:t>
      </w:r>
      <w:r w:rsidR="00063ABC">
        <w:rPr>
          <w:lang w:val="pl-PL"/>
        </w:rPr>
        <w:t xml:space="preserve"> gwarancje procesowe. </w:t>
      </w:r>
      <w:r w:rsidR="005551E4">
        <w:rPr>
          <w:lang w:val="pl-PL"/>
        </w:rPr>
        <w:t>Stąd opinia większości</w:t>
      </w:r>
      <w:r w:rsidR="00B54547">
        <w:rPr>
          <w:lang w:val="pl-PL"/>
        </w:rPr>
        <w:t>, że stwierdzone w przedmiotowej sprawie naruszenie</w:t>
      </w:r>
      <w:r w:rsidR="00975E8A">
        <w:rPr>
          <w:lang w:val="pl-PL"/>
        </w:rPr>
        <w:t xml:space="preserve"> artykułu 5 Konwencji</w:t>
      </w:r>
      <w:r w:rsidR="004047C8">
        <w:rPr>
          <w:lang w:val="pl-PL"/>
        </w:rPr>
        <w:t xml:space="preserve"> </w:t>
      </w:r>
      <w:r w:rsidR="00194F70">
        <w:rPr>
          <w:lang w:val="pl-PL"/>
        </w:rPr>
        <w:t>wynika z luki w prawie krajowym</w:t>
      </w:r>
      <w:r w:rsidR="004047C8">
        <w:rPr>
          <w:lang w:val="pl-PL"/>
        </w:rPr>
        <w:t xml:space="preserve"> </w:t>
      </w:r>
      <w:r w:rsidR="002A2661">
        <w:rPr>
          <w:lang w:val="pl-PL"/>
        </w:rPr>
        <w:t>pozostawia, jak się wydaje, bez odpowiedzi materialne i procesowe zarzuty</w:t>
      </w:r>
      <w:r w:rsidR="002140C8">
        <w:rPr>
          <w:lang w:val="pl-PL"/>
        </w:rPr>
        <w:t xml:space="preserve"> (</w:t>
      </w:r>
      <w:r w:rsidR="00E81D03">
        <w:rPr>
          <w:lang w:val="pl-PL"/>
        </w:rPr>
        <w:t xml:space="preserve">najwyraźniej </w:t>
      </w:r>
      <w:r w:rsidR="002140C8">
        <w:rPr>
          <w:lang w:val="pl-PL"/>
        </w:rPr>
        <w:t>wynikające</w:t>
      </w:r>
      <w:r w:rsidR="00E81D03">
        <w:rPr>
          <w:lang w:val="pl-PL"/>
        </w:rPr>
        <w:t xml:space="preserve"> z tej luki) skarżących.</w:t>
      </w:r>
    </w:p>
    <w:p w:rsidR="00F061A3" w:rsidRPr="009228DB" w:rsidRDefault="00E81D03" w:rsidP="00F061A3">
      <w:pPr>
        <w:pStyle w:val="OpiPara"/>
        <w:rPr>
          <w:lang w:val="pl-PL"/>
        </w:rPr>
      </w:pPr>
      <w:r w:rsidRPr="009228DB">
        <w:rPr>
          <w:lang w:val="pl-PL"/>
        </w:rPr>
        <w:t>Nie jestem przekonana</w:t>
      </w:r>
      <w:r w:rsidR="009228DB" w:rsidRPr="009228DB">
        <w:rPr>
          <w:lang w:val="pl-PL"/>
        </w:rPr>
        <w:t>, że wymogi materialne i procesowe artykułu 5 można interpretować rozdzielnie.</w:t>
      </w:r>
      <w:r w:rsidR="004047C8">
        <w:rPr>
          <w:lang w:val="pl-PL"/>
        </w:rPr>
        <w:t xml:space="preserve"> </w:t>
      </w:r>
      <w:r w:rsidR="00A33528">
        <w:rPr>
          <w:lang w:val="pl-PL"/>
        </w:rPr>
        <w:t>Z punktu widzenia teorii prawa</w:t>
      </w:r>
      <w:r w:rsidR="00B00B78">
        <w:rPr>
          <w:lang w:val="pl-PL"/>
        </w:rPr>
        <w:t xml:space="preserve">, </w:t>
      </w:r>
      <w:r w:rsidR="00046CC3">
        <w:rPr>
          <w:lang w:val="pl-PL"/>
        </w:rPr>
        <w:t xml:space="preserve">wymogi te są niezbędne </w:t>
      </w:r>
      <w:r w:rsidR="00BC6D9A">
        <w:rPr>
          <w:lang w:val="pl-PL"/>
        </w:rPr>
        <w:t>dla zapewnienia skutecznego wykonania prawa do wolności osobistej</w:t>
      </w:r>
      <w:r w:rsidR="008C4813">
        <w:rPr>
          <w:lang w:val="pl-PL"/>
        </w:rPr>
        <w:t xml:space="preserve">, ale również (wraz z prawem do korzystania </w:t>
      </w:r>
      <w:r w:rsidR="00B54547">
        <w:rPr>
          <w:lang w:val="pl-PL"/>
        </w:rPr>
        <w:t xml:space="preserve">z </w:t>
      </w:r>
      <w:r w:rsidR="008C4813">
        <w:rPr>
          <w:lang w:val="pl-PL"/>
        </w:rPr>
        <w:t xml:space="preserve">pomocy adwokata) w celu zapobieżenia </w:t>
      </w:r>
      <w:r w:rsidR="001E2825">
        <w:rPr>
          <w:lang w:val="pl-PL"/>
        </w:rPr>
        <w:t>złemu traktowaniu, którego zakazuje artykuł</w:t>
      </w:r>
      <w:r w:rsidR="004047C8">
        <w:rPr>
          <w:lang w:val="pl-PL"/>
        </w:rPr>
        <w:t xml:space="preserve"> </w:t>
      </w:r>
      <w:r w:rsidR="00BD3828">
        <w:rPr>
          <w:lang w:val="pl-PL"/>
        </w:rPr>
        <w:t xml:space="preserve">3 Konwencji. Jeżeli policja </w:t>
      </w:r>
      <w:r w:rsidR="001E23FA">
        <w:rPr>
          <w:lang w:val="pl-PL"/>
        </w:rPr>
        <w:t>wykonywałaby naprawdę czynności kontrol</w:t>
      </w:r>
      <w:r w:rsidR="004047C8">
        <w:rPr>
          <w:lang w:val="pl-PL"/>
        </w:rPr>
        <w:t>i tożsamości i badania poziomu alkoholu w organizmie</w:t>
      </w:r>
      <w:r w:rsidR="001E23FA">
        <w:rPr>
          <w:lang w:val="pl-PL"/>
        </w:rPr>
        <w:t xml:space="preserve">, to naprawdę nie wiadomo, dlaczego rodzicom skarżących nie pozwolono wejść na teren komisariatu podczas krótkiego zatrzymania ich dzieci. </w:t>
      </w:r>
      <w:r w:rsidR="00111D59">
        <w:rPr>
          <w:lang w:val="pl-PL"/>
        </w:rPr>
        <w:t xml:space="preserve">Ponadto pozwany Rząd utrzymywał, że </w:t>
      </w:r>
      <w:r w:rsidR="00F94CB8">
        <w:rPr>
          <w:lang w:val="pl-PL"/>
        </w:rPr>
        <w:t>nie było można było z pewnością określić pochodzenia obrażeń skarżących</w:t>
      </w:r>
      <w:r w:rsidR="004047C8">
        <w:rPr>
          <w:lang w:val="pl-PL"/>
        </w:rPr>
        <w:t xml:space="preserve">. </w:t>
      </w:r>
      <w:r w:rsidR="00111D59">
        <w:rPr>
          <w:lang w:val="pl-PL"/>
        </w:rPr>
        <w:t xml:space="preserve">Zgadzam się, że </w:t>
      </w:r>
      <w:r w:rsidR="00B54547">
        <w:rPr>
          <w:lang w:val="pl-PL"/>
        </w:rPr>
        <w:t>nie</w:t>
      </w:r>
      <w:r w:rsidR="00D925AD">
        <w:rPr>
          <w:lang w:val="pl-PL"/>
        </w:rPr>
        <w:t xml:space="preserve"> przedłożyli oni Trybunałowi dowodów na poparcie zarzutu złego traktowania, niemniej jednak sądzę</w:t>
      </w:r>
      <w:r w:rsidR="00597A14">
        <w:rPr>
          <w:lang w:val="pl-PL"/>
        </w:rPr>
        <w:t>, że obecność ich rodziców i gwarancje zapisane w artykule 5 mogłyby się przyczynić do zapobieżenia ewentualnemu ryzyku i nieuzasadnionym</w:t>
      </w:r>
      <w:r w:rsidR="00015277">
        <w:rPr>
          <w:lang w:val="pl-PL"/>
        </w:rPr>
        <w:t xml:space="preserve"> zarzutom</w:t>
      </w:r>
      <w:r w:rsidR="008C3B75">
        <w:rPr>
          <w:lang w:val="pl-PL"/>
        </w:rPr>
        <w:t xml:space="preserve"> oraz/lub być pomocą dla władz krajowych w ustaleniu dokładniejszego stanu faktycznego. </w:t>
      </w:r>
    </w:p>
    <w:p w:rsidR="00076CC0" w:rsidRPr="009228DB" w:rsidRDefault="00076CC0">
      <w:pPr>
        <w:rPr>
          <w:lang w:val="pl-PL"/>
        </w:rPr>
      </w:pPr>
    </w:p>
    <w:sectPr w:rsidR="00076CC0" w:rsidRPr="009228DB" w:rsidSect="007D7B7E">
      <w:footnotePr>
        <w:numRestart w:val="eachPage"/>
      </w:footnotePr>
      <w:type w:val="continuous"/>
      <w:pgSz w:w="11906" w:h="16838" w:code="9"/>
      <w:pgMar w:top="2274" w:right="2274" w:bottom="2274" w:left="2268"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BB" w:rsidRDefault="00E065BB" w:rsidP="001E654E">
      <w:r>
        <w:separator/>
      </w:r>
    </w:p>
  </w:endnote>
  <w:endnote w:type="continuationSeparator" w:id="0">
    <w:p w:rsidR="00E065BB" w:rsidRDefault="00E065BB" w:rsidP="001E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Times New (W1)">
    <w:altName w:val="Times New Roman"/>
    <w:charset w:val="00"/>
    <w:family w:val="roman"/>
    <w:pitch w:val="variable"/>
    <w:sig w:usb0="20007A87" w:usb1="80000000" w:usb2="00000008" w:usb3="00000000" w:csb0="000001FF" w:csb1="00000000"/>
  </w:font>
  <w:font w:name="TimesNewRoman">
    <w:altName w:val="Arial Unicode MS"/>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EF" w:rsidRPr="00150BFA" w:rsidRDefault="00027DEF" w:rsidP="001E654E">
    <w:pPr>
      <w:jc w:val="center"/>
      <w:rPr>
        <w:sz w:val="4"/>
        <w:szCs w:val="4"/>
      </w:rPr>
    </w:pPr>
    <w:r>
      <w:rPr>
        <w:noProof/>
        <w:sz w:val="4"/>
        <w:szCs w:val="4"/>
        <w:lang w:val="pl-PL" w:eastAsia="pl-PL"/>
      </w:rPr>
      <w:drawing>
        <wp:inline distT="0" distB="0" distL="0" distR="0">
          <wp:extent cx="763270" cy="61214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612140"/>
                  </a:xfrm>
                  <a:prstGeom prst="rect">
                    <a:avLst/>
                  </a:prstGeom>
                  <a:noFill/>
                  <a:ln>
                    <a:noFill/>
                  </a:ln>
                </pic:spPr>
              </pic:pic>
            </a:graphicData>
          </a:graphic>
        </wp:inline>
      </w:drawing>
    </w:r>
  </w:p>
  <w:p w:rsidR="00027DEF" w:rsidRDefault="00027D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BB" w:rsidRDefault="00E065BB" w:rsidP="001E654E">
      <w:r>
        <w:separator/>
      </w:r>
    </w:p>
  </w:footnote>
  <w:footnote w:type="continuationSeparator" w:id="0">
    <w:p w:rsidR="00E065BB" w:rsidRDefault="00E065BB" w:rsidP="001E6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EF" w:rsidRPr="000B4A60" w:rsidRDefault="00027DEF" w:rsidP="001E654E">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EF" w:rsidRPr="00C00F0F" w:rsidRDefault="00027DEF">
    <w:pPr>
      <w:pStyle w:val="Nagwek"/>
      <w:jc w:val="center"/>
      <w:rPr>
        <w:sz w:val="4"/>
        <w:szCs w:val="4"/>
      </w:rPr>
    </w:pPr>
    <w:r>
      <w:rPr>
        <w:noProof/>
        <w:sz w:val="4"/>
        <w:szCs w:val="4"/>
        <w:lang w:val="pl-PL" w:eastAsia="pl-PL"/>
      </w:rPr>
      <w:drawing>
        <wp:inline distT="0" distB="0" distL="0" distR="0">
          <wp:extent cx="2941955" cy="120840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1208405"/>
                  </a:xfrm>
                  <a:prstGeom prst="rect">
                    <a:avLst/>
                  </a:prstGeom>
                  <a:noFill/>
                  <a:ln>
                    <a:noFill/>
                  </a:ln>
                </pic:spPr>
              </pic:pic>
            </a:graphicData>
          </a:graphic>
        </wp:inline>
      </w:drawing>
    </w:r>
  </w:p>
  <w:p w:rsidR="00027DEF" w:rsidRDefault="00027DEF" w:rsidP="001E654E">
    <w:pPr>
      <w:pStyle w:val="Ju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EF" w:rsidRPr="001E471C" w:rsidRDefault="00027DEF">
    <w:pPr>
      <w:pStyle w:val="JuHeader"/>
    </w:pPr>
    <w:r>
      <w:rPr>
        <w:rStyle w:val="Numerstrony"/>
        <w:lang w:val="en-US"/>
      </w:rPr>
      <w:fldChar w:fldCharType="begin"/>
    </w:r>
    <w:r w:rsidRPr="001E471C">
      <w:rPr>
        <w:rStyle w:val="Numerstrony"/>
      </w:rPr>
      <w:instrText xml:space="preserve"> PAGE </w:instrText>
    </w:r>
    <w:r>
      <w:rPr>
        <w:rStyle w:val="Numerstrony"/>
        <w:lang w:val="en-US"/>
      </w:rPr>
      <w:fldChar w:fldCharType="separate"/>
    </w:r>
    <w:r>
      <w:rPr>
        <w:rStyle w:val="Numerstrony"/>
        <w:noProof/>
      </w:rPr>
      <w:t>34</w:t>
    </w:r>
    <w:r>
      <w:rPr>
        <w:rStyle w:val="Numerstrony"/>
        <w:lang w:val="en-US"/>
      </w:rPr>
      <w:fldChar w:fldCharType="end"/>
    </w:r>
    <w:r w:rsidRPr="001E471C">
      <w:rPr>
        <w:rStyle w:val="Numerstrony"/>
      </w:rPr>
      <w:tab/>
    </w:r>
    <w:r w:rsidRPr="001E471C">
      <w:rPr>
        <w:noProof/>
      </w:rPr>
      <w:t>ARRÊT</w:t>
    </w:r>
    <w:r w:rsidRPr="001E471C">
      <w:t xml:space="preserve"> TOMASZEWSCY c. POLOGNE</w:t>
    </w:r>
    <w:r>
      <w:noBreakHyphen/>
    </w:r>
    <w:r w:rsidRPr="001211C3">
      <w:t xml:space="preserve"> OPINION SÉPARÉE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474052"/>
      <w:docPartObj>
        <w:docPartGallery w:val="Page Numbers (Top of Page)"/>
        <w:docPartUnique/>
      </w:docPartObj>
    </w:sdtPr>
    <w:sdtEndPr>
      <w:rPr>
        <w:noProof/>
      </w:rPr>
    </w:sdtEndPr>
    <w:sdtContent>
      <w:p w:rsidR="00027DEF" w:rsidRPr="0057207A" w:rsidRDefault="00027DEF" w:rsidP="002F60E6">
        <w:pPr>
          <w:pStyle w:val="Nagwek"/>
          <w:jc w:val="center"/>
          <w:rPr>
            <w:lang w:val="pl-PL"/>
          </w:rPr>
        </w:pPr>
        <w:r w:rsidRPr="002F60E6">
          <w:rPr>
            <w:lang w:val="pl-PL"/>
          </w:rPr>
          <w:t xml:space="preserve">     </w:t>
        </w:r>
        <w:r>
          <w:rPr>
            <w:lang w:val="pl-PL"/>
          </w:rPr>
          <w:t xml:space="preserve">                             </w:t>
        </w:r>
        <w:r w:rsidRPr="002F60E6">
          <w:rPr>
            <w:lang w:val="pl-PL"/>
          </w:rPr>
          <w:t xml:space="preserve"> </w:t>
        </w:r>
        <w:r w:rsidRPr="001E654E">
          <w:rPr>
            <w:noProof/>
            <w:lang w:val="pl-PL"/>
          </w:rPr>
          <w:t xml:space="preserve">WYROK W SPRAWIE TOMASZEWCY P. </w:t>
        </w:r>
        <w:r>
          <w:rPr>
            <w:noProof/>
            <w:lang w:val="pl-PL"/>
          </w:rPr>
          <w:t xml:space="preserve">POLSCE                                   </w:t>
        </w:r>
        <w:r>
          <w:fldChar w:fldCharType="begin"/>
        </w:r>
        <w:r w:rsidRPr="0057207A">
          <w:rPr>
            <w:lang w:val="pl-PL"/>
          </w:rPr>
          <w:instrText xml:space="preserve"> PAGE   \* MERGEFORMAT </w:instrText>
        </w:r>
        <w:r>
          <w:fldChar w:fldCharType="separate"/>
        </w:r>
        <w:r w:rsidR="005F4277">
          <w:rPr>
            <w:noProof/>
            <w:lang w:val="pl-PL"/>
          </w:rPr>
          <w:t>29</w:t>
        </w:r>
        <w:r>
          <w:rPr>
            <w:noProof/>
          </w:rPr>
          <w:fldChar w:fldCharType="end"/>
        </w:r>
      </w:p>
    </w:sdtContent>
  </w:sdt>
  <w:p w:rsidR="00027DEF" w:rsidRPr="001E654E" w:rsidRDefault="00027DEF">
    <w:pPr>
      <w:pStyle w:val="JuHeader"/>
      <w:rPr>
        <w:lang w:val="pl-P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232180"/>
      <w:docPartObj>
        <w:docPartGallery w:val="Page Numbers (Top of Page)"/>
        <w:docPartUnique/>
      </w:docPartObj>
    </w:sdtPr>
    <w:sdtEndPr>
      <w:rPr>
        <w:noProof/>
      </w:rPr>
    </w:sdtEndPr>
    <w:sdtContent>
      <w:p w:rsidR="00027DEF" w:rsidRPr="0057207A" w:rsidRDefault="00027DEF">
        <w:pPr>
          <w:pStyle w:val="Nagwek"/>
          <w:jc w:val="right"/>
          <w:rPr>
            <w:lang w:val="pl-PL"/>
          </w:rPr>
        </w:pPr>
        <w:r w:rsidRPr="001E654E">
          <w:rPr>
            <w:noProof/>
            <w:lang w:val="pl-PL"/>
          </w:rPr>
          <w:t xml:space="preserve">WYROK W SPRAWIE TOMASZEWCY P. </w:t>
        </w:r>
        <w:r>
          <w:rPr>
            <w:noProof/>
            <w:lang w:val="pl-PL"/>
          </w:rPr>
          <w:t xml:space="preserve">POLSCE – ZDANIE ODRĘBNE  </w:t>
        </w:r>
        <w:r>
          <w:fldChar w:fldCharType="begin"/>
        </w:r>
        <w:r w:rsidRPr="0057207A">
          <w:rPr>
            <w:lang w:val="pl-PL"/>
          </w:rPr>
          <w:instrText xml:space="preserve"> PAGE   \* MERGEFORMAT </w:instrText>
        </w:r>
        <w:r>
          <w:fldChar w:fldCharType="separate"/>
        </w:r>
        <w:r w:rsidR="003D7C18">
          <w:rPr>
            <w:noProof/>
            <w:lang w:val="pl-PL"/>
          </w:rPr>
          <w:t>34</w:t>
        </w:r>
        <w:r>
          <w:rPr>
            <w:noProof/>
          </w:rPr>
          <w:fldChar w:fldCharType="end"/>
        </w:r>
      </w:p>
    </w:sdtContent>
  </w:sdt>
  <w:p w:rsidR="00027DEF" w:rsidRPr="001E654E" w:rsidRDefault="00027DEF">
    <w:pPr>
      <w:pStyle w:val="JuHeader"/>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AEA0B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12AC0A76"/>
    <w:multiLevelType w:val="multilevel"/>
    <w:tmpl w:val="185E2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10526E"/>
    <w:multiLevelType w:val="multilevel"/>
    <w:tmpl w:val="7E423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5F5041"/>
    <w:multiLevelType w:val="multilevel"/>
    <w:tmpl w:val="C430DC1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74AD5D8E"/>
    <w:multiLevelType w:val="multilevel"/>
    <w:tmpl w:val="A2B23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7C5A685E"/>
    <w:multiLevelType w:val="multilevel"/>
    <w:tmpl w:val="7884B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792EC2"/>
    <w:multiLevelType w:val="multilevel"/>
    <w:tmpl w:val="EF649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3"/>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A3"/>
    <w:rsid w:val="00000277"/>
    <w:rsid w:val="00000A4A"/>
    <w:rsid w:val="00002053"/>
    <w:rsid w:val="000024A2"/>
    <w:rsid w:val="0000282B"/>
    <w:rsid w:val="00004919"/>
    <w:rsid w:val="0000491E"/>
    <w:rsid w:val="00004E4B"/>
    <w:rsid w:val="000069DD"/>
    <w:rsid w:val="00006B80"/>
    <w:rsid w:val="0000783C"/>
    <w:rsid w:val="0001113C"/>
    <w:rsid w:val="00012482"/>
    <w:rsid w:val="000127D1"/>
    <w:rsid w:val="00013F3F"/>
    <w:rsid w:val="00014336"/>
    <w:rsid w:val="0001453F"/>
    <w:rsid w:val="00014577"/>
    <w:rsid w:val="00015277"/>
    <w:rsid w:val="00015ADE"/>
    <w:rsid w:val="00015DB7"/>
    <w:rsid w:val="00016944"/>
    <w:rsid w:val="00017D4B"/>
    <w:rsid w:val="00017F36"/>
    <w:rsid w:val="00020375"/>
    <w:rsid w:val="000205DE"/>
    <w:rsid w:val="00020C36"/>
    <w:rsid w:val="00021204"/>
    <w:rsid w:val="0002140E"/>
    <w:rsid w:val="00021F58"/>
    <w:rsid w:val="00022F9A"/>
    <w:rsid w:val="00024186"/>
    <w:rsid w:val="000249A0"/>
    <w:rsid w:val="00025057"/>
    <w:rsid w:val="000258B9"/>
    <w:rsid w:val="00025FF4"/>
    <w:rsid w:val="00026276"/>
    <w:rsid w:val="00026B82"/>
    <w:rsid w:val="00027DEF"/>
    <w:rsid w:val="00031462"/>
    <w:rsid w:val="00031945"/>
    <w:rsid w:val="00031BF8"/>
    <w:rsid w:val="00032983"/>
    <w:rsid w:val="00032AF3"/>
    <w:rsid w:val="00032FD6"/>
    <w:rsid w:val="00033845"/>
    <w:rsid w:val="0003447C"/>
    <w:rsid w:val="00034D78"/>
    <w:rsid w:val="00035212"/>
    <w:rsid w:val="00035B5C"/>
    <w:rsid w:val="000370E7"/>
    <w:rsid w:val="000405ED"/>
    <w:rsid w:val="0004062A"/>
    <w:rsid w:val="000411C6"/>
    <w:rsid w:val="00041A3E"/>
    <w:rsid w:val="00045013"/>
    <w:rsid w:val="000450C2"/>
    <w:rsid w:val="00046CC3"/>
    <w:rsid w:val="00046F2C"/>
    <w:rsid w:val="00047EE1"/>
    <w:rsid w:val="0005157E"/>
    <w:rsid w:val="0005185F"/>
    <w:rsid w:val="000520AE"/>
    <w:rsid w:val="0005296E"/>
    <w:rsid w:val="000529A8"/>
    <w:rsid w:val="00052AA4"/>
    <w:rsid w:val="000540F7"/>
    <w:rsid w:val="00056308"/>
    <w:rsid w:val="000566A8"/>
    <w:rsid w:val="000572E2"/>
    <w:rsid w:val="000575D4"/>
    <w:rsid w:val="0005779F"/>
    <w:rsid w:val="000579BB"/>
    <w:rsid w:val="00060C1A"/>
    <w:rsid w:val="000613CB"/>
    <w:rsid w:val="00061C93"/>
    <w:rsid w:val="000625F3"/>
    <w:rsid w:val="0006266D"/>
    <w:rsid w:val="00063188"/>
    <w:rsid w:val="000638A5"/>
    <w:rsid w:val="00063ABC"/>
    <w:rsid w:val="00063CEA"/>
    <w:rsid w:val="00063F0D"/>
    <w:rsid w:val="00063F34"/>
    <w:rsid w:val="00064A0D"/>
    <w:rsid w:val="000651E7"/>
    <w:rsid w:val="0006545D"/>
    <w:rsid w:val="00067151"/>
    <w:rsid w:val="00067366"/>
    <w:rsid w:val="00067956"/>
    <w:rsid w:val="00067A7F"/>
    <w:rsid w:val="00067C54"/>
    <w:rsid w:val="00070641"/>
    <w:rsid w:val="00070819"/>
    <w:rsid w:val="00070A0A"/>
    <w:rsid w:val="00071E57"/>
    <w:rsid w:val="00071F61"/>
    <w:rsid w:val="00071F71"/>
    <w:rsid w:val="000727F7"/>
    <w:rsid w:val="00072D32"/>
    <w:rsid w:val="00073702"/>
    <w:rsid w:val="000738B1"/>
    <w:rsid w:val="00073ADD"/>
    <w:rsid w:val="00075692"/>
    <w:rsid w:val="00075DE3"/>
    <w:rsid w:val="0007680D"/>
    <w:rsid w:val="00076BCB"/>
    <w:rsid w:val="00076CC0"/>
    <w:rsid w:val="000773ED"/>
    <w:rsid w:val="00077445"/>
    <w:rsid w:val="00077D14"/>
    <w:rsid w:val="000808C4"/>
    <w:rsid w:val="000818D9"/>
    <w:rsid w:val="00082592"/>
    <w:rsid w:val="00082D43"/>
    <w:rsid w:val="00083051"/>
    <w:rsid w:val="00083293"/>
    <w:rsid w:val="0008352C"/>
    <w:rsid w:val="0008361F"/>
    <w:rsid w:val="00083A7A"/>
    <w:rsid w:val="00083C0A"/>
    <w:rsid w:val="0008434B"/>
    <w:rsid w:val="00085A25"/>
    <w:rsid w:val="0009059A"/>
    <w:rsid w:val="00090BEE"/>
    <w:rsid w:val="000913FD"/>
    <w:rsid w:val="00091D16"/>
    <w:rsid w:val="0009205D"/>
    <w:rsid w:val="00092920"/>
    <w:rsid w:val="00092973"/>
    <w:rsid w:val="000938E3"/>
    <w:rsid w:val="00093928"/>
    <w:rsid w:val="0009393E"/>
    <w:rsid w:val="000954A5"/>
    <w:rsid w:val="00095D45"/>
    <w:rsid w:val="000968F4"/>
    <w:rsid w:val="00096AC2"/>
    <w:rsid w:val="0009723E"/>
    <w:rsid w:val="000A05D4"/>
    <w:rsid w:val="000A171C"/>
    <w:rsid w:val="000A1B1C"/>
    <w:rsid w:val="000A2031"/>
    <w:rsid w:val="000A2A96"/>
    <w:rsid w:val="000A2BE9"/>
    <w:rsid w:val="000A3AAC"/>
    <w:rsid w:val="000A3B8C"/>
    <w:rsid w:val="000A4536"/>
    <w:rsid w:val="000A4E31"/>
    <w:rsid w:val="000A5E6D"/>
    <w:rsid w:val="000A605B"/>
    <w:rsid w:val="000A6455"/>
    <w:rsid w:val="000A6EF8"/>
    <w:rsid w:val="000A6F7E"/>
    <w:rsid w:val="000A7F9E"/>
    <w:rsid w:val="000B0034"/>
    <w:rsid w:val="000B278B"/>
    <w:rsid w:val="000B4DE4"/>
    <w:rsid w:val="000B5DF3"/>
    <w:rsid w:val="000B5EF7"/>
    <w:rsid w:val="000B5FA7"/>
    <w:rsid w:val="000B5FF4"/>
    <w:rsid w:val="000B6174"/>
    <w:rsid w:val="000B654F"/>
    <w:rsid w:val="000B6C0C"/>
    <w:rsid w:val="000B6E54"/>
    <w:rsid w:val="000B6EF6"/>
    <w:rsid w:val="000B71D3"/>
    <w:rsid w:val="000C0420"/>
    <w:rsid w:val="000C0B8F"/>
    <w:rsid w:val="000C0C93"/>
    <w:rsid w:val="000C17D1"/>
    <w:rsid w:val="000C1F48"/>
    <w:rsid w:val="000C24F6"/>
    <w:rsid w:val="000C284B"/>
    <w:rsid w:val="000C3B72"/>
    <w:rsid w:val="000C55BE"/>
    <w:rsid w:val="000C5764"/>
    <w:rsid w:val="000C5C03"/>
    <w:rsid w:val="000C6927"/>
    <w:rsid w:val="000C7599"/>
    <w:rsid w:val="000C79E6"/>
    <w:rsid w:val="000C7A96"/>
    <w:rsid w:val="000D08E4"/>
    <w:rsid w:val="000D0D1B"/>
    <w:rsid w:val="000D11CE"/>
    <w:rsid w:val="000D205F"/>
    <w:rsid w:val="000D20B1"/>
    <w:rsid w:val="000D3733"/>
    <w:rsid w:val="000D3DF2"/>
    <w:rsid w:val="000D43AA"/>
    <w:rsid w:val="000D5900"/>
    <w:rsid w:val="000D6066"/>
    <w:rsid w:val="000D7E46"/>
    <w:rsid w:val="000E069E"/>
    <w:rsid w:val="000E0EA3"/>
    <w:rsid w:val="000E145D"/>
    <w:rsid w:val="000E19C7"/>
    <w:rsid w:val="000E1BAE"/>
    <w:rsid w:val="000E2DFC"/>
    <w:rsid w:val="000E4284"/>
    <w:rsid w:val="000E4795"/>
    <w:rsid w:val="000E4E4B"/>
    <w:rsid w:val="000E516F"/>
    <w:rsid w:val="000E5488"/>
    <w:rsid w:val="000E767A"/>
    <w:rsid w:val="000E7984"/>
    <w:rsid w:val="000F000E"/>
    <w:rsid w:val="000F1EEF"/>
    <w:rsid w:val="000F2DA0"/>
    <w:rsid w:val="000F3C61"/>
    <w:rsid w:val="000F44ED"/>
    <w:rsid w:val="000F4CB6"/>
    <w:rsid w:val="000F601E"/>
    <w:rsid w:val="000F625D"/>
    <w:rsid w:val="000F6502"/>
    <w:rsid w:val="000F6631"/>
    <w:rsid w:val="000F6BDB"/>
    <w:rsid w:val="000F7137"/>
    <w:rsid w:val="000F7C1C"/>
    <w:rsid w:val="00100092"/>
    <w:rsid w:val="00100481"/>
    <w:rsid w:val="0010368A"/>
    <w:rsid w:val="00103D40"/>
    <w:rsid w:val="0010456C"/>
    <w:rsid w:val="00105CCC"/>
    <w:rsid w:val="0010630F"/>
    <w:rsid w:val="0010794E"/>
    <w:rsid w:val="00110DCB"/>
    <w:rsid w:val="00111AD2"/>
    <w:rsid w:val="00111D59"/>
    <w:rsid w:val="00112BBD"/>
    <w:rsid w:val="0011386B"/>
    <w:rsid w:val="00114270"/>
    <w:rsid w:val="00114AF3"/>
    <w:rsid w:val="00115383"/>
    <w:rsid w:val="00115DDC"/>
    <w:rsid w:val="001163C5"/>
    <w:rsid w:val="00116BAE"/>
    <w:rsid w:val="00117A6F"/>
    <w:rsid w:val="00117D42"/>
    <w:rsid w:val="0012042E"/>
    <w:rsid w:val="0012055C"/>
    <w:rsid w:val="001205D1"/>
    <w:rsid w:val="001225C1"/>
    <w:rsid w:val="00122A0A"/>
    <w:rsid w:val="00122ED2"/>
    <w:rsid w:val="00123ABB"/>
    <w:rsid w:val="00123B3E"/>
    <w:rsid w:val="00123C28"/>
    <w:rsid w:val="001249F3"/>
    <w:rsid w:val="00125182"/>
    <w:rsid w:val="001253A4"/>
    <w:rsid w:val="00125C66"/>
    <w:rsid w:val="00125DF4"/>
    <w:rsid w:val="00127311"/>
    <w:rsid w:val="001316C4"/>
    <w:rsid w:val="00131A16"/>
    <w:rsid w:val="00131CDC"/>
    <w:rsid w:val="001335E6"/>
    <w:rsid w:val="0013390F"/>
    <w:rsid w:val="00134117"/>
    <w:rsid w:val="00134814"/>
    <w:rsid w:val="00134D44"/>
    <w:rsid w:val="001353AD"/>
    <w:rsid w:val="00135F39"/>
    <w:rsid w:val="001362D5"/>
    <w:rsid w:val="00136623"/>
    <w:rsid w:val="00137E9F"/>
    <w:rsid w:val="00137FC4"/>
    <w:rsid w:val="00137FDD"/>
    <w:rsid w:val="00140E71"/>
    <w:rsid w:val="001410E1"/>
    <w:rsid w:val="00144710"/>
    <w:rsid w:val="001461A0"/>
    <w:rsid w:val="00147079"/>
    <w:rsid w:val="00147B50"/>
    <w:rsid w:val="0015069D"/>
    <w:rsid w:val="00150A84"/>
    <w:rsid w:val="00150F52"/>
    <w:rsid w:val="00151248"/>
    <w:rsid w:val="001513E1"/>
    <w:rsid w:val="001514B6"/>
    <w:rsid w:val="00151958"/>
    <w:rsid w:val="001519AA"/>
    <w:rsid w:val="00151DE6"/>
    <w:rsid w:val="001541F7"/>
    <w:rsid w:val="00154EB8"/>
    <w:rsid w:val="0015504B"/>
    <w:rsid w:val="00155309"/>
    <w:rsid w:val="00155432"/>
    <w:rsid w:val="001566EB"/>
    <w:rsid w:val="00156ADF"/>
    <w:rsid w:val="00157114"/>
    <w:rsid w:val="0015727B"/>
    <w:rsid w:val="001609A8"/>
    <w:rsid w:val="00160C89"/>
    <w:rsid w:val="00160F10"/>
    <w:rsid w:val="00161A7D"/>
    <w:rsid w:val="00161B5A"/>
    <w:rsid w:val="001626CD"/>
    <w:rsid w:val="00162E58"/>
    <w:rsid w:val="00163A2C"/>
    <w:rsid w:val="001646EC"/>
    <w:rsid w:val="00165E00"/>
    <w:rsid w:val="00166100"/>
    <w:rsid w:val="00167444"/>
    <w:rsid w:val="00167B9F"/>
    <w:rsid w:val="00170558"/>
    <w:rsid w:val="00172EA4"/>
    <w:rsid w:val="001735BC"/>
    <w:rsid w:val="001741C9"/>
    <w:rsid w:val="00174869"/>
    <w:rsid w:val="00174E73"/>
    <w:rsid w:val="00175CF9"/>
    <w:rsid w:val="00176344"/>
    <w:rsid w:val="0017660D"/>
    <w:rsid w:val="001775B7"/>
    <w:rsid w:val="0017798C"/>
    <w:rsid w:val="00177B92"/>
    <w:rsid w:val="00177BCA"/>
    <w:rsid w:val="00180C2C"/>
    <w:rsid w:val="00180D7B"/>
    <w:rsid w:val="0018128E"/>
    <w:rsid w:val="00181533"/>
    <w:rsid w:val="00181E9A"/>
    <w:rsid w:val="001848A9"/>
    <w:rsid w:val="001854D9"/>
    <w:rsid w:val="00185711"/>
    <w:rsid w:val="00186C66"/>
    <w:rsid w:val="00187033"/>
    <w:rsid w:val="00187672"/>
    <w:rsid w:val="0019253A"/>
    <w:rsid w:val="00192F0C"/>
    <w:rsid w:val="00193059"/>
    <w:rsid w:val="00193706"/>
    <w:rsid w:val="001943F2"/>
    <w:rsid w:val="00194F70"/>
    <w:rsid w:val="001965D3"/>
    <w:rsid w:val="00196A5A"/>
    <w:rsid w:val="00196CDA"/>
    <w:rsid w:val="0019719C"/>
    <w:rsid w:val="00197365"/>
    <w:rsid w:val="00197C5E"/>
    <w:rsid w:val="001A0360"/>
    <w:rsid w:val="001A10F3"/>
    <w:rsid w:val="001A1863"/>
    <w:rsid w:val="001A228B"/>
    <w:rsid w:val="001A2ACF"/>
    <w:rsid w:val="001A2B72"/>
    <w:rsid w:val="001A2D79"/>
    <w:rsid w:val="001A41D5"/>
    <w:rsid w:val="001A49CB"/>
    <w:rsid w:val="001A50BE"/>
    <w:rsid w:val="001A5C36"/>
    <w:rsid w:val="001A6789"/>
    <w:rsid w:val="001A6AED"/>
    <w:rsid w:val="001A77AA"/>
    <w:rsid w:val="001A77DC"/>
    <w:rsid w:val="001A7CEB"/>
    <w:rsid w:val="001B04AC"/>
    <w:rsid w:val="001B051F"/>
    <w:rsid w:val="001B2301"/>
    <w:rsid w:val="001B3959"/>
    <w:rsid w:val="001B3DD4"/>
    <w:rsid w:val="001B5A6D"/>
    <w:rsid w:val="001B5E36"/>
    <w:rsid w:val="001B61A8"/>
    <w:rsid w:val="001B757E"/>
    <w:rsid w:val="001C0619"/>
    <w:rsid w:val="001C144D"/>
    <w:rsid w:val="001C15CD"/>
    <w:rsid w:val="001C1D6B"/>
    <w:rsid w:val="001C3318"/>
    <w:rsid w:val="001C3516"/>
    <w:rsid w:val="001C38E7"/>
    <w:rsid w:val="001C3972"/>
    <w:rsid w:val="001C3A86"/>
    <w:rsid w:val="001C5437"/>
    <w:rsid w:val="001C7856"/>
    <w:rsid w:val="001C7DEE"/>
    <w:rsid w:val="001D0D39"/>
    <w:rsid w:val="001D1202"/>
    <w:rsid w:val="001D1959"/>
    <w:rsid w:val="001D205B"/>
    <w:rsid w:val="001D2242"/>
    <w:rsid w:val="001D2B64"/>
    <w:rsid w:val="001D2FF9"/>
    <w:rsid w:val="001D33E7"/>
    <w:rsid w:val="001D3C89"/>
    <w:rsid w:val="001D476C"/>
    <w:rsid w:val="001D4C99"/>
    <w:rsid w:val="001D513E"/>
    <w:rsid w:val="001D6D09"/>
    <w:rsid w:val="001D6DF5"/>
    <w:rsid w:val="001D71FD"/>
    <w:rsid w:val="001D7540"/>
    <w:rsid w:val="001D7A7E"/>
    <w:rsid w:val="001E0720"/>
    <w:rsid w:val="001E10BC"/>
    <w:rsid w:val="001E10BE"/>
    <w:rsid w:val="001E151D"/>
    <w:rsid w:val="001E1E6C"/>
    <w:rsid w:val="001E22E6"/>
    <w:rsid w:val="001E23FA"/>
    <w:rsid w:val="001E2825"/>
    <w:rsid w:val="001E28A5"/>
    <w:rsid w:val="001E30F6"/>
    <w:rsid w:val="001E317D"/>
    <w:rsid w:val="001E3219"/>
    <w:rsid w:val="001E33F2"/>
    <w:rsid w:val="001E3C4F"/>
    <w:rsid w:val="001E4215"/>
    <w:rsid w:val="001E5195"/>
    <w:rsid w:val="001E522D"/>
    <w:rsid w:val="001E654E"/>
    <w:rsid w:val="001F014D"/>
    <w:rsid w:val="001F0815"/>
    <w:rsid w:val="001F0E42"/>
    <w:rsid w:val="001F1AAA"/>
    <w:rsid w:val="001F1C17"/>
    <w:rsid w:val="001F227A"/>
    <w:rsid w:val="001F28C5"/>
    <w:rsid w:val="001F3493"/>
    <w:rsid w:val="001F3BE0"/>
    <w:rsid w:val="001F3E28"/>
    <w:rsid w:val="001F720E"/>
    <w:rsid w:val="001F727B"/>
    <w:rsid w:val="001F7BC4"/>
    <w:rsid w:val="001F7BF6"/>
    <w:rsid w:val="001F7BFA"/>
    <w:rsid w:val="001F7D07"/>
    <w:rsid w:val="00200FA2"/>
    <w:rsid w:val="00201E20"/>
    <w:rsid w:val="002021B3"/>
    <w:rsid w:val="00202722"/>
    <w:rsid w:val="00203315"/>
    <w:rsid w:val="0020358F"/>
    <w:rsid w:val="00203F02"/>
    <w:rsid w:val="0020415D"/>
    <w:rsid w:val="0020418E"/>
    <w:rsid w:val="00204E00"/>
    <w:rsid w:val="0020572D"/>
    <w:rsid w:val="00205B8E"/>
    <w:rsid w:val="0020602F"/>
    <w:rsid w:val="00207130"/>
    <w:rsid w:val="0020755E"/>
    <w:rsid w:val="00211247"/>
    <w:rsid w:val="00211498"/>
    <w:rsid w:val="00212B1F"/>
    <w:rsid w:val="00212E63"/>
    <w:rsid w:val="0021312C"/>
    <w:rsid w:val="0021362B"/>
    <w:rsid w:val="00213ACD"/>
    <w:rsid w:val="00213B5D"/>
    <w:rsid w:val="002140C8"/>
    <w:rsid w:val="002144FD"/>
    <w:rsid w:val="00214C93"/>
    <w:rsid w:val="00215B85"/>
    <w:rsid w:val="00216008"/>
    <w:rsid w:val="0021646A"/>
    <w:rsid w:val="00221549"/>
    <w:rsid w:val="00221962"/>
    <w:rsid w:val="00221EF2"/>
    <w:rsid w:val="0022229C"/>
    <w:rsid w:val="00222DCA"/>
    <w:rsid w:val="00222EE7"/>
    <w:rsid w:val="00225C7C"/>
    <w:rsid w:val="002269E4"/>
    <w:rsid w:val="00226A96"/>
    <w:rsid w:val="00226BC6"/>
    <w:rsid w:val="00226E7E"/>
    <w:rsid w:val="002277E2"/>
    <w:rsid w:val="00227C9E"/>
    <w:rsid w:val="00230E97"/>
    <w:rsid w:val="002310BF"/>
    <w:rsid w:val="00231CD3"/>
    <w:rsid w:val="002323E2"/>
    <w:rsid w:val="00232BEE"/>
    <w:rsid w:val="00235761"/>
    <w:rsid w:val="0023785B"/>
    <w:rsid w:val="002405D6"/>
    <w:rsid w:val="002407A7"/>
    <w:rsid w:val="00240F2F"/>
    <w:rsid w:val="002416EC"/>
    <w:rsid w:val="002417CF"/>
    <w:rsid w:val="002422C3"/>
    <w:rsid w:val="00243578"/>
    <w:rsid w:val="0024483A"/>
    <w:rsid w:val="00245C98"/>
    <w:rsid w:val="00246552"/>
    <w:rsid w:val="00246CED"/>
    <w:rsid w:val="002500B4"/>
    <w:rsid w:val="00252091"/>
    <w:rsid w:val="002523D2"/>
    <w:rsid w:val="002532F1"/>
    <w:rsid w:val="00253475"/>
    <w:rsid w:val="00254369"/>
    <w:rsid w:val="0025465E"/>
    <w:rsid w:val="0025466B"/>
    <w:rsid w:val="00255332"/>
    <w:rsid w:val="00255D5A"/>
    <w:rsid w:val="00255E3D"/>
    <w:rsid w:val="00256EF0"/>
    <w:rsid w:val="0026051F"/>
    <w:rsid w:val="00260D3A"/>
    <w:rsid w:val="00264A41"/>
    <w:rsid w:val="00264AAF"/>
    <w:rsid w:val="002651D3"/>
    <w:rsid w:val="00265B09"/>
    <w:rsid w:val="002669CB"/>
    <w:rsid w:val="00266A63"/>
    <w:rsid w:val="00266AB5"/>
    <w:rsid w:val="0027152B"/>
    <w:rsid w:val="00271D37"/>
    <w:rsid w:val="002723E5"/>
    <w:rsid w:val="002725CF"/>
    <w:rsid w:val="002736B3"/>
    <w:rsid w:val="002742BF"/>
    <w:rsid w:val="00275299"/>
    <w:rsid w:val="002758F8"/>
    <w:rsid w:val="0027606D"/>
    <w:rsid w:val="00276162"/>
    <w:rsid w:val="00276B09"/>
    <w:rsid w:val="00277539"/>
    <w:rsid w:val="002777B9"/>
    <w:rsid w:val="00280A19"/>
    <w:rsid w:val="002811EC"/>
    <w:rsid w:val="00281203"/>
    <w:rsid w:val="00281DA4"/>
    <w:rsid w:val="0028242D"/>
    <w:rsid w:val="00282FF7"/>
    <w:rsid w:val="0028428E"/>
    <w:rsid w:val="00284752"/>
    <w:rsid w:val="002847AD"/>
    <w:rsid w:val="00285FE7"/>
    <w:rsid w:val="002860BC"/>
    <w:rsid w:val="00286896"/>
    <w:rsid w:val="00287607"/>
    <w:rsid w:val="002906A4"/>
    <w:rsid w:val="002927B7"/>
    <w:rsid w:val="00292BD0"/>
    <w:rsid w:val="00292EF3"/>
    <w:rsid w:val="002931AD"/>
    <w:rsid w:val="002933A6"/>
    <w:rsid w:val="0029457A"/>
    <w:rsid w:val="00294593"/>
    <w:rsid w:val="00294A34"/>
    <w:rsid w:val="00294DA1"/>
    <w:rsid w:val="00294E9E"/>
    <w:rsid w:val="00295092"/>
    <w:rsid w:val="002950D0"/>
    <w:rsid w:val="00295315"/>
    <w:rsid w:val="00295A6B"/>
    <w:rsid w:val="00296174"/>
    <w:rsid w:val="00296550"/>
    <w:rsid w:val="002A0AE2"/>
    <w:rsid w:val="002A157C"/>
    <w:rsid w:val="002A2661"/>
    <w:rsid w:val="002A39E5"/>
    <w:rsid w:val="002A3C9E"/>
    <w:rsid w:val="002A482C"/>
    <w:rsid w:val="002A485C"/>
    <w:rsid w:val="002A4EDF"/>
    <w:rsid w:val="002A5917"/>
    <w:rsid w:val="002A66A1"/>
    <w:rsid w:val="002A6CB0"/>
    <w:rsid w:val="002A6DF6"/>
    <w:rsid w:val="002A7AE4"/>
    <w:rsid w:val="002B04DB"/>
    <w:rsid w:val="002B0D1E"/>
    <w:rsid w:val="002B239D"/>
    <w:rsid w:val="002B26B3"/>
    <w:rsid w:val="002B38EF"/>
    <w:rsid w:val="002B3DC7"/>
    <w:rsid w:val="002B4A54"/>
    <w:rsid w:val="002B5007"/>
    <w:rsid w:val="002B50F6"/>
    <w:rsid w:val="002B610C"/>
    <w:rsid w:val="002B689B"/>
    <w:rsid w:val="002B69D6"/>
    <w:rsid w:val="002B6C5B"/>
    <w:rsid w:val="002B73AA"/>
    <w:rsid w:val="002C018A"/>
    <w:rsid w:val="002C0EA5"/>
    <w:rsid w:val="002C1666"/>
    <w:rsid w:val="002C3FC9"/>
    <w:rsid w:val="002C4084"/>
    <w:rsid w:val="002C408B"/>
    <w:rsid w:val="002C5067"/>
    <w:rsid w:val="002C5C29"/>
    <w:rsid w:val="002C6564"/>
    <w:rsid w:val="002C6D87"/>
    <w:rsid w:val="002C71DC"/>
    <w:rsid w:val="002C7A89"/>
    <w:rsid w:val="002C7C50"/>
    <w:rsid w:val="002C7DC0"/>
    <w:rsid w:val="002C7F57"/>
    <w:rsid w:val="002D199F"/>
    <w:rsid w:val="002D1A76"/>
    <w:rsid w:val="002D2A16"/>
    <w:rsid w:val="002D30C6"/>
    <w:rsid w:val="002D33CD"/>
    <w:rsid w:val="002D3C33"/>
    <w:rsid w:val="002D40CD"/>
    <w:rsid w:val="002D606B"/>
    <w:rsid w:val="002D621D"/>
    <w:rsid w:val="002D672A"/>
    <w:rsid w:val="002D7AE0"/>
    <w:rsid w:val="002E0681"/>
    <w:rsid w:val="002E0A63"/>
    <w:rsid w:val="002E0DD4"/>
    <w:rsid w:val="002E1B33"/>
    <w:rsid w:val="002E3453"/>
    <w:rsid w:val="002E3AC1"/>
    <w:rsid w:val="002E5AC1"/>
    <w:rsid w:val="002E68CE"/>
    <w:rsid w:val="002E700F"/>
    <w:rsid w:val="002E7339"/>
    <w:rsid w:val="002F081C"/>
    <w:rsid w:val="002F0883"/>
    <w:rsid w:val="002F18F5"/>
    <w:rsid w:val="002F1D13"/>
    <w:rsid w:val="002F2850"/>
    <w:rsid w:val="002F2EDD"/>
    <w:rsid w:val="002F3A72"/>
    <w:rsid w:val="002F5071"/>
    <w:rsid w:val="002F579D"/>
    <w:rsid w:val="002F5805"/>
    <w:rsid w:val="002F60E6"/>
    <w:rsid w:val="002F6242"/>
    <w:rsid w:val="002F6763"/>
    <w:rsid w:val="002F76D9"/>
    <w:rsid w:val="003001A7"/>
    <w:rsid w:val="003005DD"/>
    <w:rsid w:val="00303329"/>
    <w:rsid w:val="00303962"/>
    <w:rsid w:val="00303A89"/>
    <w:rsid w:val="003052AC"/>
    <w:rsid w:val="00305B87"/>
    <w:rsid w:val="00305E66"/>
    <w:rsid w:val="003063E1"/>
    <w:rsid w:val="003068FF"/>
    <w:rsid w:val="003074DD"/>
    <w:rsid w:val="00307992"/>
    <w:rsid w:val="00307AD5"/>
    <w:rsid w:val="00307F38"/>
    <w:rsid w:val="0031023F"/>
    <w:rsid w:val="00310781"/>
    <w:rsid w:val="00311518"/>
    <w:rsid w:val="00311A5D"/>
    <w:rsid w:val="00312014"/>
    <w:rsid w:val="0031222F"/>
    <w:rsid w:val="00313E09"/>
    <w:rsid w:val="00314FAB"/>
    <w:rsid w:val="0031509F"/>
    <w:rsid w:val="003150A6"/>
    <w:rsid w:val="0031582C"/>
    <w:rsid w:val="00315875"/>
    <w:rsid w:val="0031591B"/>
    <w:rsid w:val="00320456"/>
    <w:rsid w:val="00321711"/>
    <w:rsid w:val="0032175E"/>
    <w:rsid w:val="003219E9"/>
    <w:rsid w:val="00322D7E"/>
    <w:rsid w:val="0032310F"/>
    <w:rsid w:val="00323FE9"/>
    <w:rsid w:val="00324096"/>
    <w:rsid w:val="003243ED"/>
    <w:rsid w:val="00324FBC"/>
    <w:rsid w:val="00325ACC"/>
    <w:rsid w:val="00325AD4"/>
    <w:rsid w:val="003265E9"/>
    <w:rsid w:val="00326A65"/>
    <w:rsid w:val="00326FC5"/>
    <w:rsid w:val="003270E4"/>
    <w:rsid w:val="00327B3D"/>
    <w:rsid w:val="00327C83"/>
    <w:rsid w:val="00330003"/>
    <w:rsid w:val="00331247"/>
    <w:rsid w:val="003314C9"/>
    <w:rsid w:val="003330EE"/>
    <w:rsid w:val="00333A97"/>
    <w:rsid w:val="00336131"/>
    <w:rsid w:val="00336BF5"/>
    <w:rsid w:val="0033751C"/>
    <w:rsid w:val="003377C5"/>
    <w:rsid w:val="00340E70"/>
    <w:rsid w:val="003419C4"/>
    <w:rsid w:val="00341FB0"/>
    <w:rsid w:val="00342995"/>
    <w:rsid w:val="00342DDC"/>
    <w:rsid w:val="00345A03"/>
    <w:rsid w:val="00345C40"/>
    <w:rsid w:val="003462D4"/>
    <w:rsid w:val="003465AD"/>
    <w:rsid w:val="00346825"/>
    <w:rsid w:val="00346A75"/>
    <w:rsid w:val="00346C7B"/>
    <w:rsid w:val="00346C8D"/>
    <w:rsid w:val="00347336"/>
    <w:rsid w:val="003501AB"/>
    <w:rsid w:val="00350DB4"/>
    <w:rsid w:val="00351614"/>
    <w:rsid w:val="0035272D"/>
    <w:rsid w:val="00353895"/>
    <w:rsid w:val="00353BB7"/>
    <w:rsid w:val="0035424D"/>
    <w:rsid w:val="003559E5"/>
    <w:rsid w:val="00356200"/>
    <w:rsid w:val="00356A1E"/>
    <w:rsid w:val="00357B9F"/>
    <w:rsid w:val="00360586"/>
    <w:rsid w:val="00360ED5"/>
    <w:rsid w:val="00361EF4"/>
    <w:rsid w:val="003620A8"/>
    <w:rsid w:val="00363FD6"/>
    <w:rsid w:val="003640BE"/>
    <w:rsid w:val="0036493B"/>
    <w:rsid w:val="003652C5"/>
    <w:rsid w:val="003655A5"/>
    <w:rsid w:val="003659C3"/>
    <w:rsid w:val="00365F0D"/>
    <w:rsid w:val="003671BF"/>
    <w:rsid w:val="00367837"/>
    <w:rsid w:val="00370500"/>
    <w:rsid w:val="00371964"/>
    <w:rsid w:val="00371C08"/>
    <w:rsid w:val="00372047"/>
    <w:rsid w:val="0037271E"/>
    <w:rsid w:val="003736C7"/>
    <w:rsid w:val="003737CC"/>
    <w:rsid w:val="00373BDF"/>
    <w:rsid w:val="00374965"/>
    <w:rsid w:val="00374AF4"/>
    <w:rsid w:val="0037531A"/>
    <w:rsid w:val="00375688"/>
    <w:rsid w:val="00376B02"/>
    <w:rsid w:val="00376D43"/>
    <w:rsid w:val="0037741B"/>
    <w:rsid w:val="00377909"/>
    <w:rsid w:val="003804D9"/>
    <w:rsid w:val="003812DE"/>
    <w:rsid w:val="0038152D"/>
    <w:rsid w:val="00381C4E"/>
    <w:rsid w:val="00382655"/>
    <w:rsid w:val="0038281E"/>
    <w:rsid w:val="00384B65"/>
    <w:rsid w:val="00385009"/>
    <w:rsid w:val="0038533C"/>
    <w:rsid w:val="003856B5"/>
    <w:rsid w:val="003859D3"/>
    <w:rsid w:val="00385EA3"/>
    <w:rsid w:val="0038620F"/>
    <w:rsid w:val="00387086"/>
    <w:rsid w:val="003873BB"/>
    <w:rsid w:val="003877AF"/>
    <w:rsid w:val="0039045A"/>
    <w:rsid w:val="00390DF8"/>
    <w:rsid w:val="0039125A"/>
    <w:rsid w:val="00391382"/>
    <w:rsid w:val="00392284"/>
    <w:rsid w:val="00393EB2"/>
    <w:rsid w:val="003944A7"/>
    <w:rsid w:val="00394600"/>
    <w:rsid w:val="003949AB"/>
    <w:rsid w:val="003951E2"/>
    <w:rsid w:val="00395442"/>
    <w:rsid w:val="00396B27"/>
    <w:rsid w:val="0039793D"/>
    <w:rsid w:val="003A03DE"/>
    <w:rsid w:val="003A049F"/>
    <w:rsid w:val="003A0F08"/>
    <w:rsid w:val="003A1A1F"/>
    <w:rsid w:val="003A1B04"/>
    <w:rsid w:val="003A1D35"/>
    <w:rsid w:val="003A2954"/>
    <w:rsid w:val="003A2C72"/>
    <w:rsid w:val="003A31DB"/>
    <w:rsid w:val="003A3CC2"/>
    <w:rsid w:val="003A453D"/>
    <w:rsid w:val="003A504B"/>
    <w:rsid w:val="003A5438"/>
    <w:rsid w:val="003A5877"/>
    <w:rsid w:val="003A60FE"/>
    <w:rsid w:val="003A63C0"/>
    <w:rsid w:val="003A72F3"/>
    <w:rsid w:val="003A7473"/>
    <w:rsid w:val="003B01D9"/>
    <w:rsid w:val="003B0927"/>
    <w:rsid w:val="003B0FA8"/>
    <w:rsid w:val="003B1291"/>
    <w:rsid w:val="003B2133"/>
    <w:rsid w:val="003B4ECC"/>
    <w:rsid w:val="003B501C"/>
    <w:rsid w:val="003B526A"/>
    <w:rsid w:val="003B5366"/>
    <w:rsid w:val="003B55BE"/>
    <w:rsid w:val="003B59D1"/>
    <w:rsid w:val="003B6490"/>
    <w:rsid w:val="003B7DCD"/>
    <w:rsid w:val="003C01BB"/>
    <w:rsid w:val="003C0AA5"/>
    <w:rsid w:val="003C1A3E"/>
    <w:rsid w:val="003C1AD1"/>
    <w:rsid w:val="003C26FA"/>
    <w:rsid w:val="003C3127"/>
    <w:rsid w:val="003C3375"/>
    <w:rsid w:val="003C463A"/>
    <w:rsid w:val="003C4972"/>
    <w:rsid w:val="003C551D"/>
    <w:rsid w:val="003C5638"/>
    <w:rsid w:val="003C5A99"/>
    <w:rsid w:val="003C6EF6"/>
    <w:rsid w:val="003C73EA"/>
    <w:rsid w:val="003C7866"/>
    <w:rsid w:val="003D01F6"/>
    <w:rsid w:val="003D035E"/>
    <w:rsid w:val="003D0403"/>
    <w:rsid w:val="003D1162"/>
    <w:rsid w:val="003D11BD"/>
    <w:rsid w:val="003D25C4"/>
    <w:rsid w:val="003D28D7"/>
    <w:rsid w:val="003D2E71"/>
    <w:rsid w:val="003D2EAF"/>
    <w:rsid w:val="003D396B"/>
    <w:rsid w:val="003D495B"/>
    <w:rsid w:val="003D5B57"/>
    <w:rsid w:val="003D5E58"/>
    <w:rsid w:val="003D7529"/>
    <w:rsid w:val="003D7615"/>
    <w:rsid w:val="003D7C18"/>
    <w:rsid w:val="003E02E3"/>
    <w:rsid w:val="003E128C"/>
    <w:rsid w:val="003E13ED"/>
    <w:rsid w:val="003E1469"/>
    <w:rsid w:val="003E16A2"/>
    <w:rsid w:val="003E1D35"/>
    <w:rsid w:val="003E1FDB"/>
    <w:rsid w:val="003E2508"/>
    <w:rsid w:val="003E2A3A"/>
    <w:rsid w:val="003E2F3B"/>
    <w:rsid w:val="003E3AC0"/>
    <w:rsid w:val="003E43E8"/>
    <w:rsid w:val="003E459E"/>
    <w:rsid w:val="003E5152"/>
    <w:rsid w:val="003E7BAF"/>
    <w:rsid w:val="003F12AE"/>
    <w:rsid w:val="003F1424"/>
    <w:rsid w:val="003F2287"/>
    <w:rsid w:val="003F242D"/>
    <w:rsid w:val="003F2D8B"/>
    <w:rsid w:val="003F30A4"/>
    <w:rsid w:val="003F3B74"/>
    <w:rsid w:val="003F47F4"/>
    <w:rsid w:val="003F50A2"/>
    <w:rsid w:val="003F5D6D"/>
    <w:rsid w:val="003F5FE9"/>
    <w:rsid w:val="003F60D7"/>
    <w:rsid w:val="003F68F4"/>
    <w:rsid w:val="004014C9"/>
    <w:rsid w:val="00402BC3"/>
    <w:rsid w:val="0040335D"/>
    <w:rsid w:val="00403A37"/>
    <w:rsid w:val="004042DE"/>
    <w:rsid w:val="004047C8"/>
    <w:rsid w:val="004048FD"/>
    <w:rsid w:val="00404A1A"/>
    <w:rsid w:val="00404B0C"/>
    <w:rsid w:val="00405CAF"/>
    <w:rsid w:val="00405F05"/>
    <w:rsid w:val="00406E6F"/>
    <w:rsid w:val="00407F40"/>
    <w:rsid w:val="00407F57"/>
    <w:rsid w:val="00410CE7"/>
    <w:rsid w:val="004110D5"/>
    <w:rsid w:val="00411CBF"/>
    <w:rsid w:val="00412B31"/>
    <w:rsid w:val="00412F84"/>
    <w:rsid w:val="0041514C"/>
    <w:rsid w:val="00415497"/>
    <w:rsid w:val="00415A74"/>
    <w:rsid w:val="00415F9C"/>
    <w:rsid w:val="004163A8"/>
    <w:rsid w:val="00417968"/>
    <w:rsid w:val="0041796A"/>
    <w:rsid w:val="00421BFF"/>
    <w:rsid w:val="004226CF"/>
    <w:rsid w:val="004226F5"/>
    <w:rsid w:val="00422861"/>
    <w:rsid w:val="004230CD"/>
    <w:rsid w:val="004231A7"/>
    <w:rsid w:val="0042324B"/>
    <w:rsid w:val="00423516"/>
    <w:rsid w:val="00423BFE"/>
    <w:rsid w:val="00424BDA"/>
    <w:rsid w:val="004261F1"/>
    <w:rsid w:val="00426234"/>
    <w:rsid w:val="00426E1B"/>
    <w:rsid w:val="00427872"/>
    <w:rsid w:val="00427DC3"/>
    <w:rsid w:val="004308F4"/>
    <w:rsid w:val="00430AB1"/>
    <w:rsid w:val="00431C2E"/>
    <w:rsid w:val="00431D95"/>
    <w:rsid w:val="004323EE"/>
    <w:rsid w:val="004324B4"/>
    <w:rsid w:val="00432B73"/>
    <w:rsid w:val="00433BB8"/>
    <w:rsid w:val="00433DA9"/>
    <w:rsid w:val="00434165"/>
    <w:rsid w:val="004346EA"/>
    <w:rsid w:val="00434A58"/>
    <w:rsid w:val="00435797"/>
    <w:rsid w:val="00435B28"/>
    <w:rsid w:val="00435DD7"/>
    <w:rsid w:val="00436E58"/>
    <w:rsid w:val="00436F5A"/>
    <w:rsid w:val="004379DE"/>
    <w:rsid w:val="00437F53"/>
    <w:rsid w:val="00437F7A"/>
    <w:rsid w:val="004412C6"/>
    <w:rsid w:val="00444122"/>
    <w:rsid w:val="00445281"/>
    <w:rsid w:val="0044564E"/>
    <w:rsid w:val="004458A6"/>
    <w:rsid w:val="00445F9B"/>
    <w:rsid w:val="004462C5"/>
    <w:rsid w:val="00447241"/>
    <w:rsid w:val="00450D7C"/>
    <w:rsid w:val="004511C0"/>
    <w:rsid w:val="004515A0"/>
    <w:rsid w:val="00451696"/>
    <w:rsid w:val="004527F5"/>
    <w:rsid w:val="00453965"/>
    <w:rsid w:val="00453A3C"/>
    <w:rsid w:val="0045454C"/>
    <w:rsid w:val="00454856"/>
    <w:rsid w:val="00454A67"/>
    <w:rsid w:val="00454C67"/>
    <w:rsid w:val="00454F47"/>
    <w:rsid w:val="0045500B"/>
    <w:rsid w:val="004571A9"/>
    <w:rsid w:val="00457A84"/>
    <w:rsid w:val="00461C47"/>
    <w:rsid w:val="00461DA3"/>
    <w:rsid w:val="00463196"/>
    <w:rsid w:val="00463564"/>
    <w:rsid w:val="004649B3"/>
    <w:rsid w:val="004657DF"/>
    <w:rsid w:val="00465896"/>
    <w:rsid w:val="004661AB"/>
    <w:rsid w:val="00466ACA"/>
    <w:rsid w:val="00467827"/>
    <w:rsid w:val="00470A00"/>
    <w:rsid w:val="00470EBF"/>
    <w:rsid w:val="00471974"/>
    <w:rsid w:val="00472188"/>
    <w:rsid w:val="004722AD"/>
    <w:rsid w:val="0047323B"/>
    <w:rsid w:val="004732D8"/>
    <w:rsid w:val="00473E37"/>
    <w:rsid w:val="00474772"/>
    <w:rsid w:val="00474B16"/>
    <w:rsid w:val="00476DFD"/>
    <w:rsid w:val="004806FD"/>
    <w:rsid w:val="00480A68"/>
    <w:rsid w:val="004816B0"/>
    <w:rsid w:val="0048187B"/>
    <w:rsid w:val="0048306E"/>
    <w:rsid w:val="00483E7D"/>
    <w:rsid w:val="004842F9"/>
    <w:rsid w:val="00484DB6"/>
    <w:rsid w:val="0048566D"/>
    <w:rsid w:val="00487873"/>
    <w:rsid w:val="004919CB"/>
    <w:rsid w:val="004920B9"/>
    <w:rsid w:val="0049238C"/>
    <w:rsid w:val="004936B3"/>
    <w:rsid w:val="00493CB8"/>
    <w:rsid w:val="00493CCF"/>
    <w:rsid w:val="004945A8"/>
    <w:rsid w:val="00494EE8"/>
    <w:rsid w:val="004954F6"/>
    <w:rsid w:val="0049575B"/>
    <w:rsid w:val="00495945"/>
    <w:rsid w:val="004963DC"/>
    <w:rsid w:val="004968F1"/>
    <w:rsid w:val="0049717E"/>
    <w:rsid w:val="00497EDC"/>
    <w:rsid w:val="004A17F4"/>
    <w:rsid w:val="004A1CF4"/>
    <w:rsid w:val="004A2DD4"/>
    <w:rsid w:val="004A39FC"/>
    <w:rsid w:val="004A3AAC"/>
    <w:rsid w:val="004A3B8A"/>
    <w:rsid w:val="004A4122"/>
    <w:rsid w:val="004A48E9"/>
    <w:rsid w:val="004A57E5"/>
    <w:rsid w:val="004A6A1B"/>
    <w:rsid w:val="004B0386"/>
    <w:rsid w:val="004B0531"/>
    <w:rsid w:val="004B08DE"/>
    <w:rsid w:val="004B0F14"/>
    <w:rsid w:val="004B117F"/>
    <w:rsid w:val="004B305D"/>
    <w:rsid w:val="004B341D"/>
    <w:rsid w:val="004B4BCB"/>
    <w:rsid w:val="004B56FC"/>
    <w:rsid w:val="004C0ABA"/>
    <w:rsid w:val="004C2260"/>
    <w:rsid w:val="004C2C88"/>
    <w:rsid w:val="004C3037"/>
    <w:rsid w:val="004C3892"/>
    <w:rsid w:val="004C63A3"/>
    <w:rsid w:val="004D019D"/>
    <w:rsid w:val="004D1854"/>
    <w:rsid w:val="004D2465"/>
    <w:rsid w:val="004D24A9"/>
    <w:rsid w:val="004D421C"/>
    <w:rsid w:val="004D4562"/>
    <w:rsid w:val="004D4E6A"/>
    <w:rsid w:val="004D60BC"/>
    <w:rsid w:val="004D6927"/>
    <w:rsid w:val="004D7078"/>
    <w:rsid w:val="004D7F93"/>
    <w:rsid w:val="004E08C8"/>
    <w:rsid w:val="004E0BEB"/>
    <w:rsid w:val="004E0D69"/>
    <w:rsid w:val="004E1E15"/>
    <w:rsid w:val="004E27B9"/>
    <w:rsid w:val="004E2A9B"/>
    <w:rsid w:val="004E313C"/>
    <w:rsid w:val="004E37FB"/>
    <w:rsid w:val="004E41C8"/>
    <w:rsid w:val="004E4A82"/>
    <w:rsid w:val="004E61B4"/>
    <w:rsid w:val="004E6722"/>
    <w:rsid w:val="004E7D7C"/>
    <w:rsid w:val="004F1204"/>
    <w:rsid w:val="004F2981"/>
    <w:rsid w:val="004F29C7"/>
    <w:rsid w:val="004F2BC2"/>
    <w:rsid w:val="004F3172"/>
    <w:rsid w:val="004F4577"/>
    <w:rsid w:val="004F4D93"/>
    <w:rsid w:val="004F515C"/>
    <w:rsid w:val="004F51A0"/>
    <w:rsid w:val="004F53E3"/>
    <w:rsid w:val="004F5E31"/>
    <w:rsid w:val="004F5E35"/>
    <w:rsid w:val="004F733C"/>
    <w:rsid w:val="004F7360"/>
    <w:rsid w:val="005006CF"/>
    <w:rsid w:val="00500A0D"/>
    <w:rsid w:val="00501111"/>
    <w:rsid w:val="00501178"/>
    <w:rsid w:val="00501968"/>
    <w:rsid w:val="00502125"/>
    <w:rsid w:val="00503BB5"/>
    <w:rsid w:val="005040AD"/>
    <w:rsid w:val="005042F3"/>
    <w:rsid w:val="0050455A"/>
    <w:rsid w:val="00504749"/>
    <w:rsid w:val="0050520D"/>
    <w:rsid w:val="0050558E"/>
    <w:rsid w:val="005059AE"/>
    <w:rsid w:val="00505E69"/>
    <w:rsid w:val="00506B7C"/>
    <w:rsid w:val="005070F5"/>
    <w:rsid w:val="00507188"/>
    <w:rsid w:val="0050745A"/>
    <w:rsid w:val="00507AF5"/>
    <w:rsid w:val="005108EC"/>
    <w:rsid w:val="00510E57"/>
    <w:rsid w:val="00510F83"/>
    <w:rsid w:val="00510FD9"/>
    <w:rsid w:val="005122DF"/>
    <w:rsid w:val="00512C36"/>
    <w:rsid w:val="00512F8B"/>
    <w:rsid w:val="00513D76"/>
    <w:rsid w:val="00514054"/>
    <w:rsid w:val="00514999"/>
    <w:rsid w:val="00515B7E"/>
    <w:rsid w:val="00517139"/>
    <w:rsid w:val="0051722D"/>
    <w:rsid w:val="0051780C"/>
    <w:rsid w:val="00520B20"/>
    <w:rsid w:val="0052186C"/>
    <w:rsid w:val="005218CA"/>
    <w:rsid w:val="005228D3"/>
    <w:rsid w:val="00522A75"/>
    <w:rsid w:val="00523935"/>
    <w:rsid w:val="00523C08"/>
    <w:rsid w:val="005242C3"/>
    <w:rsid w:val="0052458E"/>
    <w:rsid w:val="005257EA"/>
    <w:rsid w:val="005262A3"/>
    <w:rsid w:val="005271E3"/>
    <w:rsid w:val="00527462"/>
    <w:rsid w:val="00527C47"/>
    <w:rsid w:val="00527F31"/>
    <w:rsid w:val="00530AD7"/>
    <w:rsid w:val="00531101"/>
    <w:rsid w:val="00532E5D"/>
    <w:rsid w:val="005332DB"/>
    <w:rsid w:val="0053422D"/>
    <w:rsid w:val="00535515"/>
    <w:rsid w:val="00535D0F"/>
    <w:rsid w:val="00535DB1"/>
    <w:rsid w:val="00536045"/>
    <w:rsid w:val="00536869"/>
    <w:rsid w:val="005418F4"/>
    <w:rsid w:val="00542189"/>
    <w:rsid w:val="00542605"/>
    <w:rsid w:val="00542FFD"/>
    <w:rsid w:val="00543625"/>
    <w:rsid w:val="005437A7"/>
    <w:rsid w:val="005438CC"/>
    <w:rsid w:val="00543F5C"/>
    <w:rsid w:val="005448D2"/>
    <w:rsid w:val="0054539A"/>
    <w:rsid w:val="00546829"/>
    <w:rsid w:val="00550144"/>
    <w:rsid w:val="005546CF"/>
    <w:rsid w:val="005551E4"/>
    <w:rsid w:val="00555567"/>
    <w:rsid w:val="005559C7"/>
    <w:rsid w:val="00557781"/>
    <w:rsid w:val="00557E21"/>
    <w:rsid w:val="0056041A"/>
    <w:rsid w:val="005607DB"/>
    <w:rsid w:val="00560898"/>
    <w:rsid w:val="00560D2B"/>
    <w:rsid w:val="005613F3"/>
    <w:rsid w:val="005634E8"/>
    <w:rsid w:val="00563955"/>
    <w:rsid w:val="00563D19"/>
    <w:rsid w:val="0056403E"/>
    <w:rsid w:val="005640C6"/>
    <w:rsid w:val="00564F19"/>
    <w:rsid w:val="00565799"/>
    <w:rsid w:val="005657FA"/>
    <w:rsid w:val="00565E87"/>
    <w:rsid w:val="00566293"/>
    <w:rsid w:val="00567F04"/>
    <w:rsid w:val="0057013B"/>
    <w:rsid w:val="0057207A"/>
    <w:rsid w:val="005725D6"/>
    <w:rsid w:val="00572D82"/>
    <w:rsid w:val="00572EDD"/>
    <w:rsid w:val="00573797"/>
    <w:rsid w:val="00574615"/>
    <w:rsid w:val="005748DF"/>
    <w:rsid w:val="00574B48"/>
    <w:rsid w:val="0057501E"/>
    <w:rsid w:val="005758F0"/>
    <w:rsid w:val="00575920"/>
    <w:rsid w:val="0057640E"/>
    <w:rsid w:val="00577948"/>
    <w:rsid w:val="00580E9B"/>
    <w:rsid w:val="00582BD6"/>
    <w:rsid w:val="00582C45"/>
    <w:rsid w:val="00582FCD"/>
    <w:rsid w:val="00583C40"/>
    <w:rsid w:val="00584082"/>
    <w:rsid w:val="00584DA4"/>
    <w:rsid w:val="00585015"/>
    <w:rsid w:val="00585A6E"/>
    <w:rsid w:val="005864CA"/>
    <w:rsid w:val="005866DE"/>
    <w:rsid w:val="00586A3C"/>
    <w:rsid w:val="00586D37"/>
    <w:rsid w:val="005912D4"/>
    <w:rsid w:val="0059134A"/>
    <w:rsid w:val="00591F29"/>
    <w:rsid w:val="00592186"/>
    <w:rsid w:val="00593917"/>
    <w:rsid w:val="00593D0A"/>
    <w:rsid w:val="0059582B"/>
    <w:rsid w:val="005966BE"/>
    <w:rsid w:val="00596EF0"/>
    <w:rsid w:val="0059754A"/>
    <w:rsid w:val="00597A14"/>
    <w:rsid w:val="00597D31"/>
    <w:rsid w:val="005A0331"/>
    <w:rsid w:val="005A04DA"/>
    <w:rsid w:val="005A1B46"/>
    <w:rsid w:val="005A1DAB"/>
    <w:rsid w:val="005A2D69"/>
    <w:rsid w:val="005A3C7E"/>
    <w:rsid w:val="005A43EA"/>
    <w:rsid w:val="005A4C7E"/>
    <w:rsid w:val="005A6048"/>
    <w:rsid w:val="005A7A56"/>
    <w:rsid w:val="005A7CC3"/>
    <w:rsid w:val="005A7F2F"/>
    <w:rsid w:val="005B1061"/>
    <w:rsid w:val="005B186C"/>
    <w:rsid w:val="005B3105"/>
    <w:rsid w:val="005B3132"/>
    <w:rsid w:val="005B3C6F"/>
    <w:rsid w:val="005B554F"/>
    <w:rsid w:val="005B7230"/>
    <w:rsid w:val="005C0091"/>
    <w:rsid w:val="005C0817"/>
    <w:rsid w:val="005C0BA9"/>
    <w:rsid w:val="005C1E72"/>
    <w:rsid w:val="005C2E27"/>
    <w:rsid w:val="005C3329"/>
    <w:rsid w:val="005C3501"/>
    <w:rsid w:val="005C3922"/>
    <w:rsid w:val="005C3CF3"/>
    <w:rsid w:val="005C4B60"/>
    <w:rsid w:val="005C4D04"/>
    <w:rsid w:val="005C5789"/>
    <w:rsid w:val="005C67D4"/>
    <w:rsid w:val="005C6AC9"/>
    <w:rsid w:val="005C6CAE"/>
    <w:rsid w:val="005C7112"/>
    <w:rsid w:val="005C76A6"/>
    <w:rsid w:val="005D0E78"/>
    <w:rsid w:val="005D1BA9"/>
    <w:rsid w:val="005D26EF"/>
    <w:rsid w:val="005D3124"/>
    <w:rsid w:val="005D3594"/>
    <w:rsid w:val="005D4027"/>
    <w:rsid w:val="005D488B"/>
    <w:rsid w:val="005D4AF6"/>
    <w:rsid w:val="005D4C5B"/>
    <w:rsid w:val="005D568F"/>
    <w:rsid w:val="005D68DF"/>
    <w:rsid w:val="005E000C"/>
    <w:rsid w:val="005E059E"/>
    <w:rsid w:val="005E070F"/>
    <w:rsid w:val="005E0F91"/>
    <w:rsid w:val="005E1437"/>
    <w:rsid w:val="005E2222"/>
    <w:rsid w:val="005E41D6"/>
    <w:rsid w:val="005E42FF"/>
    <w:rsid w:val="005E47CC"/>
    <w:rsid w:val="005E4852"/>
    <w:rsid w:val="005E56D9"/>
    <w:rsid w:val="005E636A"/>
    <w:rsid w:val="005E6C78"/>
    <w:rsid w:val="005E735F"/>
    <w:rsid w:val="005E77CD"/>
    <w:rsid w:val="005E797D"/>
    <w:rsid w:val="005F0D85"/>
    <w:rsid w:val="005F12B3"/>
    <w:rsid w:val="005F1AD5"/>
    <w:rsid w:val="005F2AA4"/>
    <w:rsid w:val="005F4239"/>
    <w:rsid w:val="005F4277"/>
    <w:rsid w:val="005F505C"/>
    <w:rsid w:val="005F50E8"/>
    <w:rsid w:val="005F5307"/>
    <w:rsid w:val="005F55C5"/>
    <w:rsid w:val="005F577B"/>
    <w:rsid w:val="005F583E"/>
    <w:rsid w:val="005F5993"/>
    <w:rsid w:val="005F59F6"/>
    <w:rsid w:val="005F5DC7"/>
    <w:rsid w:val="00600A97"/>
    <w:rsid w:val="00600F22"/>
    <w:rsid w:val="0060122A"/>
    <w:rsid w:val="006019EE"/>
    <w:rsid w:val="0060327E"/>
    <w:rsid w:val="006043F3"/>
    <w:rsid w:val="006051CE"/>
    <w:rsid w:val="006066C3"/>
    <w:rsid w:val="0060788F"/>
    <w:rsid w:val="006100C1"/>
    <w:rsid w:val="0061066D"/>
    <w:rsid w:val="00611807"/>
    <w:rsid w:val="00611935"/>
    <w:rsid w:val="00611A6E"/>
    <w:rsid w:val="0061271A"/>
    <w:rsid w:val="00612E38"/>
    <w:rsid w:val="0061305D"/>
    <w:rsid w:val="006135A3"/>
    <w:rsid w:val="00613FBB"/>
    <w:rsid w:val="00615033"/>
    <w:rsid w:val="00615A68"/>
    <w:rsid w:val="00620512"/>
    <w:rsid w:val="0062131D"/>
    <w:rsid w:val="00622054"/>
    <w:rsid w:val="00622853"/>
    <w:rsid w:val="00622967"/>
    <w:rsid w:val="00622D36"/>
    <w:rsid w:val="00622ED7"/>
    <w:rsid w:val="00623955"/>
    <w:rsid w:val="0062629C"/>
    <w:rsid w:val="006264DA"/>
    <w:rsid w:val="00626A67"/>
    <w:rsid w:val="00626D70"/>
    <w:rsid w:val="006274A9"/>
    <w:rsid w:val="006309EC"/>
    <w:rsid w:val="00630BED"/>
    <w:rsid w:val="006311F6"/>
    <w:rsid w:val="00631884"/>
    <w:rsid w:val="006323B4"/>
    <w:rsid w:val="00632E04"/>
    <w:rsid w:val="0063318E"/>
    <w:rsid w:val="00635A2F"/>
    <w:rsid w:val="00635E5D"/>
    <w:rsid w:val="00636971"/>
    <w:rsid w:val="006374B4"/>
    <w:rsid w:val="006378FA"/>
    <w:rsid w:val="00640DB4"/>
    <w:rsid w:val="006411F6"/>
    <w:rsid w:val="0064154E"/>
    <w:rsid w:val="00641675"/>
    <w:rsid w:val="00642182"/>
    <w:rsid w:val="0064251C"/>
    <w:rsid w:val="00642B88"/>
    <w:rsid w:val="0064456F"/>
    <w:rsid w:val="00644DDF"/>
    <w:rsid w:val="006456B5"/>
    <w:rsid w:val="00647F20"/>
    <w:rsid w:val="0065008E"/>
    <w:rsid w:val="00650669"/>
    <w:rsid w:val="00650AD8"/>
    <w:rsid w:val="006510D7"/>
    <w:rsid w:val="00651881"/>
    <w:rsid w:val="00651996"/>
    <w:rsid w:val="00651E36"/>
    <w:rsid w:val="00651ECB"/>
    <w:rsid w:val="00651FC8"/>
    <w:rsid w:val="0065373F"/>
    <w:rsid w:val="00653B88"/>
    <w:rsid w:val="00653E4C"/>
    <w:rsid w:val="00654330"/>
    <w:rsid w:val="00654B61"/>
    <w:rsid w:val="00656549"/>
    <w:rsid w:val="00656DB9"/>
    <w:rsid w:val="0066093F"/>
    <w:rsid w:val="0066124C"/>
    <w:rsid w:val="0066491B"/>
    <w:rsid w:val="0066532B"/>
    <w:rsid w:val="00665885"/>
    <w:rsid w:val="00666056"/>
    <w:rsid w:val="00666EB0"/>
    <w:rsid w:val="0066735F"/>
    <w:rsid w:val="00667EFE"/>
    <w:rsid w:val="006703DB"/>
    <w:rsid w:val="00670916"/>
    <w:rsid w:val="006715D7"/>
    <w:rsid w:val="00671AA6"/>
    <w:rsid w:val="00672569"/>
    <w:rsid w:val="00672765"/>
    <w:rsid w:val="00672E75"/>
    <w:rsid w:val="0067328F"/>
    <w:rsid w:val="006745C2"/>
    <w:rsid w:val="0067467A"/>
    <w:rsid w:val="006759BB"/>
    <w:rsid w:val="00676E59"/>
    <w:rsid w:val="006778C1"/>
    <w:rsid w:val="00677B0E"/>
    <w:rsid w:val="0068121A"/>
    <w:rsid w:val="006814B6"/>
    <w:rsid w:val="00681CFE"/>
    <w:rsid w:val="00683248"/>
    <w:rsid w:val="00684502"/>
    <w:rsid w:val="00684A31"/>
    <w:rsid w:val="006865C2"/>
    <w:rsid w:val="00686C01"/>
    <w:rsid w:val="0068749C"/>
    <w:rsid w:val="00690471"/>
    <w:rsid w:val="00690E79"/>
    <w:rsid w:val="0069101E"/>
    <w:rsid w:val="00691612"/>
    <w:rsid w:val="00691CFA"/>
    <w:rsid w:val="006923C0"/>
    <w:rsid w:val="006927A4"/>
    <w:rsid w:val="0069307C"/>
    <w:rsid w:val="00693144"/>
    <w:rsid w:val="0069401D"/>
    <w:rsid w:val="00694027"/>
    <w:rsid w:val="0069458F"/>
    <w:rsid w:val="00694CD2"/>
    <w:rsid w:val="006960E0"/>
    <w:rsid w:val="00696607"/>
    <w:rsid w:val="00696630"/>
    <w:rsid w:val="0069671B"/>
    <w:rsid w:val="00696D2B"/>
    <w:rsid w:val="00696EDB"/>
    <w:rsid w:val="00697F8F"/>
    <w:rsid w:val="006A1D22"/>
    <w:rsid w:val="006A31CF"/>
    <w:rsid w:val="006A73CF"/>
    <w:rsid w:val="006A7A0A"/>
    <w:rsid w:val="006B074C"/>
    <w:rsid w:val="006B07A7"/>
    <w:rsid w:val="006B1D54"/>
    <w:rsid w:val="006B31D5"/>
    <w:rsid w:val="006B3C42"/>
    <w:rsid w:val="006B492F"/>
    <w:rsid w:val="006B4C1B"/>
    <w:rsid w:val="006B53AA"/>
    <w:rsid w:val="006B7DEA"/>
    <w:rsid w:val="006B7E4F"/>
    <w:rsid w:val="006B7EDE"/>
    <w:rsid w:val="006C0776"/>
    <w:rsid w:val="006C0DD6"/>
    <w:rsid w:val="006C1888"/>
    <w:rsid w:val="006C1AAE"/>
    <w:rsid w:val="006C2344"/>
    <w:rsid w:val="006C2900"/>
    <w:rsid w:val="006C2F58"/>
    <w:rsid w:val="006C3AE5"/>
    <w:rsid w:val="006C3E90"/>
    <w:rsid w:val="006C458A"/>
    <w:rsid w:val="006C4E06"/>
    <w:rsid w:val="006C56E0"/>
    <w:rsid w:val="006C601C"/>
    <w:rsid w:val="006C688B"/>
    <w:rsid w:val="006C695A"/>
    <w:rsid w:val="006C6F4B"/>
    <w:rsid w:val="006C7364"/>
    <w:rsid w:val="006C7DE7"/>
    <w:rsid w:val="006C7EC2"/>
    <w:rsid w:val="006D0507"/>
    <w:rsid w:val="006D37AC"/>
    <w:rsid w:val="006D421F"/>
    <w:rsid w:val="006D4702"/>
    <w:rsid w:val="006D56F8"/>
    <w:rsid w:val="006E047F"/>
    <w:rsid w:val="006E0CC3"/>
    <w:rsid w:val="006E2BEE"/>
    <w:rsid w:val="006E2C8F"/>
    <w:rsid w:val="006E2D3B"/>
    <w:rsid w:val="006E3331"/>
    <w:rsid w:val="006E355C"/>
    <w:rsid w:val="006E441F"/>
    <w:rsid w:val="006E5121"/>
    <w:rsid w:val="006E728C"/>
    <w:rsid w:val="006E73A0"/>
    <w:rsid w:val="006E75CE"/>
    <w:rsid w:val="006E7693"/>
    <w:rsid w:val="006E7D12"/>
    <w:rsid w:val="006E7EF4"/>
    <w:rsid w:val="006E7FBC"/>
    <w:rsid w:val="006F081E"/>
    <w:rsid w:val="006F0865"/>
    <w:rsid w:val="006F0C22"/>
    <w:rsid w:val="006F161C"/>
    <w:rsid w:val="006F1997"/>
    <w:rsid w:val="006F19B2"/>
    <w:rsid w:val="006F1C0A"/>
    <w:rsid w:val="006F2967"/>
    <w:rsid w:val="006F2CB4"/>
    <w:rsid w:val="006F2E31"/>
    <w:rsid w:val="006F40EA"/>
    <w:rsid w:val="006F429E"/>
    <w:rsid w:val="006F4389"/>
    <w:rsid w:val="006F4D15"/>
    <w:rsid w:val="006F7564"/>
    <w:rsid w:val="006F790A"/>
    <w:rsid w:val="006F7924"/>
    <w:rsid w:val="006F7B42"/>
    <w:rsid w:val="00700066"/>
    <w:rsid w:val="00701CFB"/>
    <w:rsid w:val="00702267"/>
    <w:rsid w:val="00703FF0"/>
    <w:rsid w:val="00704C59"/>
    <w:rsid w:val="00704E58"/>
    <w:rsid w:val="0070559C"/>
    <w:rsid w:val="00705ED4"/>
    <w:rsid w:val="00706040"/>
    <w:rsid w:val="0070617D"/>
    <w:rsid w:val="0070654F"/>
    <w:rsid w:val="00706E42"/>
    <w:rsid w:val="00707579"/>
    <w:rsid w:val="00707CCB"/>
    <w:rsid w:val="007111D4"/>
    <w:rsid w:val="00712B4A"/>
    <w:rsid w:val="00712D6A"/>
    <w:rsid w:val="007134EB"/>
    <w:rsid w:val="0071432B"/>
    <w:rsid w:val="0071462E"/>
    <w:rsid w:val="00714B07"/>
    <w:rsid w:val="00717478"/>
    <w:rsid w:val="00717881"/>
    <w:rsid w:val="007178BA"/>
    <w:rsid w:val="007200EE"/>
    <w:rsid w:val="00720936"/>
    <w:rsid w:val="00720BB5"/>
    <w:rsid w:val="00720EEC"/>
    <w:rsid w:val="0072191A"/>
    <w:rsid w:val="007222D9"/>
    <w:rsid w:val="00722481"/>
    <w:rsid w:val="00723E41"/>
    <w:rsid w:val="007241A9"/>
    <w:rsid w:val="0072446C"/>
    <w:rsid w:val="00725587"/>
    <w:rsid w:val="00725A4B"/>
    <w:rsid w:val="007261C3"/>
    <w:rsid w:val="00726741"/>
    <w:rsid w:val="00727115"/>
    <w:rsid w:val="00731792"/>
    <w:rsid w:val="00731E00"/>
    <w:rsid w:val="00732682"/>
    <w:rsid w:val="00732D16"/>
    <w:rsid w:val="007335F7"/>
    <w:rsid w:val="007337B3"/>
    <w:rsid w:val="00734FE4"/>
    <w:rsid w:val="00735176"/>
    <w:rsid w:val="007354E4"/>
    <w:rsid w:val="0073584D"/>
    <w:rsid w:val="00735E7D"/>
    <w:rsid w:val="00736523"/>
    <w:rsid w:val="00736ABE"/>
    <w:rsid w:val="0073750B"/>
    <w:rsid w:val="00737F4C"/>
    <w:rsid w:val="00740C5A"/>
    <w:rsid w:val="0074230D"/>
    <w:rsid w:val="0074296E"/>
    <w:rsid w:val="00742C5A"/>
    <w:rsid w:val="00743090"/>
    <w:rsid w:val="00743F1E"/>
    <w:rsid w:val="00744604"/>
    <w:rsid w:val="00744BC6"/>
    <w:rsid w:val="00744F51"/>
    <w:rsid w:val="00745088"/>
    <w:rsid w:val="007450CF"/>
    <w:rsid w:val="00745AC5"/>
    <w:rsid w:val="00747BC1"/>
    <w:rsid w:val="00747C17"/>
    <w:rsid w:val="00747D2A"/>
    <w:rsid w:val="00747ED2"/>
    <w:rsid w:val="00751136"/>
    <w:rsid w:val="0075168F"/>
    <w:rsid w:val="007519C0"/>
    <w:rsid w:val="007524FC"/>
    <w:rsid w:val="007536C7"/>
    <w:rsid w:val="007537AB"/>
    <w:rsid w:val="007546DD"/>
    <w:rsid w:val="00754810"/>
    <w:rsid w:val="007552F4"/>
    <w:rsid w:val="007557F7"/>
    <w:rsid w:val="007559D0"/>
    <w:rsid w:val="00756A20"/>
    <w:rsid w:val="00756B7B"/>
    <w:rsid w:val="00756D1B"/>
    <w:rsid w:val="00757581"/>
    <w:rsid w:val="00757A11"/>
    <w:rsid w:val="00757DC2"/>
    <w:rsid w:val="007608DA"/>
    <w:rsid w:val="00761318"/>
    <w:rsid w:val="007616C9"/>
    <w:rsid w:val="007626DC"/>
    <w:rsid w:val="0076341E"/>
    <w:rsid w:val="00763425"/>
    <w:rsid w:val="00763566"/>
    <w:rsid w:val="00763C96"/>
    <w:rsid w:val="00763E6B"/>
    <w:rsid w:val="00764447"/>
    <w:rsid w:val="007649DE"/>
    <w:rsid w:val="00764C6E"/>
    <w:rsid w:val="00764E39"/>
    <w:rsid w:val="00765454"/>
    <w:rsid w:val="00765A5E"/>
    <w:rsid w:val="00767282"/>
    <w:rsid w:val="0076778B"/>
    <w:rsid w:val="00770E94"/>
    <w:rsid w:val="007711B5"/>
    <w:rsid w:val="00771674"/>
    <w:rsid w:val="00771E98"/>
    <w:rsid w:val="0077489E"/>
    <w:rsid w:val="0077597F"/>
    <w:rsid w:val="007760EA"/>
    <w:rsid w:val="0077653C"/>
    <w:rsid w:val="00776E57"/>
    <w:rsid w:val="0077760F"/>
    <w:rsid w:val="00780587"/>
    <w:rsid w:val="00780B83"/>
    <w:rsid w:val="00783839"/>
    <w:rsid w:val="007841BD"/>
    <w:rsid w:val="0078460B"/>
    <w:rsid w:val="00784CD2"/>
    <w:rsid w:val="00786859"/>
    <w:rsid w:val="00787C64"/>
    <w:rsid w:val="00790C7A"/>
    <w:rsid w:val="0079104B"/>
    <w:rsid w:val="00791986"/>
    <w:rsid w:val="00791CBD"/>
    <w:rsid w:val="007923AB"/>
    <w:rsid w:val="00793831"/>
    <w:rsid w:val="00794389"/>
    <w:rsid w:val="0079447A"/>
    <w:rsid w:val="00794B7D"/>
    <w:rsid w:val="00794D93"/>
    <w:rsid w:val="00794FAD"/>
    <w:rsid w:val="00795644"/>
    <w:rsid w:val="0079591F"/>
    <w:rsid w:val="007963B6"/>
    <w:rsid w:val="00796957"/>
    <w:rsid w:val="00796B4E"/>
    <w:rsid w:val="007A0805"/>
    <w:rsid w:val="007A0A8B"/>
    <w:rsid w:val="007A17B1"/>
    <w:rsid w:val="007A36B6"/>
    <w:rsid w:val="007A45DC"/>
    <w:rsid w:val="007A4726"/>
    <w:rsid w:val="007A4D71"/>
    <w:rsid w:val="007A5378"/>
    <w:rsid w:val="007A60DC"/>
    <w:rsid w:val="007A67D9"/>
    <w:rsid w:val="007A781A"/>
    <w:rsid w:val="007A79E7"/>
    <w:rsid w:val="007A7D08"/>
    <w:rsid w:val="007B007E"/>
    <w:rsid w:val="007B0C72"/>
    <w:rsid w:val="007B2BAC"/>
    <w:rsid w:val="007B2E0B"/>
    <w:rsid w:val="007B350D"/>
    <w:rsid w:val="007B3529"/>
    <w:rsid w:val="007B3724"/>
    <w:rsid w:val="007B3771"/>
    <w:rsid w:val="007B460A"/>
    <w:rsid w:val="007B496C"/>
    <w:rsid w:val="007B4E6E"/>
    <w:rsid w:val="007B544E"/>
    <w:rsid w:val="007B57AB"/>
    <w:rsid w:val="007B608F"/>
    <w:rsid w:val="007B7AF2"/>
    <w:rsid w:val="007B7D11"/>
    <w:rsid w:val="007C0ACB"/>
    <w:rsid w:val="007C13FA"/>
    <w:rsid w:val="007C25E1"/>
    <w:rsid w:val="007C33A7"/>
    <w:rsid w:val="007C362D"/>
    <w:rsid w:val="007C3720"/>
    <w:rsid w:val="007C69A3"/>
    <w:rsid w:val="007C69DB"/>
    <w:rsid w:val="007D0959"/>
    <w:rsid w:val="007D0B53"/>
    <w:rsid w:val="007D31E3"/>
    <w:rsid w:val="007D4666"/>
    <w:rsid w:val="007D55C0"/>
    <w:rsid w:val="007D561F"/>
    <w:rsid w:val="007D58A9"/>
    <w:rsid w:val="007D5C3C"/>
    <w:rsid w:val="007D6451"/>
    <w:rsid w:val="007D7B65"/>
    <w:rsid w:val="007D7B7E"/>
    <w:rsid w:val="007E05EE"/>
    <w:rsid w:val="007E119F"/>
    <w:rsid w:val="007E1ED8"/>
    <w:rsid w:val="007E2A5B"/>
    <w:rsid w:val="007E2AA3"/>
    <w:rsid w:val="007E3AC1"/>
    <w:rsid w:val="007E3DF6"/>
    <w:rsid w:val="007E445A"/>
    <w:rsid w:val="007E47F6"/>
    <w:rsid w:val="007E53BD"/>
    <w:rsid w:val="007E5A75"/>
    <w:rsid w:val="007E64EC"/>
    <w:rsid w:val="007E6B1E"/>
    <w:rsid w:val="007E6B28"/>
    <w:rsid w:val="007E70FE"/>
    <w:rsid w:val="007E7A2D"/>
    <w:rsid w:val="007F05CF"/>
    <w:rsid w:val="007F1ADE"/>
    <w:rsid w:val="007F2320"/>
    <w:rsid w:val="007F3F48"/>
    <w:rsid w:val="007F5AAA"/>
    <w:rsid w:val="007F5D5C"/>
    <w:rsid w:val="007F5FB0"/>
    <w:rsid w:val="007F73FF"/>
    <w:rsid w:val="007F74AC"/>
    <w:rsid w:val="007F7CE2"/>
    <w:rsid w:val="0080093D"/>
    <w:rsid w:val="00800F04"/>
    <w:rsid w:val="00802131"/>
    <w:rsid w:val="008021C1"/>
    <w:rsid w:val="0080287E"/>
    <w:rsid w:val="00803538"/>
    <w:rsid w:val="00803905"/>
    <w:rsid w:val="00803923"/>
    <w:rsid w:val="00803B9E"/>
    <w:rsid w:val="00804E47"/>
    <w:rsid w:val="0080527E"/>
    <w:rsid w:val="008057BF"/>
    <w:rsid w:val="00805CFA"/>
    <w:rsid w:val="00805F6C"/>
    <w:rsid w:val="0080606A"/>
    <w:rsid w:val="00806730"/>
    <w:rsid w:val="00806CBE"/>
    <w:rsid w:val="008102E4"/>
    <w:rsid w:val="0081089D"/>
    <w:rsid w:val="008121CC"/>
    <w:rsid w:val="00812386"/>
    <w:rsid w:val="00812724"/>
    <w:rsid w:val="008129A9"/>
    <w:rsid w:val="00812E3A"/>
    <w:rsid w:val="00812EC2"/>
    <w:rsid w:val="00813370"/>
    <w:rsid w:val="008138E5"/>
    <w:rsid w:val="00815694"/>
    <w:rsid w:val="00816D59"/>
    <w:rsid w:val="00816E9A"/>
    <w:rsid w:val="00816EC0"/>
    <w:rsid w:val="00816FE7"/>
    <w:rsid w:val="00817E13"/>
    <w:rsid w:val="00821CFB"/>
    <w:rsid w:val="008227A5"/>
    <w:rsid w:val="00822D54"/>
    <w:rsid w:val="00823038"/>
    <w:rsid w:val="00823EEB"/>
    <w:rsid w:val="008240BE"/>
    <w:rsid w:val="00825D24"/>
    <w:rsid w:val="00826C0C"/>
    <w:rsid w:val="00826FC1"/>
    <w:rsid w:val="00827B04"/>
    <w:rsid w:val="00827FBB"/>
    <w:rsid w:val="008302B3"/>
    <w:rsid w:val="00830C66"/>
    <w:rsid w:val="00832714"/>
    <w:rsid w:val="00833762"/>
    <w:rsid w:val="00833D98"/>
    <w:rsid w:val="00834E19"/>
    <w:rsid w:val="00835090"/>
    <w:rsid w:val="00835258"/>
    <w:rsid w:val="00835B2D"/>
    <w:rsid w:val="00835EEC"/>
    <w:rsid w:val="0084031A"/>
    <w:rsid w:val="00840B12"/>
    <w:rsid w:val="00841928"/>
    <w:rsid w:val="00841B7C"/>
    <w:rsid w:val="00841DD3"/>
    <w:rsid w:val="00841E2D"/>
    <w:rsid w:val="00842E86"/>
    <w:rsid w:val="008447BC"/>
    <w:rsid w:val="00844CF2"/>
    <w:rsid w:val="008453CC"/>
    <w:rsid w:val="008456C0"/>
    <w:rsid w:val="00845DD5"/>
    <w:rsid w:val="008460E2"/>
    <w:rsid w:val="008469C9"/>
    <w:rsid w:val="0084767D"/>
    <w:rsid w:val="0084798F"/>
    <w:rsid w:val="008509C3"/>
    <w:rsid w:val="00850BD6"/>
    <w:rsid w:val="00850D8D"/>
    <w:rsid w:val="00851791"/>
    <w:rsid w:val="0085179C"/>
    <w:rsid w:val="008517FE"/>
    <w:rsid w:val="0085216B"/>
    <w:rsid w:val="00853E1F"/>
    <w:rsid w:val="00854CDE"/>
    <w:rsid w:val="00855187"/>
    <w:rsid w:val="008559DA"/>
    <w:rsid w:val="00855C6F"/>
    <w:rsid w:val="008565A1"/>
    <w:rsid w:val="00856D05"/>
    <w:rsid w:val="00857BCD"/>
    <w:rsid w:val="008609F1"/>
    <w:rsid w:val="00860DB6"/>
    <w:rsid w:val="00860E31"/>
    <w:rsid w:val="00861722"/>
    <w:rsid w:val="008617BB"/>
    <w:rsid w:val="00861C08"/>
    <w:rsid w:val="00861C6E"/>
    <w:rsid w:val="00861D0E"/>
    <w:rsid w:val="00861D3A"/>
    <w:rsid w:val="00861DB9"/>
    <w:rsid w:val="00862608"/>
    <w:rsid w:val="008632A8"/>
    <w:rsid w:val="00864AA6"/>
    <w:rsid w:val="00864E57"/>
    <w:rsid w:val="0086564E"/>
    <w:rsid w:val="00865954"/>
    <w:rsid w:val="00865BB1"/>
    <w:rsid w:val="00865FE0"/>
    <w:rsid w:val="008665BF"/>
    <w:rsid w:val="0086675B"/>
    <w:rsid w:val="00866E81"/>
    <w:rsid w:val="00867165"/>
    <w:rsid w:val="00870556"/>
    <w:rsid w:val="00870F55"/>
    <w:rsid w:val="0087242C"/>
    <w:rsid w:val="00873A76"/>
    <w:rsid w:val="00873F30"/>
    <w:rsid w:val="00875388"/>
    <w:rsid w:val="00877400"/>
    <w:rsid w:val="008801C4"/>
    <w:rsid w:val="00880BC6"/>
    <w:rsid w:val="00881863"/>
    <w:rsid w:val="00882BC9"/>
    <w:rsid w:val="00883D4E"/>
    <w:rsid w:val="00884E94"/>
    <w:rsid w:val="008853D7"/>
    <w:rsid w:val="00886323"/>
    <w:rsid w:val="00886B77"/>
    <w:rsid w:val="00887B2B"/>
    <w:rsid w:val="00890FBA"/>
    <w:rsid w:val="00892942"/>
    <w:rsid w:val="0089306A"/>
    <w:rsid w:val="00894318"/>
    <w:rsid w:val="0089435C"/>
    <w:rsid w:val="0089473A"/>
    <w:rsid w:val="00894AF2"/>
    <w:rsid w:val="008960EC"/>
    <w:rsid w:val="008968BB"/>
    <w:rsid w:val="00896F9C"/>
    <w:rsid w:val="008A15CA"/>
    <w:rsid w:val="008A1F72"/>
    <w:rsid w:val="008A2609"/>
    <w:rsid w:val="008A276A"/>
    <w:rsid w:val="008A3198"/>
    <w:rsid w:val="008A3D10"/>
    <w:rsid w:val="008A475C"/>
    <w:rsid w:val="008A4D4B"/>
    <w:rsid w:val="008A554C"/>
    <w:rsid w:val="008A61AF"/>
    <w:rsid w:val="008A67E8"/>
    <w:rsid w:val="008A6A8B"/>
    <w:rsid w:val="008A7695"/>
    <w:rsid w:val="008A78E3"/>
    <w:rsid w:val="008B08CF"/>
    <w:rsid w:val="008B0B90"/>
    <w:rsid w:val="008B10F8"/>
    <w:rsid w:val="008B161D"/>
    <w:rsid w:val="008B195F"/>
    <w:rsid w:val="008B1AD5"/>
    <w:rsid w:val="008B1D13"/>
    <w:rsid w:val="008B1D36"/>
    <w:rsid w:val="008B235E"/>
    <w:rsid w:val="008B3DEB"/>
    <w:rsid w:val="008B5585"/>
    <w:rsid w:val="008B5DFD"/>
    <w:rsid w:val="008B6231"/>
    <w:rsid w:val="008B6DB9"/>
    <w:rsid w:val="008B7F88"/>
    <w:rsid w:val="008C0219"/>
    <w:rsid w:val="008C0294"/>
    <w:rsid w:val="008C18E4"/>
    <w:rsid w:val="008C1D69"/>
    <w:rsid w:val="008C20BF"/>
    <w:rsid w:val="008C213C"/>
    <w:rsid w:val="008C2284"/>
    <w:rsid w:val="008C23E2"/>
    <w:rsid w:val="008C269B"/>
    <w:rsid w:val="008C2A3F"/>
    <w:rsid w:val="008C32A9"/>
    <w:rsid w:val="008C36CD"/>
    <w:rsid w:val="008C3B75"/>
    <w:rsid w:val="008C4621"/>
    <w:rsid w:val="008C463D"/>
    <w:rsid w:val="008C4813"/>
    <w:rsid w:val="008C4FC3"/>
    <w:rsid w:val="008C551D"/>
    <w:rsid w:val="008C59F8"/>
    <w:rsid w:val="008C636D"/>
    <w:rsid w:val="008C6C38"/>
    <w:rsid w:val="008C748D"/>
    <w:rsid w:val="008C7C61"/>
    <w:rsid w:val="008D0804"/>
    <w:rsid w:val="008D0900"/>
    <w:rsid w:val="008D1842"/>
    <w:rsid w:val="008D2AE7"/>
    <w:rsid w:val="008D49FF"/>
    <w:rsid w:val="008D6F54"/>
    <w:rsid w:val="008D70C6"/>
    <w:rsid w:val="008D7B4D"/>
    <w:rsid w:val="008E02BE"/>
    <w:rsid w:val="008E0E5B"/>
    <w:rsid w:val="008E15C8"/>
    <w:rsid w:val="008E1CE6"/>
    <w:rsid w:val="008E2D3A"/>
    <w:rsid w:val="008E31F3"/>
    <w:rsid w:val="008E3F8C"/>
    <w:rsid w:val="008E4157"/>
    <w:rsid w:val="008E4275"/>
    <w:rsid w:val="008E4434"/>
    <w:rsid w:val="008E4D19"/>
    <w:rsid w:val="008E5A85"/>
    <w:rsid w:val="008E681E"/>
    <w:rsid w:val="008E6D46"/>
    <w:rsid w:val="008E72A1"/>
    <w:rsid w:val="008F0DE3"/>
    <w:rsid w:val="008F1011"/>
    <w:rsid w:val="008F1536"/>
    <w:rsid w:val="008F2063"/>
    <w:rsid w:val="008F2F3C"/>
    <w:rsid w:val="008F325D"/>
    <w:rsid w:val="008F38E6"/>
    <w:rsid w:val="008F4317"/>
    <w:rsid w:val="008F4C4F"/>
    <w:rsid w:val="008F5F2D"/>
    <w:rsid w:val="008F6019"/>
    <w:rsid w:val="008F6033"/>
    <w:rsid w:val="008F6E8E"/>
    <w:rsid w:val="008F7DEF"/>
    <w:rsid w:val="00900D13"/>
    <w:rsid w:val="00900DB6"/>
    <w:rsid w:val="0090126D"/>
    <w:rsid w:val="009014F2"/>
    <w:rsid w:val="00901503"/>
    <w:rsid w:val="00901D90"/>
    <w:rsid w:val="00902504"/>
    <w:rsid w:val="00902DF1"/>
    <w:rsid w:val="0090407E"/>
    <w:rsid w:val="009049A6"/>
    <w:rsid w:val="00904EA5"/>
    <w:rsid w:val="00905172"/>
    <w:rsid w:val="00905676"/>
    <w:rsid w:val="00905881"/>
    <w:rsid w:val="00910F7E"/>
    <w:rsid w:val="00911897"/>
    <w:rsid w:val="009118AB"/>
    <w:rsid w:val="0091224B"/>
    <w:rsid w:val="00912A1A"/>
    <w:rsid w:val="00913329"/>
    <w:rsid w:val="00914736"/>
    <w:rsid w:val="00914B87"/>
    <w:rsid w:val="00914D04"/>
    <w:rsid w:val="009155DD"/>
    <w:rsid w:val="00915B9D"/>
    <w:rsid w:val="00915E4A"/>
    <w:rsid w:val="00916195"/>
    <w:rsid w:val="00916CF1"/>
    <w:rsid w:val="00917C48"/>
    <w:rsid w:val="00917FAE"/>
    <w:rsid w:val="009209AC"/>
    <w:rsid w:val="009228DB"/>
    <w:rsid w:val="00923316"/>
    <w:rsid w:val="0092472C"/>
    <w:rsid w:val="00924A05"/>
    <w:rsid w:val="009263DF"/>
    <w:rsid w:val="00927518"/>
    <w:rsid w:val="009306F5"/>
    <w:rsid w:val="00932879"/>
    <w:rsid w:val="009343D1"/>
    <w:rsid w:val="0093474B"/>
    <w:rsid w:val="00934F5E"/>
    <w:rsid w:val="009351B2"/>
    <w:rsid w:val="00935672"/>
    <w:rsid w:val="00935BBC"/>
    <w:rsid w:val="0093611F"/>
    <w:rsid w:val="00937871"/>
    <w:rsid w:val="00937DCB"/>
    <w:rsid w:val="0094024F"/>
    <w:rsid w:val="00940498"/>
    <w:rsid w:val="00940637"/>
    <w:rsid w:val="00941C22"/>
    <w:rsid w:val="009422B4"/>
    <w:rsid w:val="009426DE"/>
    <w:rsid w:val="0094276E"/>
    <w:rsid w:val="00942AB7"/>
    <w:rsid w:val="00943189"/>
    <w:rsid w:val="00943243"/>
    <w:rsid w:val="009441B9"/>
    <w:rsid w:val="009441C0"/>
    <w:rsid w:val="0094485C"/>
    <w:rsid w:val="00944A97"/>
    <w:rsid w:val="00944CCA"/>
    <w:rsid w:val="00944E2E"/>
    <w:rsid w:val="00945208"/>
    <w:rsid w:val="00945F99"/>
    <w:rsid w:val="00946164"/>
    <w:rsid w:val="00946748"/>
    <w:rsid w:val="009478AB"/>
    <w:rsid w:val="00947F57"/>
    <w:rsid w:val="00950844"/>
    <w:rsid w:val="009508BB"/>
    <w:rsid w:val="0095111C"/>
    <w:rsid w:val="009516A7"/>
    <w:rsid w:val="00951A34"/>
    <w:rsid w:val="00952146"/>
    <w:rsid w:val="0095238A"/>
    <w:rsid w:val="0095273D"/>
    <w:rsid w:val="00952E2D"/>
    <w:rsid w:val="00952F4A"/>
    <w:rsid w:val="00954408"/>
    <w:rsid w:val="00954D0E"/>
    <w:rsid w:val="0095616E"/>
    <w:rsid w:val="0095690B"/>
    <w:rsid w:val="0095775A"/>
    <w:rsid w:val="00957A9A"/>
    <w:rsid w:val="00957F76"/>
    <w:rsid w:val="00961BCE"/>
    <w:rsid w:val="0096300A"/>
    <w:rsid w:val="0096384F"/>
    <w:rsid w:val="00963969"/>
    <w:rsid w:val="00963C5A"/>
    <w:rsid w:val="009668BE"/>
    <w:rsid w:val="00967001"/>
    <w:rsid w:val="00967284"/>
    <w:rsid w:val="009675D7"/>
    <w:rsid w:val="009703A1"/>
    <w:rsid w:val="009735B5"/>
    <w:rsid w:val="00973658"/>
    <w:rsid w:val="00974817"/>
    <w:rsid w:val="00974E10"/>
    <w:rsid w:val="0097501F"/>
    <w:rsid w:val="00975787"/>
    <w:rsid w:val="00975E8A"/>
    <w:rsid w:val="009765A4"/>
    <w:rsid w:val="009768B8"/>
    <w:rsid w:val="009826B1"/>
    <w:rsid w:val="00982D74"/>
    <w:rsid w:val="0098487B"/>
    <w:rsid w:val="0098493B"/>
    <w:rsid w:val="00986D30"/>
    <w:rsid w:val="00990836"/>
    <w:rsid w:val="009916CE"/>
    <w:rsid w:val="00993975"/>
    <w:rsid w:val="009939C6"/>
    <w:rsid w:val="00993BFC"/>
    <w:rsid w:val="00994763"/>
    <w:rsid w:val="009948B1"/>
    <w:rsid w:val="009949CA"/>
    <w:rsid w:val="00995195"/>
    <w:rsid w:val="00995B3B"/>
    <w:rsid w:val="0099682F"/>
    <w:rsid w:val="009971FE"/>
    <w:rsid w:val="0099781B"/>
    <w:rsid w:val="00997E7E"/>
    <w:rsid w:val="009A1638"/>
    <w:rsid w:val="009A4C53"/>
    <w:rsid w:val="009A58CE"/>
    <w:rsid w:val="009B0414"/>
    <w:rsid w:val="009B1F40"/>
    <w:rsid w:val="009B350F"/>
    <w:rsid w:val="009B38BC"/>
    <w:rsid w:val="009B41C3"/>
    <w:rsid w:val="009B4D1B"/>
    <w:rsid w:val="009B62AA"/>
    <w:rsid w:val="009B6AE0"/>
    <w:rsid w:val="009B7319"/>
    <w:rsid w:val="009C005D"/>
    <w:rsid w:val="009C0249"/>
    <w:rsid w:val="009C0371"/>
    <w:rsid w:val="009C1607"/>
    <w:rsid w:val="009C1AD0"/>
    <w:rsid w:val="009C4072"/>
    <w:rsid w:val="009C4102"/>
    <w:rsid w:val="009C4456"/>
    <w:rsid w:val="009C59B5"/>
    <w:rsid w:val="009C5DEC"/>
    <w:rsid w:val="009C618C"/>
    <w:rsid w:val="009D1B1C"/>
    <w:rsid w:val="009D2D33"/>
    <w:rsid w:val="009D2E3B"/>
    <w:rsid w:val="009D3D6C"/>
    <w:rsid w:val="009D4099"/>
    <w:rsid w:val="009D5406"/>
    <w:rsid w:val="009D6D4E"/>
    <w:rsid w:val="009D7148"/>
    <w:rsid w:val="009D7A04"/>
    <w:rsid w:val="009D7D5E"/>
    <w:rsid w:val="009E0CBB"/>
    <w:rsid w:val="009E17B0"/>
    <w:rsid w:val="009E1AA4"/>
    <w:rsid w:val="009E1AB9"/>
    <w:rsid w:val="009E1C17"/>
    <w:rsid w:val="009E2FA7"/>
    <w:rsid w:val="009E40C9"/>
    <w:rsid w:val="009E540A"/>
    <w:rsid w:val="009E64C6"/>
    <w:rsid w:val="009E6A84"/>
    <w:rsid w:val="009E744B"/>
    <w:rsid w:val="009E7C04"/>
    <w:rsid w:val="009F0221"/>
    <w:rsid w:val="009F0338"/>
    <w:rsid w:val="009F0CBF"/>
    <w:rsid w:val="009F175C"/>
    <w:rsid w:val="009F269E"/>
    <w:rsid w:val="009F3259"/>
    <w:rsid w:val="009F3DC3"/>
    <w:rsid w:val="009F3F74"/>
    <w:rsid w:val="009F432D"/>
    <w:rsid w:val="009F459D"/>
    <w:rsid w:val="009F4BCF"/>
    <w:rsid w:val="009F6360"/>
    <w:rsid w:val="009F7424"/>
    <w:rsid w:val="009F77F7"/>
    <w:rsid w:val="00A000F3"/>
    <w:rsid w:val="00A00BA7"/>
    <w:rsid w:val="00A01434"/>
    <w:rsid w:val="00A01BD9"/>
    <w:rsid w:val="00A01C3F"/>
    <w:rsid w:val="00A0208C"/>
    <w:rsid w:val="00A02CFC"/>
    <w:rsid w:val="00A0540F"/>
    <w:rsid w:val="00A055F6"/>
    <w:rsid w:val="00A0640C"/>
    <w:rsid w:val="00A06B23"/>
    <w:rsid w:val="00A06DB4"/>
    <w:rsid w:val="00A1131D"/>
    <w:rsid w:val="00A11AA2"/>
    <w:rsid w:val="00A11BAA"/>
    <w:rsid w:val="00A11CB7"/>
    <w:rsid w:val="00A12108"/>
    <w:rsid w:val="00A12650"/>
    <w:rsid w:val="00A13248"/>
    <w:rsid w:val="00A13328"/>
    <w:rsid w:val="00A1408B"/>
    <w:rsid w:val="00A149C3"/>
    <w:rsid w:val="00A157A4"/>
    <w:rsid w:val="00A15F0F"/>
    <w:rsid w:val="00A16437"/>
    <w:rsid w:val="00A17679"/>
    <w:rsid w:val="00A1786E"/>
    <w:rsid w:val="00A1797C"/>
    <w:rsid w:val="00A20372"/>
    <w:rsid w:val="00A22290"/>
    <w:rsid w:val="00A223B3"/>
    <w:rsid w:val="00A22B07"/>
    <w:rsid w:val="00A22C0E"/>
    <w:rsid w:val="00A22D7B"/>
    <w:rsid w:val="00A231F6"/>
    <w:rsid w:val="00A23F11"/>
    <w:rsid w:val="00A25681"/>
    <w:rsid w:val="00A25D99"/>
    <w:rsid w:val="00A264DD"/>
    <w:rsid w:val="00A266B8"/>
    <w:rsid w:val="00A266E9"/>
    <w:rsid w:val="00A26DE4"/>
    <w:rsid w:val="00A26F55"/>
    <w:rsid w:val="00A27041"/>
    <w:rsid w:val="00A27481"/>
    <w:rsid w:val="00A3303C"/>
    <w:rsid w:val="00A3349C"/>
    <w:rsid w:val="00A33528"/>
    <w:rsid w:val="00A33655"/>
    <w:rsid w:val="00A33701"/>
    <w:rsid w:val="00A33A24"/>
    <w:rsid w:val="00A3510A"/>
    <w:rsid w:val="00A35B44"/>
    <w:rsid w:val="00A365A7"/>
    <w:rsid w:val="00A368D5"/>
    <w:rsid w:val="00A36FBE"/>
    <w:rsid w:val="00A370BE"/>
    <w:rsid w:val="00A372C8"/>
    <w:rsid w:val="00A377A3"/>
    <w:rsid w:val="00A37D03"/>
    <w:rsid w:val="00A37E9C"/>
    <w:rsid w:val="00A407E5"/>
    <w:rsid w:val="00A4088A"/>
    <w:rsid w:val="00A40913"/>
    <w:rsid w:val="00A40E47"/>
    <w:rsid w:val="00A4200D"/>
    <w:rsid w:val="00A4245A"/>
    <w:rsid w:val="00A425D3"/>
    <w:rsid w:val="00A42889"/>
    <w:rsid w:val="00A438F8"/>
    <w:rsid w:val="00A43E51"/>
    <w:rsid w:val="00A44EFE"/>
    <w:rsid w:val="00A45034"/>
    <w:rsid w:val="00A45601"/>
    <w:rsid w:val="00A467B6"/>
    <w:rsid w:val="00A50892"/>
    <w:rsid w:val="00A51A60"/>
    <w:rsid w:val="00A52456"/>
    <w:rsid w:val="00A527A4"/>
    <w:rsid w:val="00A53786"/>
    <w:rsid w:val="00A54894"/>
    <w:rsid w:val="00A558C8"/>
    <w:rsid w:val="00A55D3A"/>
    <w:rsid w:val="00A56371"/>
    <w:rsid w:val="00A56F6B"/>
    <w:rsid w:val="00A57F59"/>
    <w:rsid w:val="00A6179F"/>
    <w:rsid w:val="00A61CEB"/>
    <w:rsid w:val="00A62506"/>
    <w:rsid w:val="00A62A42"/>
    <w:rsid w:val="00A63219"/>
    <w:rsid w:val="00A63291"/>
    <w:rsid w:val="00A646C8"/>
    <w:rsid w:val="00A64C0E"/>
    <w:rsid w:val="00A64E02"/>
    <w:rsid w:val="00A65C9F"/>
    <w:rsid w:val="00A6644E"/>
    <w:rsid w:val="00A66E0E"/>
    <w:rsid w:val="00A671F9"/>
    <w:rsid w:val="00A67AFA"/>
    <w:rsid w:val="00A70DDF"/>
    <w:rsid w:val="00A712D1"/>
    <w:rsid w:val="00A725FD"/>
    <w:rsid w:val="00A72AD1"/>
    <w:rsid w:val="00A73136"/>
    <w:rsid w:val="00A74302"/>
    <w:rsid w:val="00A74952"/>
    <w:rsid w:val="00A756DF"/>
    <w:rsid w:val="00A776A4"/>
    <w:rsid w:val="00A778F3"/>
    <w:rsid w:val="00A803B1"/>
    <w:rsid w:val="00A81329"/>
    <w:rsid w:val="00A82FDC"/>
    <w:rsid w:val="00A838F9"/>
    <w:rsid w:val="00A83ED8"/>
    <w:rsid w:val="00A84055"/>
    <w:rsid w:val="00A844C3"/>
    <w:rsid w:val="00A84B04"/>
    <w:rsid w:val="00A84F9B"/>
    <w:rsid w:val="00A853AC"/>
    <w:rsid w:val="00A85CB7"/>
    <w:rsid w:val="00A86463"/>
    <w:rsid w:val="00A871EE"/>
    <w:rsid w:val="00A87979"/>
    <w:rsid w:val="00A87A2C"/>
    <w:rsid w:val="00A90810"/>
    <w:rsid w:val="00A911C4"/>
    <w:rsid w:val="00A91525"/>
    <w:rsid w:val="00A91B99"/>
    <w:rsid w:val="00A9230F"/>
    <w:rsid w:val="00A923FA"/>
    <w:rsid w:val="00A9373B"/>
    <w:rsid w:val="00A937CD"/>
    <w:rsid w:val="00A93C46"/>
    <w:rsid w:val="00A94737"/>
    <w:rsid w:val="00A950B2"/>
    <w:rsid w:val="00A95101"/>
    <w:rsid w:val="00A9522D"/>
    <w:rsid w:val="00A95827"/>
    <w:rsid w:val="00A958A0"/>
    <w:rsid w:val="00A958B8"/>
    <w:rsid w:val="00A95C76"/>
    <w:rsid w:val="00A96E18"/>
    <w:rsid w:val="00AA0EA2"/>
    <w:rsid w:val="00AA20F3"/>
    <w:rsid w:val="00AA341C"/>
    <w:rsid w:val="00AA3BC4"/>
    <w:rsid w:val="00AA3E2F"/>
    <w:rsid w:val="00AA4690"/>
    <w:rsid w:val="00AA5BF6"/>
    <w:rsid w:val="00AA75A8"/>
    <w:rsid w:val="00AA75EE"/>
    <w:rsid w:val="00AA7BCF"/>
    <w:rsid w:val="00AB0102"/>
    <w:rsid w:val="00AB09EA"/>
    <w:rsid w:val="00AB0C20"/>
    <w:rsid w:val="00AB0EFB"/>
    <w:rsid w:val="00AB16ED"/>
    <w:rsid w:val="00AB2E92"/>
    <w:rsid w:val="00AB3CBA"/>
    <w:rsid w:val="00AB4112"/>
    <w:rsid w:val="00AB4ECA"/>
    <w:rsid w:val="00AB5330"/>
    <w:rsid w:val="00AB5643"/>
    <w:rsid w:val="00AB5B05"/>
    <w:rsid w:val="00AB6590"/>
    <w:rsid w:val="00AB6B25"/>
    <w:rsid w:val="00AB7D1C"/>
    <w:rsid w:val="00AC1037"/>
    <w:rsid w:val="00AC11F1"/>
    <w:rsid w:val="00AC342D"/>
    <w:rsid w:val="00AC3A35"/>
    <w:rsid w:val="00AC3D21"/>
    <w:rsid w:val="00AC4404"/>
    <w:rsid w:val="00AC4984"/>
    <w:rsid w:val="00AC6167"/>
    <w:rsid w:val="00AC625C"/>
    <w:rsid w:val="00AC67EF"/>
    <w:rsid w:val="00AC7219"/>
    <w:rsid w:val="00AC79CA"/>
    <w:rsid w:val="00AD0A7F"/>
    <w:rsid w:val="00AD0B4A"/>
    <w:rsid w:val="00AD0C84"/>
    <w:rsid w:val="00AD1844"/>
    <w:rsid w:val="00AD1F81"/>
    <w:rsid w:val="00AD2D7E"/>
    <w:rsid w:val="00AD33EE"/>
    <w:rsid w:val="00AD35BD"/>
    <w:rsid w:val="00AD370F"/>
    <w:rsid w:val="00AD3BC6"/>
    <w:rsid w:val="00AD4570"/>
    <w:rsid w:val="00AD4CE2"/>
    <w:rsid w:val="00AD4FAF"/>
    <w:rsid w:val="00AD516B"/>
    <w:rsid w:val="00AD5EF6"/>
    <w:rsid w:val="00AD5F90"/>
    <w:rsid w:val="00AD5FB4"/>
    <w:rsid w:val="00AD6045"/>
    <w:rsid w:val="00AD6115"/>
    <w:rsid w:val="00AD6185"/>
    <w:rsid w:val="00AD65BE"/>
    <w:rsid w:val="00AD6E41"/>
    <w:rsid w:val="00AD7796"/>
    <w:rsid w:val="00AD7BF9"/>
    <w:rsid w:val="00AE01E9"/>
    <w:rsid w:val="00AE03BE"/>
    <w:rsid w:val="00AE04EB"/>
    <w:rsid w:val="00AE2625"/>
    <w:rsid w:val="00AE2CFC"/>
    <w:rsid w:val="00AE3603"/>
    <w:rsid w:val="00AE3C4D"/>
    <w:rsid w:val="00AE50C1"/>
    <w:rsid w:val="00AE50E7"/>
    <w:rsid w:val="00AE583C"/>
    <w:rsid w:val="00AE6338"/>
    <w:rsid w:val="00AE69EC"/>
    <w:rsid w:val="00AF1092"/>
    <w:rsid w:val="00AF1A01"/>
    <w:rsid w:val="00AF1B2A"/>
    <w:rsid w:val="00AF2344"/>
    <w:rsid w:val="00AF2374"/>
    <w:rsid w:val="00AF2C43"/>
    <w:rsid w:val="00AF34C4"/>
    <w:rsid w:val="00AF3986"/>
    <w:rsid w:val="00AF3C7F"/>
    <w:rsid w:val="00AF40FF"/>
    <w:rsid w:val="00AF4E25"/>
    <w:rsid w:val="00AF5C10"/>
    <w:rsid w:val="00AF698E"/>
    <w:rsid w:val="00AF6A4E"/>
    <w:rsid w:val="00AF70FE"/>
    <w:rsid w:val="00AF76A1"/>
    <w:rsid w:val="00B0041F"/>
    <w:rsid w:val="00B00B78"/>
    <w:rsid w:val="00B01A28"/>
    <w:rsid w:val="00B01F10"/>
    <w:rsid w:val="00B02D94"/>
    <w:rsid w:val="00B02FE7"/>
    <w:rsid w:val="00B043DD"/>
    <w:rsid w:val="00B0470E"/>
    <w:rsid w:val="00B0575F"/>
    <w:rsid w:val="00B05D92"/>
    <w:rsid w:val="00B05E82"/>
    <w:rsid w:val="00B06BF9"/>
    <w:rsid w:val="00B06C4C"/>
    <w:rsid w:val="00B07FBF"/>
    <w:rsid w:val="00B11C33"/>
    <w:rsid w:val="00B11CD9"/>
    <w:rsid w:val="00B121DB"/>
    <w:rsid w:val="00B129E7"/>
    <w:rsid w:val="00B132CB"/>
    <w:rsid w:val="00B135D8"/>
    <w:rsid w:val="00B14019"/>
    <w:rsid w:val="00B14575"/>
    <w:rsid w:val="00B14D69"/>
    <w:rsid w:val="00B151D7"/>
    <w:rsid w:val="00B164B4"/>
    <w:rsid w:val="00B16C75"/>
    <w:rsid w:val="00B16EDA"/>
    <w:rsid w:val="00B178DF"/>
    <w:rsid w:val="00B17D40"/>
    <w:rsid w:val="00B20759"/>
    <w:rsid w:val="00B208D0"/>
    <w:rsid w:val="00B22449"/>
    <w:rsid w:val="00B2268B"/>
    <w:rsid w:val="00B22843"/>
    <w:rsid w:val="00B22C24"/>
    <w:rsid w:val="00B23538"/>
    <w:rsid w:val="00B24DDC"/>
    <w:rsid w:val="00B25344"/>
    <w:rsid w:val="00B2558C"/>
    <w:rsid w:val="00B25865"/>
    <w:rsid w:val="00B25A5E"/>
    <w:rsid w:val="00B25C88"/>
    <w:rsid w:val="00B262FE"/>
    <w:rsid w:val="00B263D9"/>
    <w:rsid w:val="00B26582"/>
    <w:rsid w:val="00B27FA9"/>
    <w:rsid w:val="00B30A86"/>
    <w:rsid w:val="00B30BA8"/>
    <w:rsid w:val="00B30F6A"/>
    <w:rsid w:val="00B31220"/>
    <w:rsid w:val="00B3159A"/>
    <w:rsid w:val="00B318C9"/>
    <w:rsid w:val="00B33159"/>
    <w:rsid w:val="00B33951"/>
    <w:rsid w:val="00B34433"/>
    <w:rsid w:val="00B3602C"/>
    <w:rsid w:val="00B3685D"/>
    <w:rsid w:val="00B3727A"/>
    <w:rsid w:val="00B375C2"/>
    <w:rsid w:val="00B376C4"/>
    <w:rsid w:val="00B4127F"/>
    <w:rsid w:val="00B422D5"/>
    <w:rsid w:val="00B42377"/>
    <w:rsid w:val="00B428DE"/>
    <w:rsid w:val="00B4373E"/>
    <w:rsid w:val="00B43A1A"/>
    <w:rsid w:val="00B4462A"/>
    <w:rsid w:val="00B449A4"/>
    <w:rsid w:val="00B449B6"/>
    <w:rsid w:val="00B4588C"/>
    <w:rsid w:val="00B4740E"/>
    <w:rsid w:val="00B500C9"/>
    <w:rsid w:val="00B503B8"/>
    <w:rsid w:val="00B512CD"/>
    <w:rsid w:val="00B516FD"/>
    <w:rsid w:val="00B53E39"/>
    <w:rsid w:val="00B54547"/>
    <w:rsid w:val="00B548C3"/>
    <w:rsid w:val="00B55E64"/>
    <w:rsid w:val="00B560E1"/>
    <w:rsid w:val="00B57366"/>
    <w:rsid w:val="00B60E19"/>
    <w:rsid w:val="00B61364"/>
    <w:rsid w:val="00B61AFE"/>
    <w:rsid w:val="00B61C32"/>
    <w:rsid w:val="00B62310"/>
    <w:rsid w:val="00B6306F"/>
    <w:rsid w:val="00B6317F"/>
    <w:rsid w:val="00B64185"/>
    <w:rsid w:val="00B64C14"/>
    <w:rsid w:val="00B65192"/>
    <w:rsid w:val="00B65A41"/>
    <w:rsid w:val="00B65AB2"/>
    <w:rsid w:val="00B70226"/>
    <w:rsid w:val="00B7191C"/>
    <w:rsid w:val="00B71F5C"/>
    <w:rsid w:val="00B73F08"/>
    <w:rsid w:val="00B740E7"/>
    <w:rsid w:val="00B75F09"/>
    <w:rsid w:val="00B76288"/>
    <w:rsid w:val="00B76A96"/>
    <w:rsid w:val="00B770CD"/>
    <w:rsid w:val="00B7754B"/>
    <w:rsid w:val="00B77F9D"/>
    <w:rsid w:val="00B81724"/>
    <w:rsid w:val="00B81E96"/>
    <w:rsid w:val="00B83E85"/>
    <w:rsid w:val="00B83F08"/>
    <w:rsid w:val="00B8501C"/>
    <w:rsid w:val="00B85198"/>
    <w:rsid w:val="00B852D5"/>
    <w:rsid w:val="00B852EC"/>
    <w:rsid w:val="00B867C9"/>
    <w:rsid w:val="00B870B0"/>
    <w:rsid w:val="00B878BC"/>
    <w:rsid w:val="00B910BE"/>
    <w:rsid w:val="00B9144F"/>
    <w:rsid w:val="00B918C5"/>
    <w:rsid w:val="00B94555"/>
    <w:rsid w:val="00B958E1"/>
    <w:rsid w:val="00B96BA2"/>
    <w:rsid w:val="00B97F61"/>
    <w:rsid w:val="00BA11E2"/>
    <w:rsid w:val="00BA1C0B"/>
    <w:rsid w:val="00BA23DF"/>
    <w:rsid w:val="00BA37C4"/>
    <w:rsid w:val="00BA37FD"/>
    <w:rsid w:val="00BA420B"/>
    <w:rsid w:val="00BA42A1"/>
    <w:rsid w:val="00BA5581"/>
    <w:rsid w:val="00BA5588"/>
    <w:rsid w:val="00BA6021"/>
    <w:rsid w:val="00BA62EC"/>
    <w:rsid w:val="00BA72EE"/>
    <w:rsid w:val="00BA7C5C"/>
    <w:rsid w:val="00BA7C75"/>
    <w:rsid w:val="00BB1771"/>
    <w:rsid w:val="00BB1E01"/>
    <w:rsid w:val="00BB261F"/>
    <w:rsid w:val="00BB2705"/>
    <w:rsid w:val="00BB373A"/>
    <w:rsid w:val="00BB3993"/>
    <w:rsid w:val="00BB3B69"/>
    <w:rsid w:val="00BB4303"/>
    <w:rsid w:val="00BB4497"/>
    <w:rsid w:val="00BB4756"/>
    <w:rsid w:val="00BB4ACC"/>
    <w:rsid w:val="00BB4E33"/>
    <w:rsid w:val="00BB4EE8"/>
    <w:rsid w:val="00BB6636"/>
    <w:rsid w:val="00BB6BC2"/>
    <w:rsid w:val="00BB6BFF"/>
    <w:rsid w:val="00BB6C2A"/>
    <w:rsid w:val="00BB6FCF"/>
    <w:rsid w:val="00BB757C"/>
    <w:rsid w:val="00BB7DCA"/>
    <w:rsid w:val="00BC1CEB"/>
    <w:rsid w:val="00BC1DFD"/>
    <w:rsid w:val="00BC27F3"/>
    <w:rsid w:val="00BC309E"/>
    <w:rsid w:val="00BC494E"/>
    <w:rsid w:val="00BC4989"/>
    <w:rsid w:val="00BC5B86"/>
    <w:rsid w:val="00BC6D9A"/>
    <w:rsid w:val="00BC7D96"/>
    <w:rsid w:val="00BD0097"/>
    <w:rsid w:val="00BD09C0"/>
    <w:rsid w:val="00BD0CA7"/>
    <w:rsid w:val="00BD0E1E"/>
    <w:rsid w:val="00BD1BE7"/>
    <w:rsid w:val="00BD2007"/>
    <w:rsid w:val="00BD2315"/>
    <w:rsid w:val="00BD3828"/>
    <w:rsid w:val="00BD47ED"/>
    <w:rsid w:val="00BD4853"/>
    <w:rsid w:val="00BD61BE"/>
    <w:rsid w:val="00BD6D14"/>
    <w:rsid w:val="00BD6EAC"/>
    <w:rsid w:val="00BD6FE9"/>
    <w:rsid w:val="00BD7B4B"/>
    <w:rsid w:val="00BE126A"/>
    <w:rsid w:val="00BE1E41"/>
    <w:rsid w:val="00BE2466"/>
    <w:rsid w:val="00BE29D4"/>
    <w:rsid w:val="00BE4380"/>
    <w:rsid w:val="00BE4A33"/>
    <w:rsid w:val="00BE4E03"/>
    <w:rsid w:val="00BE4F69"/>
    <w:rsid w:val="00BE556E"/>
    <w:rsid w:val="00BE6CF5"/>
    <w:rsid w:val="00BE792F"/>
    <w:rsid w:val="00BE7DD6"/>
    <w:rsid w:val="00BF0050"/>
    <w:rsid w:val="00BF203F"/>
    <w:rsid w:val="00BF32CA"/>
    <w:rsid w:val="00BF38B6"/>
    <w:rsid w:val="00BF48C3"/>
    <w:rsid w:val="00BF5248"/>
    <w:rsid w:val="00BF5D01"/>
    <w:rsid w:val="00BF6B14"/>
    <w:rsid w:val="00BF6DD7"/>
    <w:rsid w:val="00C00041"/>
    <w:rsid w:val="00C004A4"/>
    <w:rsid w:val="00C008EA"/>
    <w:rsid w:val="00C00B42"/>
    <w:rsid w:val="00C00D2E"/>
    <w:rsid w:val="00C01415"/>
    <w:rsid w:val="00C02245"/>
    <w:rsid w:val="00C02A75"/>
    <w:rsid w:val="00C033BD"/>
    <w:rsid w:val="00C03F0B"/>
    <w:rsid w:val="00C04753"/>
    <w:rsid w:val="00C04F51"/>
    <w:rsid w:val="00C053E8"/>
    <w:rsid w:val="00C054C9"/>
    <w:rsid w:val="00C05A98"/>
    <w:rsid w:val="00C05B13"/>
    <w:rsid w:val="00C1046A"/>
    <w:rsid w:val="00C10AAF"/>
    <w:rsid w:val="00C1100D"/>
    <w:rsid w:val="00C1161E"/>
    <w:rsid w:val="00C11813"/>
    <w:rsid w:val="00C118FB"/>
    <w:rsid w:val="00C11931"/>
    <w:rsid w:val="00C1232F"/>
    <w:rsid w:val="00C126DD"/>
    <w:rsid w:val="00C1297C"/>
    <w:rsid w:val="00C12AA3"/>
    <w:rsid w:val="00C12ECD"/>
    <w:rsid w:val="00C142D0"/>
    <w:rsid w:val="00C149EE"/>
    <w:rsid w:val="00C14A78"/>
    <w:rsid w:val="00C14CA4"/>
    <w:rsid w:val="00C14F1C"/>
    <w:rsid w:val="00C15804"/>
    <w:rsid w:val="00C16725"/>
    <w:rsid w:val="00C167AA"/>
    <w:rsid w:val="00C16CEB"/>
    <w:rsid w:val="00C17443"/>
    <w:rsid w:val="00C200B2"/>
    <w:rsid w:val="00C201BB"/>
    <w:rsid w:val="00C202F3"/>
    <w:rsid w:val="00C2037E"/>
    <w:rsid w:val="00C20610"/>
    <w:rsid w:val="00C20706"/>
    <w:rsid w:val="00C217E4"/>
    <w:rsid w:val="00C22071"/>
    <w:rsid w:val="00C235B0"/>
    <w:rsid w:val="00C23D51"/>
    <w:rsid w:val="00C24CA4"/>
    <w:rsid w:val="00C25A95"/>
    <w:rsid w:val="00C26EE4"/>
    <w:rsid w:val="00C27A0B"/>
    <w:rsid w:val="00C301DE"/>
    <w:rsid w:val="00C306D3"/>
    <w:rsid w:val="00C30AEA"/>
    <w:rsid w:val="00C31A69"/>
    <w:rsid w:val="00C326DD"/>
    <w:rsid w:val="00C331A9"/>
    <w:rsid w:val="00C33A0E"/>
    <w:rsid w:val="00C33D8D"/>
    <w:rsid w:val="00C3496D"/>
    <w:rsid w:val="00C34AD9"/>
    <w:rsid w:val="00C36DE1"/>
    <w:rsid w:val="00C36DF4"/>
    <w:rsid w:val="00C371FB"/>
    <w:rsid w:val="00C372D0"/>
    <w:rsid w:val="00C37E3D"/>
    <w:rsid w:val="00C412FC"/>
    <w:rsid w:val="00C41A68"/>
    <w:rsid w:val="00C42EAE"/>
    <w:rsid w:val="00C4483D"/>
    <w:rsid w:val="00C44E4B"/>
    <w:rsid w:val="00C45097"/>
    <w:rsid w:val="00C45182"/>
    <w:rsid w:val="00C453F8"/>
    <w:rsid w:val="00C46BDE"/>
    <w:rsid w:val="00C46D16"/>
    <w:rsid w:val="00C46F99"/>
    <w:rsid w:val="00C51747"/>
    <w:rsid w:val="00C523E9"/>
    <w:rsid w:val="00C53137"/>
    <w:rsid w:val="00C543C4"/>
    <w:rsid w:val="00C543E4"/>
    <w:rsid w:val="00C55065"/>
    <w:rsid w:val="00C55EAC"/>
    <w:rsid w:val="00C5620D"/>
    <w:rsid w:val="00C56CFA"/>
    <w:rsid w:val="00C57460"/>
    <w:rsid w:val="00C577B4"/>
    <w:rsid w:val="00C57E6D"/>
    <w:rsid w:val="00C60A4C"/>
    <w:rsid w:val="00C60B35"/>
    <w:rsid w:val="00C62979"/>
    <w:rsid w:val="00C647A7"/>
    <w:rsid w:val="00C64F96"/>
    <w:rsid w:val="00C652AB"/>
    <w:rsid w:val="00C658D5"/>
    <w:rsid w:val="00C66BF7"/>
    <w:rsid w:val="00C67277"/>
    <w:rsid w:val="00C67707"/>
    <w:rsid w:val="00C70787"/>
    <w:rsid w:val="00C70833"/>
    <w:rsid w:val="00C70F1F"/>
    <w:rsid w:val="00C70F36"/>
    <w:rsid w:val="00C715E3"/>
    <w:rsid w:val="00C71D0A"/>
    <w:rsid w:val="00C72490"/>
    <w:rsid w:val="00C72BBB"/>
    <w:rsid w:val="00C74191"/>
    <w:rsid w:val="00C7520F"/>
    <w:rsid w:val="00C758C9"/>
    <w:rsid w:val="00C75A57"/>
    <w:rsid w:val="00C75F4E"/>
    <w:rsid w:val="00C80575"/>
    <w:rsid w:val="00C80C48"/>
    <w:rsid w:val="00C81683"/>
    <w:rsid w:val="00C819B8"/>
    <w:rsid w:val="00C82340"/>
    <w:rsid w:val="00C83CEC"/>
    <w:rsid w:val="00C84E7C"/>
    <w:rsid w:val="00C85334"/>
    <w:rsid w:val="00C86A63"/>
    <w:rsid w:val="00C8785B"/>
    <w:rsid w:val="00C90145"/>
    <w:rsid w:val="00C90CF7"/>
    <w:rsid w:val="00C90D22"/>
    <w:rsid w:val="00C91800"/>
    <w:rsid w:val="00C91DAD"/>
    <w:rsid w:val="00C9246F"/>
    <w:rsid w:val="00C92FA4"/>
    <w:rsid w:val="00C93BF5"/>
    <w:rsid w:val="00C93E43"/>
    <w:rsid w:val="00C947FB"/>
    <w:rsid w:val="00C94ACE"/>
    <w:rsid w:val="00C95277"/>
    <w:rsid w:val="00C962F4"/>
    <w:rsid w:val="00C96DFF"/>
    <w:rsid w:val="00C972F0"/>
    <w:rsid w:val="00CA09E4"/>
    <w:rsid w:val="00CA0F61"/>
    <w:rsid w:val="00CA164A"/>
    <w:rsid w:val="00CA196C"/>
    <w:rsid w:val="00CA1F1B"/>
    <w:rsid w:val="00CA20BE"/>
    <w:rsid w:val="00CA2187"/>
    <w:rsid w:val="00CA3FCE"/>
    <w:rsid w:val="00CA4B49"/>
    <w:rsid w:val="00CA61EF"/>
    <w:rsid w:val="00CA620F"/>
    <w:rsid w:val="00CA715E"/>
    <w:rsid w:val="00CA7E0D"/>
    <w:rsid w:val="00CB36A7"/>
    <w:rsid w:val="00CB38BE"/>
    <w:rsid w:val="00CB3F5F"/>
    <w:rsid w:val="00CB471F"/>
    <w:rsid w:val="00CB5385"/>
    <w:rsid w:val="00CB555D"/>
    <w:rsid w:val="00CB7EDD"/>
    <w:rsid w:val="00CC0BD4"/>
    <w:rsid w:val="00CC2503"/>
    <w:rsid w:val="00CC2771"/>
    <w:rsid w:val="00CC2B39"/>
    <w:rsid w:val="00CC2C7B"/>
    <w:rsid w:val="00CC371A"/>
    <w:rsid w:val="00CC436B"/>
    <w:rsid w:val="00CC45F5"/>
    <w:rsid w:val="00CC5344"/>
    <w:rsid w:val="00CC54EF"/>
    <w:rsid w:val="00CC639D"/>
    <w:rsid w:val="00CC6655"/>
    <w:rsid w:val="00CC6EAB"/>
    <w:rsid w:val="00CC71A7"/>
    <w:rsid w:val="00CC7739"/>
    <w:rsid w:val="00CC7760"/>
    <w:rsid w:val="00CD0EDF"/>
    <w:rsid w:val="00CD1152"/>
    <w:rsid w:val="00CD1A3F"/>
    <w:rsid w:val="00CD28D5"/>
    <w:rsid w:val="00CD2E1F"/>
    <w:rsid w:val="00CD4A81"/>
    <w:rsid w:val="00CD4C61"/>
    <w:rsid w:val="00CD6175"/>
    <w:rsid w:val="00CD665B"/>
    <w:rsid w:val="00CD7D92"/>
    <w:rsid w:val="00CE0982"/>
    <w:rsid w:val="00CE10DB"/>
    <w:rsid w:val="00CE1570"/>
    <w:rsid w:val="00CE1AAA"/>
    <w:rsid w:val="00CE2404"/>
    <w:rsid w:val="00CE24E1"/>
    <w:rsid w:val="00CE2626"/>
    <w:rsid w:val="00CE2822"/>
    <w:rsid w:val="00CE283F"/>
    <w:rsid w:val="00CE31F2"/>
    <w:rsid w:val="00CE4E42"/>
    <w:rsid w:val="00CE5230"/>
    <w:rsid w:val="00CE5399"/>
    <w:rsid w:val="00CE5D53"/>
    <w:rsid w:val="00CE6760"/>
    <w:rsid w:val="00CE78E6"/>
    <w:rsid w:val="00CF04E2"/>
    <w:rsid w:val="00CF099D"/>
    <w:rsid w:val="00CF1D31"/>
    <w:rsid w:val="00CF39F0"/>
    <w:rsid w:val="00CF3DB0"/>
    <w:rsid w:val="00CF40FE"/>
    <w:rsid w:val="00CF4AF7"/>
    <w:rsid w:val="00CF4B83"/>
    <w:rsid w:val="00CF6CF4"/>
    <w:rsid w:val="00CF70A1"/>
    <w:rsid w:val="00CF71BE"/>
    <w:rsid w:val="00CF7A08"/>
    <w:rsid w:val="00D00C41"/>
    <w:rsid w:val="00D01E5F"/>
    <w:rsid w:val="00D03755"/>
    <w:rsid w:val="00D0420E"/>
    <w:rsid w:val="00D04704"/>
    <w:rsid w:val="00D072E5"/>
    <w:rsid w:val="00D0793F"/>
    <w:rsid w:val="00D07F8F"/>
    <w:rsid w:val="00D10743"/>
    <w:rsid w:val="00D11F92"/>
    <w:rsid w:val="00D127C1"/>
    <w:rsid w:val="00D12C6D"/>
    <w:rsid w:val="00D13060"/>
    <w:rsid w:val="00D13AB7"/>
    <w:rsid w:val="00D152C5"/>
    <w:rsid w:val="00D153D5"/>
    <w:rsid w:val="00D1591C"/>
    <w:rsid w:val="00D16944"/>
    <w:rsid w:val="00D17A5A"/>
    <w:rsid w:val="00D17FAA"/>
    <w:rsid w:val="00D205A8"/>
    <w:rsid w:val="00D21C73"/>
    <w:rsid w:val="00D21D9B"/>
    <w:rsid w:val="00D220E4"/>
    <w:rsid w:val="00D225A6"/>
    <w:rsid w:val="00D23F8F"/>
    <w:rsid w:val="00D24840"/>
    <w:rsid w:val="00D26ACA"/>
    <w:rsid w:val="00D26B33"/>
    <w:rsid w:val="00D30E83"/>
    <w:rsid w:val="00D332E7"/>
    <w:rsid w:val="00D34634"/>
    <w:rsid w:val="00D358A2"/>
    <w:rsid w:val="00D3593E"/>
    <w:rsid w:val="00D368B7"/>
    <w:rsid w:val="00D3697E"/>
    <w:rsid w:val="00D37302"/>
    <w:rsid w:val="00D37CA8"/>
    <w:rsid w:val="00D37CE1"/>
    <w:rsid w:val="00D37EED"/>
    <w:rsid w:val="00D407E6"/>
    <w:rsid w:val="00D41C37"/>
    <w:rsid w:val="00D41D1D"/>
    <w:rsid w:val="00D42443"/>
    <w:rsid w:val="00D43443"/>
    <w:rsid w:val="00D434D3"/>
    <w:rsid w:val="00D4357A"/>
    <w:rsid w:val="00D437C1"/>
    <w:rsid w:val="00D4386B"/>
    <w:rsid w:val="00D43945"/>
    <w:rsid w:val="00D43D19"/>
    <w:rsid w:val="00D44DFC"/>
    <w:rsid w:val="00D45E13"/>
    <w:rsid w:val="00D468C3"/>
    <w:rsid w:val="00D46D75"/>
    <w:rsid w:val="00D46F30"/>
    <w:rsid w:val="00D47773"/>
    <w:rsid w:val="00D47EA8"/>
    <w:rsid w:val="00D50AB6"/>
    <w:rsid w:val="00D51AA5"/>
    <w:rsid w:val="00D52E51"/>
    <w:rsid w:val="00D535F7"/>
    <w:rsid w:val="00D53A7C"/>
    <w:rsid w:val="00D54BB3"/>
    <w:rsid w:val="00D56156"/>
    <w:rsid w:val="00D57A0C"/>
    <w:rsid w:val="00D57AB3"/>
    <w:rsid w:val="00D60143"/>
    <w:rsid w:val="00D605FC"/>
    <w:rsid w:val="00D60A17"/>
    <w:rsid w:val="00D61CF1"/>
    <w:rsid w:val="00D632C5"/>
    <w:rsid w:val="00D64F8E"/>
    <w:rsid w:val="00D6512C"/>
    <w:rsid w:val="00D662D0"/>
    <w:rsid w:val="00D7099F"/>
    <w:rsid w:val="00D70C7E"/>
    <w:rsid w:val="00D71C72"/>
    <w:rsid w:val="00D72358"/>
    <w:rsid w:val="00D72623"/>
    <w:rsid w:val="00D73189"/>
    <w:rsid w:val="00D73B49"/>
    <w:rsid w:val="00D73B71"/>
    <w:rsid w:val="00D7455E"/>
    <w:rsid w:val="00D74A25"/>
    <w:rsid w:val="00D74B5F"/>
    <w:rsid w:val="00D74F26"/>
    <w:rsid w:val="00D75024"/>
    <w:rsid w:val="00D755B8"/>
    <w:rsid w:val="00D75815"/>
    <w:rsid w:val="00D75A88"/>
    <w:rsid w:val="00D75D89"/>
    <w:rsid w:val="00D75FF6"/>
    <w:rsid w:val="00D7787A"/>
    <w:rsid w:val="00D77EBD"/>
    <w:rsid w:val="00D802B5"/>
    <w:rsid w:val="00D80560"/>
    <w:rsid w:val="00D80D1E"/>
    <w:rsid w:val="00D81A74"/>
    <w:rsid w:val="00D81D88"/>
    <w:rsid w:val="00D81FEC"/>
    <w:rsid w:val="00D822A8"/>
    <w:rsid w:val="00D8387A"/>
    <w:rsid w:val="00D838A0"/>
    <w:rsid w:val="00D8454A"/>
    <w:rsid w:val="00D84B8B"/>
    <w:rsid w:val="00D85447"/>
    <w:rsid w:val="00D862C2"/>
    <w:rsid w:val="00D86442"/>
    <w:rsid w:val="00D86490"/>
    <w:rsid w:val="00D864A4"/>
    <w:rsid w:val="00D86F9A"/>
    <w:rsid w:val="00D87F6F"/>
    <w:rsid w:val="00D91455"/>
    <w:rsid w:val="00D917F0"/>
    <w:rsid w:val="00D92351"/>
    <w:rsid w:val="00D925AD"/>
    <w:rsid w:val="00D92A19"/>
    <w:rsid w:val="00D92D21"/>
    <w:rsid w:val="00D930B6"/>
    <w:rsid w:val="00D93905"/>
    <w:rsid w:val="00D93DBC"/>
    <w:rsid w:val="00D947D3"/>
    <w:rsid w:val="00D955AB"/>
    <w:rsid w:val="00D957F4"/>
    <w:rsid w:val="00D96341"/>
    <w:rsid w:val="00D9639D"/>
    <w:rsid w:val="00DA113D"/>
    <w:rsid w:val="00DA28E2"/>
    <w:rsid w:val="00DA2CBA"/>
    <w:rsid w:val="00DA4B1A"/>
    <w:rsid w:val="00DA59A2"/>
    <w:rsid w:val="00DA7131"/>
    <w:rsid w:val="00DA716A"/>
    <w:rsid w:val="00DB1193"/>
    <w:rsid w:val="00DB1311"/>
    <w:rsid w:val="00DB1D8C"/>
    <w:rsid w:val="00DB1F6C"/>
    <w:rsid w:val="00DB22E2"/>
    <w:rsid w:val="00DB2760"/>
    <w:rsid w:val="00DB2D75"/>
    <w:rsid w:val="00DB2EBC"/>
    <w:rsid w:val="00DB4808"/>
    <w:rsid w:val="00DB7133"/>
    <w:rsid w:val="00DB71E8"/>
    <w:rsid w:val="00DB7409"/>
    <w:rsid w:val="00DB78C6"/>
    <w:rsid w:val="00DC01BA"/>
    <w:rsid w:val="00DC151E"/>
    <w:rsid w:val="00DC204F"/>
    <w:rsid w:val="00DC2649"/>
    <w:rsid w:val="00DC2CC9"/>
    <w:rsid w:val="00DC2F9D"/>
    <w:rsid w:val="00DC5049"/>
    <w:rsid w:val="00DC5C22"/>
    <w:rsid w:val="00DC5FCE"/>
    <w:rsid w:val="00DC67B8"/>
    <w:rsid w:val="00DD0236"/>
    <w:rsid w:val="00DD11A0"/>
    <w:rsid w:val="00DD1950"/>
    <w:rsid w:val="00DD1A36"/>
    <w:rsid w:val="00DD2574"/>
    <w:rsid w:val="00DD2932"/>
    <w:rsid w:val="00DD3065"/>
    <w:rsid w:val="00DD407B"/>
    <w:rsid w:val="00DD44AA"/>
    <w:rsid w:val="00DD4AB7"/>
    <w:rsid w:val="00DD5C3C"/>
    <w:rsid w:val="00DD7CE5"/>
    <w:rsid w:val="00DD7E63"/>
    <w:rsid w:val="00DE006E"/>
    <w:rsid w:val="00DE0119"/>
    <w:rsid w:val="00DE0440"/>
    <w:rsid w:val="00DE0F6B"/>
    <w:rsid w:val="00DE2517"/>
    <w:rsid w:val="00DE3553"/>
    <w:rsid w:val="00DE363B"/>
    <w:rsid w:val="00DE4A08"/>
    <w:rsid w:val="00DE4C12"/>
    <w:rsid w:val="00DE515C"/>
    <w:rsid w:val="00DE5160"/>
    <w:rsid w:val="00DE553A"/>
    <w:rsid w:val="00DE58F9"/>
    <w:rsid w:val="00DE5AAB"/>
    <w:rsid w:val="00DE6566"/>
    <w:rsid w:val="00DE67FD"/>
    <w:rsid w:val="00DE6C9B"/>
    <w:rsid w:val="00DE6FF7"/>
    <w:rsid w:val="00DE70CA"/>
    <w:rsid w:val="00DF12D4"/>
    <w:rsid w:val="00DF1692"/>
    <w:rsid w:val="00DF19C9"/>
    <w:rsid w:val="00DF1B9B"/>
    <w:rsid w:val="00DF1F37"/>
    <w:rsid w:val="00DF21F7"/>
    <w:rsid w:val="00DF24F7"/>
    <w:rsid w:val="00DF3623"/>
    <w:rsid w:val="00DF3A79"/>
    <w:rsid w:val="00DF3B7F"/>
    <w:rsid w:val="00DF425B"/>
    <w:rsid w:val="00DF45EF"/>
    <w:rsid w:val="00DF5766"/>
    <w:rsid w:val="00DF6148"/>
    <w:rsid w:val="00DF6669"/>
    <w:rsid w:val="00DF6D17"/>
    <w:rsid w:val="00DF7C65"/>
    <w:rsid w:val="00E0014C"/>
    <w:rsid w:val="00E00D6C"/>
    <w:rsid w:val="00E02152"/>
    <w:rsid w:val="00E026DA"/>
    <w:rsid w:val="00E02827"/>
    <w:rsid w:val="00E03A63"/>
    <w:rsid w:val="00E03BE9"/>
    <w:rsid w:val="00E04456"/>
    <w:rsid w:val="00E054F7"/>
    <w:rsid w:val="00E05D92"/>
    <w:rsid w:val="00E065BB"/>
    <w:rsid w:val="00E12012"/>
    <w:rsid w:val="00E12350"/>
    <w:rsid w:val="00E1245D"/>
    <w:rsid w:val="00E139E7"/>
    <w:rsid w:val="00E1543F"/>
    <w:rsid w:val="00E15A94"/>
    <w:rsid w:val="00E201DD"/>
    <w:rsid w:val="00E21613"/>
    <w:rsid w:val="00E21CE2"/>
    <w:rsid w:val="00E2243C"/>
    <w:rsid w:val="00E22809"/>
    <w:rsid w:val="00E23503"/>
    <w:rsid w:val="00E23F6C"/>
    <w:rsid w:val="00E2429B"/>
    <w:rsid w:val="00E26116"/>
    <w:rsid w:val="00E268E9"/>
    <w:rsid w:val="00E2708D"/>
    <w:rsid w:val="00E272B6"/>
    <w:rsid w:val="00E305D9"/>
    <w:rsid w:val="00E30D13"/>
    <w:rsid w:val="00E32875"/>
    <w:rsid w:val="00E32A61"/>
    <w:rsid w:val="00E33584"/>
    <w:rsid w:val="00E33749"/>
    <w:rsid w:val="00E35E66"/>
    <w:rsid w:val="00E36323"/>
    <w:rsid w:val="00E36B43"/>
    <w:rsid w:val="00E37344"/>
    <w:rsid w:val="00E40F89"/>
    <w:rsid w:val="00E41C6B"/>
    <w:rsid w:val="00E41E1B"/>
    <w:rsid w:val="00E42943"/>
    <w:rsid w:val="00E43077"/>
    <w:rsid w:val="00E431B8"/>
    <w:rsid w:val="00E4365A"/>
    <w:rsid w:val="00E43A49"/>
    <w:rsid w:val="00E43B0A"/>
    <w:rsid w:val="00E44324"/>
    <w:rsid w:val="00E4446A"/>
    <w:rsid w:val="00E45768"/>
    <w:rsid w:val="00E46AB7"/>
    <w:rsid w:val="00E506B6"/>
    <w:rsid w:val="00E50FDA"/>
    <w:rsid w:val="00E51013"/>
    <w:rsid w:val="00E510CF"/>
    <w:rsid w:val="00E514DE"/>
    <w:rsid w:val="00E516F0"/>
    <w:rsid w:val="00E51D55"/>
    <w:rsid w:val="00E51EA9"/>
    <w:rsid w:val="00E5206F"/>
    <w:rsid w:val="00E52564"/>
    <w:rsid w:val="00E52AF9"/>
    <w:rsid w:val="00E52B1B"/>
    <w:rsid w:val="00E52C7B"/>
    <w:rsid w:val="00E535FA"/>
    <w:rsid w:val="00E53B47"/>
    <w:rsid w:val="00E54B1F"/>
    <w:rsid w:val="00E54BD4"/>
    <w:rsid w:val="00E554BB"/>
    <w:rsid w:val="00E55737"/>
    <w:rsid w:val="00E56F14"/>
    <w:rsid w:val="00E57445"/>
    <w:rsid w:val="00E57505"/>
    <w:rsid w:val="00E57684"/>
    <w:rsid w:val="00E60A6C"/>
    <w:rsid w:val="00E612F7"/>
    <w:rsid w:val="00E61636"/>
    <w:rsid w:val="00E61D26"/>
    <w:rsid w:val="00E62640"/>
    <w:rsid w:val="00E63FBE"/>
    <w:rsid w:val="00E64F94"/>
    <w:rsid w:val="00E64FD7"/>
    <w:rsid w:val="00E679C6"/>
    <w:rsid w:val="00E703A2"/>
    <w:rsid w:val="00E7070A"/>
    <w:rsid w:val="00E70D2F"/>
    <w:rsid w:val="00E7120B"/>
    <w:rsid w:val="00E7235A"/>
    <w:rsid w:val="00E7381F"/>
    <w:rsid w:val="00E740AC"/>
    <w:rsid w:val="00E77A6B"/>
    <w:rsid w:val="00E815D5"/>
    <w:rsid w:val="00E81678"/>
    <w:rsid w:val="00E81D03"/>
    <w:rsid w:val="00E8292A"/>
    <w:rsid w:val="00E83077"/>
    <w:rsid w:val="00E834D2"/>
    <w:rsid w:val="00E839F8"/>
    <w:rsid w:val="00E85347"/>
    <w:rsid w:val="00E8562A"/>
    <w:rsid w:val="00E85985"/>
    <w:rsid w:val="00E86305"/>
    <w:rsid w:val="00E8643F"/>
    <w:rsid w:val="00E87583"/>
    <w:rsid w:val="00E90B0C"/>
    <w:rsid w:val="00E90B54"/>
    <w:rsid w:val="00E91156"/>
    <w:rsid w:val="00E9136F"/>
    <w:rsid w:val="00E91B0C"/>
    <w:rsid w:val="00E930A0"/>
    <w:rsid w:val="00E931BD"/>
    <w:rsid w:val="00E933DE"/>
    <w:rsid w:val="00E9347B"/>
    <w:rsid w:val="00E9355F"/>
    <w:rsid w:val="00E93668"/>
    <w:rsid w:val="00E93DEA"/>
    <w:rsid w:val="00E959D8"/>
    <w:rsid w:val="00E95CFE"/>
    <w:rsid w:val="00E96187"/>
    <w:rsid w:val="00E96BDB"/>
    <w:rsid w:val="00E97634"/>
    <w:rsid w:val="00EA01B5"/>
    <w:rsid w:val="00EA070E"/>
    <w:rsid w:val="00EA0E7D"/>
    <w:rsid w:val="00EA1796"/>
    <w:rsid w:val="00EA1CC1"/>
    <w:rsid w:val="00EA1D1A"/>
    <w:rsid w:val="00EA1EE4"/>
    <w:rsid w:val="00EA1F9A"/>
    <w:rsid w:val="00EA2B49"/>
    <w:rsid w:val="00EA5BEA"/>
    <w:rsid w:val="00EA67DA"/>
    <w:rsid w:val="00EA685B"/>
    <w:rsid w:val="00EA6B04"/>
    <w:rsid w:val="00EA79F7"/>
    <w:rsid w:val="00EB0772"/>
    <w:rsid w:val="00EB0AAD"/>
    <w:rsid w:val="00EB14E4"/>
    <w:rsid w:val="00EB2F66"/>
    <w:rsid w:val="00EB329D"/>
    <w:rsid w:val="00EB32CF"/>
    <w:rsid w:val="00EB423A"/>
    <w:rsid w:val="00EB4CCD"/>
    <w:rsid w:val="00EB4F45"/>
    <w:rsid w:val="00EB50B0"/>
    <w:rsid w:val="00EB5197"/>
    <w:rsid w:val="00EB5F17"/>
    <w:rsid w:val="00EB7890"/>
    <w:rsid w:val="00EC008E"/>
    <w:rsid w:val="00EC1343"/>
    <w:rsid w:val="00EC140A"/>
    <w:rsid w:val="00EC3FA0"/>
    <w:rsid w:val="00EC5530"/>
    <w:rsid w:val="00EC5D5C"/>
    <w:rsid w:val="00EC5DEC"/>
    <w:rsid w:val="00EC679F"/>
    <w:rsid w:val="00EC6950"/>
    <w:rsid w:val="00EC72E6"/>
    <w:rsid w:val="00EC77D4"/>
    <w:rsid w:val="00ED0235"/>
    <w:rsid w:val="00ED12A1"/>
    <w:rsid w:val="00ED23D9"/>
    <w:rsid w:val="00ED23F8"/>
    <w:rsid w:val="00ED37A7"/>
    <w:rsid w:val="00ED3B80"/>
    <w:rsid w:val="00ED4340"/>
    <w:rsid w:val="00ED5260"/>
    <w:rsid w:val="00ED54AA"/>
    <w:rsid w:val="00EE0D95"/>
    <w:rsid w:val="00EE0DEB"/>
    <w:rsid w:val="00EE1931"/>
    <w:rsid w:val="00EE262B"/>
    <w:rsid w:val="00EE3A75"/>
    <w:rsid w:val="00EE54AE"/>
    <w:rsid w:val="00EE5E24"/>
    <w:rsid w:val="00EE6E24"/>
    <w:rsid w:val="00EF095A"/>
    <w:rsid w:val="00EF1B49"/>
    <w:rsid w:val="00EF205C"/>
    <w:rsid w:val="00EF2328"/>
    <w:rsid w:val="00EF39FD"/>
    <w:rsid w:val="00EF4299"/>
    <w:rsid w:val="00EF4714"/>
    <w:rsid w:val="00EF4C37"/>
    <w:rsid w:val="00EF6035"/>
    <w:rsid w:val="00EF653E"/>
    <w:rsid w:val="00EF7A80"/>
    <w:rsid w:val="00EF7B51"/>
    <w:rsid w:val="00F00194"/>
    <w:rsid w:val="00F006A8"/>
    <w:rsid w:val="00F00B1E"/>
    <w:rsid w:val="00F01010"/>
    <w:rsid w:val="00F01461"/>
    <w:rsid w:val="00F01481"/>
    <w:rsid w:val="00F017AF"/>
    <w:rsid w:val="00F02534"/>
    <w:rsid w:val="00F04D59"/>
    <w:rsid w:val="00F05060"/>
    <w:rsid w:val="00F05311"/>
    <w:rsid w:val="00F061A3"/>
    <w:rsid w:val="00F06AB2"/>
    <w:rsid w:val="00F06DD9"/>
    <w:rsid w:val="00F07434"/>
    <w:rsid w:val="00F07456"/>
    <w:rsid w:val="00F07900"/>
    <w:rsid w:val="00F10134"/>
    <w:rsid w:val="00F10B29"/>
    <w:rsid w:val="00F11521"/>
    <w:rsid w:val="00F11682"/>
    <w:rsid w:val="00F116AC"/>
    <w:rsid w:val="00F11886"/>
    <w:rsid w:val="00F1224F"/>
    <w:rsid w:val="00F12A33"/>
    <w:rsid w:val="00F13691"/>
    <w:rsid w:val="00F139AC"/>
    <w:rsid w:val="00F14769"/>
    <w:rsid w:val="00F161E2"/>
    <w:rsid w:val="00F165DD"/>
    <w:rsid w:val="00F166BD"/>
    <w:rsid w:val="00F20AC0"/>
    <w:rsid w:val="00F217CB"/>
    <w:rsid w:val="00F226B9"/>
    <w:rsid w:val="00F2270E"/>
    <w:rsid w:val="00F227BC"/>
    <w:rsid w:val="00F254E0"/>
    <w:rsid w:val="00F259EB"/>
    <w:rsid w:val="00F26542"/>
    <w:rsid w:val="00F27CBB"/>
    <w:rsid w:val="00F27CE6"/>
    <w:rsid w:val="00F3022A"/>
    <w:rsid w:val="00F311EF"/>
    <w:rsid w:val="00F317DF"/>
    <w:rsid w:val="00F32031"/>
    <w:rsid w:val="00F32542"/>
    <w:rsid w:val="00F32C6F"/>
    <w:rsid w:val="00F33352"/>
    <w:rsid w:val="00F33C6D"/>
    <w:rsid w:val="00F33D63"/>
    <w:rsid w:val="00F35080"/>
    <w:rsid w:val="00F35C59"/>
    <w:rsid w:val="00F42CD4"/>
    <w:rsid w:val="00F42EAE"/>
    <w:rsid w:val="00F43148"/>
    <w:rsid w:val="00F43C6D"/>
    <w:rsid w:val="00F44122"/>
    <w:rsid w:val="00F45C03"/>
    <w:rsid w:val="00F4682F"/>
    <w:rsid w:val="00F46964"/>
    <w:rsid w:val="00F46CAD"/>
    <w:rsid w:val="00F46DCB"/>
    <w:rsid w:val="00F47122"/>
    <w:rsid w:val="00F4751D"/>
    <w:rsid w:val="00F47547"/>
    <w:rsid w:val="00F475B0"/>
    <w:rsid w:val="00F477FC"/>
    <w:rsid w:val="00F4780D"/>
    <w:rsid w:val="00F47F71"/>
    <w:rsid w:val="00F50134"/>
    <w:rsid w:val="00F50238"/>
    <w:rsid w:val="00F5086D"/>
    <w:rsid w:val="00F52263"/>
    <w:rsid w:val="00F522EF"/>
    <w:rsid w:val="00F523A2"/>
    <w:rsid w:val="00F52E88"/>
    <w:rsid w:val="00F53492"/>
    <w:rsid w:val="00F54365"/>
    <w:rsid w:val="00F558FA"/>
    <w:rsid w:val="00F563B3"/>
    <w:rsid w:val="00F56C5C"/>
    <w:rsid w:val="00F573EE"/>
    <w:rsid w:val="00F60043"/>
    <w:rsid w:val="00F606AD"/>
    <w:rsid w:val="00F6137B"/>
    <w:rsid w:val="00F61E8F"/>
    <w:rsid w:val="00F63036"/>
    <w:rsid w:val="00F648AB"/>
    <w:rsid w:val="00F6573B"/>
    <w:rsid w:val="00F65C3C"/>
    <w:rsid w:val="00F66821"/>
    <w:rsid w:val="00F66E35"/>
    <w:rsid w:val="00F67070"/>
    <w:rsid w:val="00F67400"/>
    <w:rsid w:val="00F67CCD"/>
    <w:rsid w:val="00F713CF"/>
    <w:rsid w:val="00F72363"/>
    <w:rsid w:val="00F731E9"/>
    <w:rsid w:val="00F741F6"/>
    <w:rsid w:val="00F74D7B"/>
    <w:rsid w:val="00F7601F"/>
    <w:rsid w:val="00F76697"/>
    <w:rsid w:val="00F76952"/>
    <w:rsid w:val="00F76D8F"/>
    <w:rsid w:val="00F77E58"/>
    <w:rsid w:val="00F813D5"/>
    <w:rsid w:val="00F817FE"/>
    <w:rsid w:val="00F82004"/>
    <w:rsid w:val="00F82642"/>
    <w:rsid w:val="00F8291B"/>
    <w:rsid w:val="00F83688"/>
    <w:rsid w:val="00F83F14"/>
    <w:rsid w:val="00F846D9"/>
    <w:rsid w:val="00F8519B"/>
    <w:rsid w:val="00F85B5B"/>
    <w:rsid w:val="00F8719B"/>
    <w:rsid w:val="00F901BC"/>
    <w:rsid w:val="00F901F9"/>
    <w:rsid w:val="00F90B0E"/>
    <w:rsid w:val="00F91CED"/>
    <w:rsid w:val="00F92E9E"/>
    <w:rsid w:val="00F9339F"/>
    <w:rsid w:val="00F93E48"/>
    <w:rsid w:val="00F94CB8"/>
    <w:rsid w:val="00F94E73"/>
    <w:rsid w:val="00F9585E"/>
    <w:rsid w:val="00F959FC"/>
    <w:rsid w:val="00F96056"/>
    <w:rsid w:val="00F96062"/>
    <w:rsid w:val="00F96961"/>
    <w:rsid w:val="00F97CC2"/>
    <w:rsid w:val="00F97F5B"/>
    <w:rsid w:val="00FA1886"/>
    <w:rsid w:val="00FA3F0B"/>
    <w:rsid w:val="00FA4D0E"/>
    <w:rsid w:val="00FA5345"/>
    <w:rsid w:val="00FA5400"/>
    <w:rsid w:val="00FA60B8"/>
    <w:rsid w:val="00FA65BC"/>
    <w:rsid w:val="00FA6704"/>
    <w:rsid w:val="00FA6977"/>
    <w:rsid w:val="00FA6B3D"/>
    <w:rsid w:val="00FA7BEC"/>
    <w:rsid w:val="00FB0095"/>
    <w:rsid w:val="00FB0192"/>
    <w:rsid w:val="00FB0F4C"/>
    <w:rsid w:val="00FB17AB"/>
    <w:rsid w:val="00FB23AB"/>
    <w:rsid w:val="00FB2D04"/>
    <w:rsid w:val="00FB46D5"/>
    <w:rsid w:val="00FB4718"/>
    <w:rsid w:val="00FB516C"/>
    <w:rsid w:val="00FB5456"/>
    <w:rsid w:val="00FB5717"/>
    <w:rsid w:val="00FB6031"/>
    <w:rsid w:val="00FB66DE"/>
    <w:rsid w:val="00FB72AA"/>
    <w:rsid w:val="00FB74CF"/>
    <w:rsid w:val="00FC1A8C"/>
    <w:rsid w:val="00FC2A96"/>
    <w:rsid w:val="00FC33BA"/>
    <w:rsid w:val="00FC4032"/>
    <w:rsid w:val="00FC5119"/>
    <w:rsid w:val="00FC5143"/>
    <w:rsid w:val="00FC6B8D"/>
    <w:rsid w:val="00FC7AF9"/>
    <w:rsid w:val="00FD0E8E"/>
    <w:rsid w:val="00FD1DDA"/>
    <w:rsid w:val="00FD2EC9"/>
    <w:rsid w:val="00FD3FDF"/>
    <w:rsid w:val="00FD4AC4"/>
    <w:rsid w:val="00FD5CBF"/>
    <w:rsid w:val="00FD6CE3"/>
    <w:rsid w:val="00FD711B"/>
    <w:rsid w:val="00FD7479"/>
    <w:rsid w:val="00FD7653"/>
    <w:rsid w:val="00FE06A5"/>
    <w:rsid w:val="00FE0C19"/>
    <w:rsid w:val="00FE1E88"/>
    <w:rsid w:val="00FE2019"/>
    <w:rsid w:val="00FE2A69"/>
    <w:rsid w:val="00FE390D"/>
    <w:rsid w:val="00FE3B46"/>
    <w:rsid w:val="00FE3F94"/>
    <w:rsid w:val="00FE41D3"/>
    <w:rsid w:val="00FE5CE6"/>
    <w:rsid w:val="00FE6121"/>
    <w:rsid w:val="00FF11EE"/>
    <w:rsid w:val="00FF1BA3"/>
    <w:rsid w:val="00FF21BC"/>
    <w:rsid w:val="00FF3F95"/>
    <w:rsid w:val="00FF4330"/>
    <w:rsid w:val="00FF4D91"/>
    <w:rsid w:val="00FF4E8F"/>
    <w:rsid w:val="00FF5F6B"/>
    <w:rsid w:val="00FF75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61A3"/>
    <w:pPr>
      <w:suppressAutoHyphens/>
      <w:spacing w:after="0" w:line="240" w:lineRule="auto"/>
    </w:pPr>
    <w:rPr>
      <w:rFonts w:ascii="Times New Roman" w:eastAsia="Times New Roman" w:hAnsi="Times New Roman" w:cs="Times New Roman"/>
      <w:sz w:val="24"/>
      <w:szCs w:val="20"/>
      <w:lang w:val="fr-FR" w:eastAsia="fr-FR"/>
    </w:rPr>
  </w:style>
  <w:style w:type="paragraph" w:styleId="Nagwek1">
    <w:name w:val="heading 1"/>
    <w:basedOn w:val="Normalny"/>
    <w:next w:val="Normalny"/>
    <w:link w:val="Nagwek1Znak"/>
    <w:qFormat/>
    <w:rsid w:val="00F061A3"/>
    <w:pPr>
      <w:keepNext/>
      <w:spacing w:before="360" w:after="240"/>
      <w:jc w:val="center"/>
      <w:outlineLvl w:val="0"/>
    </w:pPr>
    <w:rPr>
      <w:b/>
      <w:sz w:val="28"/>
    </w:rPr>
  </w:style>
  <w:style w:type="paragraph" w:styleId="Nagwek2">
    <w:name w:val="heading 2"/>
    <w:basedOn w:val="Normalny"/>
    <w:next w:val="Normalny"/>
    <w:link w:val="Nagwek2Znak"/>
    <w:qFormat/>
    <w:rsid w:val="00F061A3"/>
    <w:pPr>
      <w:keepNext/>
      <w:spacing w:before="240" w:after="120"/>
      <w:ind w:left="284" w:hanging="284"/>
      <w:outlineLvl w:val="1"/>
    </w:pPr>
    <w:rPr>
      <w:b/>
    </w:rPr>
  </w:style>
  <w:style w:type="paragraph" w:styleId="Nagwek3">
    <w:name w:val="heading 3"/>
    <w:basedOn w:val="Normalny"/>
    <w:next w:val="Normalny"/>
    <w:link w:val="Nagwek3Znak"/>
    <w:qFormat/>
    <w:rsid w:val="00F061A3"/>
    <w:pPr>
      <w:keepNext/>
      <w:spacing w:before="120" w:after="60"/>
      <w:ind w:left="1418" w:hanging="851"/>
      <w:outlineLvl w:val="2"/>
    </w:pPr>
    <w:rPr>
      <w:i/>
    </w:rPr>
  </w:style>
  <w:style w:type="paragraph" w:styleId="Nagwek4">
    <w:name w:val="heading 4"/>
    <w:basedOn w:val="Normalny"/>
    <w:next w:val="Normalny"/>
    <w:link w:val="Nagwek4Znak"/>
    <w:qFormat/>
    <w:rsid w:val="00F061A3"/>
    <w:pPr>
      <w:widowControl w:val="0"/>
      <w:outlineLvl w:val="3"/>
    </w:pPr>
    <w:rPr>
      <w:rFonts w:ascii="Courier" w:hAnsi="Courier"/>
      <w:snapToGrid w:val="0"/>
      <w:lang w:val="en-US" w:eastAsia="en-US"/>
    </w:rPr>
  </w:style>
  <w:style w:type="paragraph" w:styleId="Nagwek5">
    <w:name w:val="heading 5"/>
    <w:basedOn w:val="Normalny"/>
    <w:next w:val="Normalny"/>
    <w:link w:val="Nagwek5Znak"/>
    <w:qFormat/>
    <w:rsid w:val="00F061A3"/>
    <w:pPr>
      <w:widowControl w:val="0"/>
      <w:outlineLvl w:val="4"/>
    </w:pPr>
    <w:rPr>
      <w:rFonts w:ascii="Courier" w:hAnsi="Courier"/>
      <w:snapToGrid w:val="0"/>
      <w:lang w:val="en-US" w:eastAsia="en-US"/>
    </w:rPr>
  </w:style>
  <w:style w:type="paragraph" w:styleId="Nagwek6">
    <w:name w:val="heading 6"/>
    <w:basedOn w:val="Normalny"/>
    <w:next w:val="Normalny"/>
    <w:link w:val="Nagwek6Znak"/>
    <w:qFormat/>
    <w:rsid w:val="00F061A3"/>
    <w:pPr>
      <w:widowControl w:val="0"/>
      <w:outlineLvl w:val="5"/>
    </w:pPr>
    <w:rPr>
      <w:rFonts w:ascii="Courier" w:hAnsi="Courier"/>
      <w:snapToGrid w:val="0"/>
      <w:lang w:val="en-US" w:eastAsia="en-US"/>
    </w:rPr>
  </w:style>
  <w:style w:type="paragraph" w:styleId="Nagwek7">
    <w:name w:val="heading 7"/>
    <w:basedOn w:val="Normalny"/>
    <w:next w:val="Normalny"/>
    <w:link w:val="Nagwek7Znak"/>
    <w:qFormat/>
    <w:rsid w:val="00F061A3"/>
    <w:pPr>
      <w:widowControl w:val="0"/>
      <w:outlineLvl w:val="6"/>
    </w:pPr>
    <w:rPr>
      <w:rFonts w:ascii="Courier" w:hAnsi="Courier"/>
      <w:snapToGrid w:val="0"/>
      <w:lang w:val="en-US" w:eastAsia="en-US"/>
    </w:rPr>
  </w:style>
  <w:style w:type="paragraph" w:styleId="Nagwek8">
    <w:name w:val="heading 8"/>
    <w:basedOn w:val="Normalny"/>
    <w:next w:val="Normalny"/>
    <w:link w:val="Nagwek8Znak"/>
    <w:qFormat/>
    <w:rsid w:val="00F061A3"/>
    <w:pPr>
      <w:widowControl w:val="0"/>
      <w:outlineLvl w:val="7"/>
    </w:pPr>
    <w:rPr>
      <w:rFonts w:ascii="Courier" w:hAnsi="Courier"/>
      <w:snapToGrid w:val="0"/>
      <w:lang w:val="en-US" w:eastAsia="en-US"/>
    </w:rPr>
  </w:style>
  <w:style w:type="paragraph" w:styleId="Nagwek9">
    <w:name w:val="heading 9"/>
    <w:basedOn w:val="Normalny"/>
    <w:next w:val="Normalny"/>
    <w:link w:val="Nagwek9Znak"/>
    <w:qFormat/>
    <w:rsid w:val="00F061A3"/>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61A3"/>
    <w:rPr>
      <w:rFonts w:ascii="Times New Roman" w:eastAsia="Times New Roman" w:hAnsi="Times New Roman" w:cs="Times New Roman"/>
      <w:b/>
      <w:sz w:val="28"/>
      <w:szCs w:val="20"/>
      <w:lang w:val="fr-FR" w:eastAsia="fr-FR"/>
    </w:rPr>
  </w:style>
  <w:style w:type="character" w:customStyle="1" w:styleId="Nagwek2Znak">
    <w:name w:val="Nagłówek 2 Znak"/>
    <w:basedOn w:val="Domylnaczcionkaakapitu"/>
    <w:link w:val="Nagwek2"/>
    <w:rsid w:val="00F061A3"/>
    <w:rPr>
      <w:rFonts w:ascii="Times New Roman" w:eastAsia="Times New Roman" w:hAnsi="Times New Roman" w:cs="Times New Roman"/>
      <w:b/>
      <w:sz w:val="24"/>
      <w:szCs w:val="20"/>
      <w:lang w:val="fr-FR" w:eastAsia="fr-FR"/>
    </w:rPr>
  </w:style>
  <w:style w:type="character" w:customStyle="1" w:styleId="Nagwek3Znak">
    <w:name w:val="Nagłówek 3 Znak"/>
    <w:basedOn w:val="Domylnaczcionkaakapitu"/>
    <w:link w:val="Nagwek3"/>
    <w:rsid w:val="00F061A3"/>
    <w:rPr>
      <w:rFonts w:ascii="Times New Roman" w:eastAsia="Times New Roman" w:hAnsi="Times New Roman" w:cs="Times New Roman"/>
      <w:i/>
      <w:sz w:val="24"/>
      <w:szCs w:val="20"/>
      <w:lang w:val="fr-FR" w:eastAsia="fr-FR"/>
    </w:rPr>
  </w:style>
  <w:style w:type="character" w:customStyle="1" w:styleId="Nagwek4Znak">
    <w:name w:val="Nagłówek 4 Znak"/>
    <w:basedOn w:val="Domylnaczcionkaakapitu"/>
    <w:link w:val="Nagwek4"/>
    <w:rsid w:val="00F061A3"/>
    <w:rPr>
      <w:rFonts w:ascii="Courier" w:eastAsia="Times New Roman" w:hAnsi="Courier" w:cs="Times New Roman"/>
      <w:snapToGrid w:val="0"/>
      <w:sz w:val="24"/>
      <w:szCs w:val="20"/>
      <w:lang w:val="en-US"/>
    </w:rPr>
  </w:style>
  <w:style w:type="character" w:customStyle="1" w:styleId="Nagwek5Znak">
    <w:name w:val="Nagłówek 5 Znak"/>
    <w:basedOn w:val="Domylnaczcionkaakapitu"/>
    <w:link w:val="Nagwek5"/>
    <w:rsid w:val="00F061A3"/>
    <w:rPr>
      <w:rFonts w:ascii="Courier" w:eastAsia="Times New Roman" w:hAnsi="Courier" w:cs="Times New Roman"/>
      <w:snapToGrid w:val="0"/>
      <w:sz w:val="24"/>
      <w:szCs w:val="20"/>
      <w:lang w:val="en-US"/>
    </w:rPr>
  </w:style>
  <w:style w:type="character" w:customStyle="1" w:styleId="Nagwek6Znak">
    <w:name w:val="Nagłówek 6 Znak"/>
    <w:basedOn w:val="Domylnaczcionkaakapitu"/>
    <w:link w:val="Nagwek6"/>
    <w:rsid w:val="00F061A3"/>
    <w:rPr>
      <w:rFonts w:ascii="Courier" w:eastAsia="Times New Roman" w:hAnsi="Courier" w:cs="Times New Roman"/>
      <w:snapToGrid w:val="0"/>
      <w:sz w:val="24"/>
      <w:szCs w:val="20"/>
      <w:lang w:val="en-US"/>
    </w:rPr>
  </w:style>
  <w:style w:type="character" w:customStyle="1" w:styleId="Nagwek7Znak">
    <w:name w:val="Nagłówek 7 Znak"/>
    <w:basedOn w:val="Domylnaczcionkaakapitu"/>
    <w:link w:val="Nagwek7"/>
    <w:rsid w:val="00F061A3"/>
    <w:rPr>
      <w:rFonts w:ascii="Courier" w:eastAsia="Times New Roman" w:hAnsi="Courier" w:cs="Times New Roman"/>
      <w:snapToGrid w:val="0"/>
      <w:sz w:val="24"/>
      <w:szCs w:val="20"/>
      <w:lang w:val="en-US"/>
    </w:rPr>
  </w:style>
  <w:style w:type="character" w:customStyle="1" w:styleId="Nagwek8Znak">
    <w:name w:val="Nagłówek 8 Znak"/>
    <w:basedOn w:val="Domylnaczcionkaakapitu"/>
    <w:link w:val="Nagwek8"/>
    <w:rsid w:val="00F061A3"/>
    <w:rPr>
      <w:rFonts w:ascii="Courier" w:eastAsia="Times New Roman" w:hAnsi="Courier" w:cs="Times New Roman"/>
      <w:snapToGrid w:val="0"/>
      <w:sz w:val="24"/>
      <w:szCs w:val="20"/>
      <w:lang w:val="en-US"/>
    </w:rPr>
  </w:style>
  <w:style w:type="character" w:customStyle="1" w:styleId="Nagwek9Znak">
    <w:name w:val="Nagłówek 9 Znak"/>
    <w:basedOn w:val="Domylnaczcionkaakapitu"/>
    <w:link w:val="Nagwek9"/>
    <w:rsid w:val="00F061A3"/>
    <w:rPr>
      <w:rFonts w:ascii="Times New Roman" w:eastAsia="Times New Roman" w:hAnsi="Times New Roman" w:cs="Times New Roman"/>
      <w:i/>
      <w:spacing w:val="-2"/>
      <w:szCs w:val="20"/>
      <w:lang w:val="fr-FR" w:eastAsia="fr-FR"/>
    </w:rPr>
  </w:style>
  <w:style w:type="paragraph" w:customStyle="1" w:styleId="OpiHA">
    <w:name w:val="Opi_H_A"/>
    <w:basedOn w:val="JuHIRoman"/>
    <w:next w:val="OpiPara"/>
    <w:rsid w:val="00F061A3"/>
    <w:pPr>
      <w:tabs>
        <w:tab w:val="clear" w:pos="357"/>
      </w:tabs>
    </w:pPr>
    <w:rPr>
      <w:b/>
    </w:rPr>
  </w:style>
  <w:style w:type="paragraph" w:customStyle="1" w:styleId="JuHIRoman">
    <w:name w:val="Ju_H_I_Roman"/>
    <w:basedOn w:val="JuHHead"/>
    <w:next w:val="JuPara"/>
    <w:link w:val="JuHIRomanChar"/>
    <w:rsid w:val="00F061A3"/>
    <w:pPr>
      <w:tabs>
        <w:tab w:val="left" w:pos="357"/>
      </w:tabs>
      <w:spacing w:before="360"/>
      <w:ind w:left="357" w:hanging="357"/>
      <w:outlineLvl w:val="1"/>
    </w:pPr>
    <w:rPr>
      <w:sz w:val="24"/>
    </w:rPr>
  </w:style>
  <w:style w:type="paragraph" w:customStyle="1" w:styleId="JuHHead">
    <w:name w:val="Ju_H_Head"/>
    <w:basedOn w:val="NormalTimesNewRoman"/>
    <w:next w:val="JuPara"/>
    <w:rsid w:val="00F061A3"/>
    <w:pPr>
      <w:keepNext/>
      <w:keepLines/>
      <w:spacing w:before="720" w:after="240"/>
      <w:jc w:val="both"/>
      <w:outlineLvl w:val="0"/>
    </w:pPr>
    <w:rPr>
      <w:sz w:val="28"/>
    </w:rPr>
  </w:style>
  <w:style w:type="character" w:customStyle="1" w:styleId="DefaultTimesNewRoman">
    <w:name w:val="Default_TimesNewRoman"/>
    <w:rsid w:val="00F061A3"/>
    <w:rPr>
      <w:rFonts w:ascii="Times New Roman" w:hAnsi="Times New Roman" w:cs="Times New Roman"/>
    </w:rPr>
  </w:style>
  <w:style w:type="paragraph" w:customStyle="1" w:styleId="JuPara">
    <w:name w:val="Ju_Para"/>
    <w:aliases w:val="Left,First line:  0 cm,ECHR_Para"/>
    <w:basedOn w:val="NormalTimesNewRoman"/>
    <w:link w:val="JuParaCar"/>
    <w:rsid w:val="00F061A3"/>
    <w:pPr>
      <w:ind w:firstLine="284"/>
      <w:jc w:val="both"/>
    </w:pPr>
  </w:style>
  <w:style w:type="character" w:customStyle="1" w:styleId="JuParaCar">
    <w:name w:val="Ju_Para Car"/>
    <w:link w:val="JuPara"/>
    <w:rsid w:val="00F061A3"/>
    <w:rPr>
      <w:rFonts w:ascii="Times New Roman" w:eastAsia="Times New Roman" w:hAnsi="Times New Roman" w:cs="Times New Roman"/>
      <w:sz w:val="24"/>
      <w:szCs w:val="20"/>
      <w:lang w:val="fr-FR" w:eastAsia="fr-FR"/>
    </w:rPr>
  </w:style>
  <w:style w:type="character" w:customStyle="1" w:styleId="JuHIRomanChar">
    <w:name w:val="Ju_H_I_Roman Char"/>
    <w:link w:val="JuHIRoman"/>
    <w:rsid w:val="00F061A3"/>
    <w:rPr>
      <w:rFonts w:ascii="Times New Roman" w:eastAsia="Times New Roman" w:hAnsi="Times New Roman" w:cs="Times New Roman"/>
      <w:sz w:val="24"/>
      <w:szCs w:val="20"/>
      <w:lang w:val="fr-FR" w:eastAsia="fr-FR"/>
    </w:rPr>
  </w:style>
  <w:style w:type="paragraph" w:customStyle="1" w:styleId="OpiPara">
    <w:name w:val="Opi_Para"/>
    <w:basedOn w:val="JuPara"/>
    <w:rsid w:val="00F061A3"/>
  </w:style>
  <w:style w:type="paragraph" w:customStyle="1" w:styleId="OpiH1">
    <w:name w:val="Opi_H_1."/>
    <w:basedOn w:val="OpiHA"/>
    <w:next w:val="OpiPara"/>
    <w:rsid w:val="00F061A3"/>
    <w:pPr>
      <w:spacing w:before="240" w:after="120"/>
      <w:ind w:left="635"/>
      <w:outlineLvl w:val="2"/>
    </w:pPr>
    <w:rPr>
      <w:b w:val="0"/>
      <w:i/>
    </w:rPr>
  </w:style>
  <w:style w:type="paragraph" w:customStyle="1" w:styleId="OpiHa0">
    <w:name w:val="Opi_H_a"/>
    <w:basedOn w:val="OpiH1"/>
    <w:next w:val="OpiPara"/>
    <w:rsid w:val="00F061A3"/>
    <w:pPr>
      <w:ind w:left="833"/>
      <w:outlineLvl w:val="3"/>
    </w:pPr>
    <w:rPr>
      <w:b/>
      <w:i w:val="0"/>
      <w:sz w:val="20"/>
    </w:rPr>
  </w:style>
  <w:style w:type="paragraph" w:customStyle="1" w:styleId="OpiHHead">
    <w:name w:val="Opi_H_Head"/>
    <w:basedOn w:val="JuHHead"/>
    <w:next w:val="OpiPara"/>
    <w:rsid w:val="00F061A3"/>
    <w:pPr>
      <w:spacing w:before="0"/>
      <w:jc w:val="center"/>
    </w:pPr>
  </w:style>
  <w:style w:type="paragraph" w:customStyle="1" w:styleId="OpiHi">
    <w:name w:val="Opi_H_i"/>
    <w:basedOn w:val="OpiHa0"/>
    <w:next w:val="OpiPara"/>
    <w:rsid w:val="00F061A3"/>
    <w:pPr>
      <w:ind w:left="1037"/>
      <w:outlineLvl w:val="4"/>
    </w:pPr>
    <w:rPr>
      <w:b w:val="0"/>
      <w:i/>
    </w:rPr>
  </w:style>
  <w:style w:type="paragraph" w:styleId="Stopka">
    <w:name w:val="footer"/>
    <w:basedOn w:val="Normalny"/>
    <w:link w:val="StopkaZnak"/>
    <w:uiPriority w:val="99"/>
    <w:rsid w:val="00F061A3"/>
    <w:pPr>
      <w:tabs>
        <w:tab w:val="center" w:pos="3686"/>
        <w:tab w:val="right" w:pos="7371"/>
      </w:tabs>
    </w:pPr>
    <w:rPr>
      <w:sz w:val="18"/>
    </w:rPr>
  </w:style>
  <w:style w:type="character" w:customStyle="1" w:styleId="StopkaZnak">
    <w:name w:val="Stopka Znak"/>
    <w:basedOn w:val="Domylnaczcionkaakapitu"/>
    <w:link w:val="Stopka"/>
    <w:uiPriority w:val="99"/>
    <w:rsid w:val="00F061A3"/>
    <w:rPr>
      <w:rFonts w:ascii="Times New Roman" w:eastAsia="Times New Roman" w:hAnsi="Times New Roman" w:cs="Times New Roman"/>
      <w:sz w:val="18"/>
      <w:szCs w:val="20"/>
      <w:lang w:val="fr-FR" w:eastAsia="fr-FR"/>
    </w:rPr>
  </w:style>
  <w:style w:type="paragraph" w:customStyle="1" w:styleId="JuJudges">
    <w:name w:val="Ju_Judges"/>
    <w:basedOn w:val="NormalTimesNewRoman"/>
    <w:link w:val="JuJudgesChar"/>
    <w:rsid w:val="00F061A3"/>
    <w:pPr>
      <w:tabs>
        <w:tab w:val="left" w:pos="567"/>
        <w:tab w:val="left" w:pos="1134"/>
      </w:tabs>
    </w:pPr>
  </w:style>
  <w:style w:type="character" w:customStyle="1" w:styleId="JuJudgesChar">
    <w:name w:val="Ju_Judges Char"/>
    <w:link w:val="JuJudges"/>
    <w:rsid w:val="00F061A3"/>
    <w:rPr>
      <w:rFonts w:ascii="Times New Roman" w:eastAsia="Times New Roman" w:hAnsi="Times New Roman" w:cs="Times New Roman"/>
      <w:sz w:val="24"/>
      <w:szCs w:val="20"/>
      <w:lang w:val="fr-FR" w:eastAsia="fr-FR"/>
    </w:rPr>
  </w:style>
  <w:style w:type="character" w:styleId="Pogrubienie">
    <w:name w:val="Strong"/>
    <w:qFormat/>
    <w:rsid w:val="00F061A3"/>
    <w:rPr>
      <w:b/>
      <w:bCs/>
    </w:rPr>
  </w:style>
  <w:style w:type="paragraph" w:customStyle="1" w:styleId="JuHA">
    <w:name w:val="Ju_H_A"/>
    <w:basedOn w:val="JuHIRoman"/>
    <w:next w:val="JuPara"/>
    <w:rsid w:val="00F061A3"/>
    <w:pPr>
      <w:tabs>
        <w:tab w:val="clear" w:pos="357"/>
        <w:tab w:val="left" w:pos="584"/>
      </w:tabs>
      <w:ind w:left="584" w:hanging="352"/>
      <w:outlineLvl w:val="2"/>
    </w:pPr>
    <w:rPr>
      <w:b/>
    </w:rPr>
  </w:style>
  <w:style w:type="paragraph" w:customStyle="1" w:styleId="JuQuot">
    <w:name w:val="Ju_Quot"/>
    <w:basedOn w:val="JuPara"/>
    <w:rsid w:val="00F061A3"/>
    <w:pPr>
      <w:spacing w:before="120" w:after="120"/>
      <w:ind w:left="425" w:firstLine="142"/>
    </w:pPr>
    <w:rPr>
      <w:sz w:val="20"/>
    </w:rPr>
  </w:style>
  <w:style w:type="paragraph" w:customStyle="1" w:styleId="JuSigned">
    <w:name w:val="Ju_Signed"/>
    <w:basedOn w:val="NormalTimesNewRoman"/>
    <w:next w:val="JuParaLast"/>
    <w:rsid w:val="00F061A3"/>
    <w:pPr>
      <w:tabs>
        <w:tab w:val="center" w:pos="851"/>
        <w:tab w:val="center" w:pos="6407"/>
      </w:tabs>
      <w:spacing w:before="720"/>
    </w:pPr>
  </w:style>
  <w:style w:type="paragraph" w:customStyle="1" w:styleId="JuParaLast">
    <w:name w:val="Ju_Para_Last"/>
    <w:basedOn w:val="JuPara"/>
    <w:next w:val="JuPara"/>
    <w:rsid w:val="00F061A3"/>
    <w:pPr>
      <w:keepNext/>
      <w:keepLines/>
      <w:spacing w:before="240"/>
    </w:pPr>
  </w:style>
  <w:style w:type="paragraph" w:customStyle="1" w:styleId="JuCase">
    <w:name w:val="Ju_Case"/>
    <w:basedOn w:val="JuPara"/>
    <w:next w:val="JuPara"/>
    <w:rsid w:val="00F061A3"/>
    <w:rPr>
      <w:b/>
    </w:rPr>
  </w:style>
  <w:style w:type="paragraph" w:customStyle="1" w:styleId="JuList">
    <w:name w:val="Ju_List"/>
    <w:basedOn w:val="JuPara"/>
    <w:rsid w:val="00F061A3"/>
    <w:pPr>
      <w:ind w:left="340" w:hanging="340"/>
    </w:pPr>
  </w:style>
  <w:style w:type="paragraph" w:customStyle="1" w:styleId="JuHArticle">
    <w:name w:val="Ju_H_Article"/>
    <w:basedOn w:val="JuHa0"/>
    <w:next w:val="JuQuot"/>
    <w:rsid w:val="00F061A3"/>
    <w:pPr>
      <w:ind w:left="0" w:firstLine="0"/>
      <w:jc w:val="center"/>
    </w:pPr>
  </w:style>
  <w:style w:type="paragraph" w:customStyle="1" w:styleId="JuHa0">
    <w:name w:val="Ju_H_a"/>
    <w:basedOn w:val="JuH1"/>
    <w:next w:val="JuPara"/>
    <w:rsid w:val="00F061A3"/>
    <w:pPr>
      <w:tabs>
        <w:tab w:val="clear" w:pos="731"/>
        <w:tab w:val="left" w:pos="975"/>
      </w:tabs>
      <w:ind w:left="975" w:hanging="340"/>
      <w:outlineLvl w:val="4"/>
    </w:pPr>
    <w:rPr>
      <w:b/>
      <w:i w:val="0"/>
      <w:sz w:val="20"/>
    </w:rPr>
  </w:style>
  <w:style w:type="paragraph" w:customStyle="1" w:styleId="JuH1">
    <w:name w:val="Ju_H_1."/>
    <w:basedOn w:val="JuHA"/>
    <w:next w:val="JuPara"/>
    <w:rsid w:val="00F061A3"/>
    <w:pPr>
      <w:tabs>
        <w:tab w:val="clear" w:pos="584"/>
        <w:tab w:val="left" w:pos="731"/>
      </w:tabs>
      <w:spacing w:before="240" w:after="120"/>
      <w:ind w:left="732" w:hanging="301"/>
      <w:outlineLvl w:val="3"/>
    </w:pPr>
    <w:rPr>
      <w:b w:val="0"/>
      <w:i/>
    </w:rPr>
  </w:style>
  <w:style w:type="paragraph" w:customStyle="1" w:styleId="JuCourt">
    <w:name w:val="Ju_Court"/>
    <w:basedOn w:val="JuJudges"/>
    <w:rsid w:val="00F061A3"/>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F061A3"/>
  </w:style>
  <w:style w:type="paragraph" w:customStyle="1" w:styleId="OpiTranslation">
    <w:name w:val="Opi_Translation"/>
    <w:basedOn w:val="OpiHHead"/>
    <w:next w:val="OpiPara"/>
    <w:rsid w:val="00F061A3"/>
    <w:rPr>
      <w:i/>
      <w:sz w:val="24"/>
    </w:rPr>
  </w:style>
  <w:style w:type="paragraph" w:styleId="Tekstprzypisudolnego">
    <w:name w:val="footnote text"/>
    <w:basedOn w:val="Normalny"/>
    <w:link w:val="TekstprzypisudolnegoZnak"/>
    <w:semiHidden/>
    <w:rsid w:val="00F061A3"/>
    <w:pPr>
      <w:jc w:val="both"/>
    </w:pPr>
    <w:rPr>
      <w:sz w:val="20"/>
    </w:rPr>
  </w:style>
  <w:style w:type="character" w:customStyle="1" w:styleId="TekstprzypisudolnegoZnak">
    <w:name w:val="Tekst przypisu dolnego Znak"/>
    <w:basedOn w:val="Domylnaczcionkaakapitu"/>
    <w:link w:val="Tekstprzypisudolnego"/>
    <w:semiHidden/>
    <w:rsid w:val="00F061A3"/>
    <w:rPr>
      <w:rFonts w:ascii="Times New Roman" w:eastAsia="Times New Roman" w:hAnsi="Times New Roman" w:cs="Times New Roman"/>
      <w:sz w:val="20"/>
      <w:szCs w:val="20"/>
      <w:lang w:val="fr-FR" w:eastAsia="fr-FR"/>
    </w:rPr>
  </w:style>
  <w:style w:type="character" w:styleId="Odwoanieprzypisudolnego">
    <w:name w:val="footnote reference"/>
    <w:semiHidden/>
    <w:rsid w:val="00F061A3"/>
    <w:rPr>
      <w:rFonts w:ascii="Times New Roman" w:hAnsi="Times New Roman" w:cs="Times New Roman"/>
      <w:vertAlign w:val="superscript"/>
    </w:rPr>
  </w:style>
  <w:style w:type="paragraph" w:customStyle="1" w:styleId="JuHi">
    <w:name w:val="Ju_H_i"/>
    <w:basedOn w:val="JuHa0"/>
    <w:next w:val="JuPara"/>
    <w:rsid w:val="00F061A3"/>
    <w:pPr>
      <w:tabs>
        <w:tab w:val="clear" w:pos="975"/>
        <w:tab w:val="left" w:pos="1191"/>
      </w:tabs>
      <w:ind w:left="1190" w:hanging="357"/>
      <w:outlineLvl w:val="5"/>
    </w:pPr>
    <w:rPr>
      <w:b w:val="0"/>
      <w:i/>
    </w:rPr>
  </w:style>
  <w:style w:type="paragraph" w:styleId="Nagwek">
    <w:name w:val="header"/>
    <w:basedOn w:val="Normalny"/>
    <w:link w:val="NagwekZnak"/>
    <w:uiPriority w:val="99"/>
    <w:rsid w:val="00F061A3"/>
    <w:pPr>
      <w:tabs>
        <w:tab w:val="center" w:pos="3686"/>
        <w:tab w:val="right" w:pos="7371"/>
      </w:tabs>
    </w:pPr>
    <w:rPr>
      <w:sz w:val="18"/>
    </w:rPr>
  </w:style>
  <w:style w:type="character" w:customStyle="1" w:styleId="NagwekZnak">
    <w:name w:val="Nagłówek Znak"/>
    <w:basedOn w:val="Domylnaczcionkaakapitu"/>
    <w:link w:val="Nagwek"/>
    <w:uiPriority w:val="99"/>
    <w:rsid w:val="00F061A3"/>
    <w:rPr>
      <w:rFonts w:ascii="Times New Roman" w:eastAsia="Times New Roman" w:hAnsi="Times New Roman" w:cs="Times New Roman"/>
      <w:sz w:val="18"/>
      <w:szCs w:val="20"/>
      <w:lang w:val="fr-FR" w:eastAsia="fr-FR"/>
    </w:rPr>
  </w:style>
  <w:style w:type="character" w:styleId="Numerstrony">
    <w:name w:val="page number"/>
    <w:rsid w:val="00F061A3"/>
    <w:rPr>
      <w:rFonts w:ascii="Times New Roman" w:hAnsi="Times New Roman" w:cs="Times New Roman"/>
      <w:sz w:val="18"/>
    </w:rPr>
  </w:style>
  <w:style w:type="paragraph" w:customStyle="1" w:styleId="JuH">
    <w:name w:val="Ju_H_–"/>
    <w:basedOn w:val="JuHalpha"/>
    <w:next w:val="JuPara"/>
    <w:rsid w:val="00F061A3"/>
    <w:pPr>
      <w:tabs>
        <w:tab w:val="clear" w:pos="1372"/>
      </w:tabs>
      <w:ind w:left="1236" w:firstLine="0"/>
    </w:pPr>
    <w:rPr>
      <w:i/>
    </w:rPr>
  </w:style>
  <w:style w:type="paragraph" w:customStyle="1" w:styleId="JuHalpha">
    <w:name w:val="Ju_H_alpha"/>
    <w:basedOn w:val="JuHi"/>
    <w:next w:val="JuPara"/>
    <w:rsid w:val="00F061A3"/>
    <w:pPr>
      <w:tabs>
        <w:tab w:val="clear" w:pos="1191"/>
        <w:tab w:val="left" w:pos="1372"/>
      </w:tabs>
      <w:ind w:left="1373" w:hanging="335"/>
      <w:outlineLvl w:val="9"/>
    </w:pPr>
    <w:rPr>
      <w:i w:val="0"/>
    </w:rPr>
  </w:style>
  <w:style w:type="paragraph" w:customStyle="1" w:styleId="JuLista">
    <w:name w:val="Ju_List_a"/>
    <w:basedOn w:val="JuList"/>
    <w:rsid w:val="00F061A3"/>
    <w:pPr>
      <w:ind w:left="346" w:firstLine="0"/>
    </w:pPr>
  </w:style>
  <w:style w:type="paragraph" w:customStyle="1" w:styleId="JuListi">
    <w:name w:val="Ju_List_i"/>
    <w:basedOn w:val="JuLista"/>
    <w:uiPriority w:val="99"/>
    <w:rsid w:val="00F061A3"/>
    <w:pPr>
      <w:ind w:left="794"/>
    </w:pPr>
  </w:style>
  <w:style w:type="character" w:styleId="Odwoaniedokomentarza">
    <w:name w:val="annotation reference"/>
    <w:semiHidden/>
    <w:rsid w:val="00F061A3"/>
    <w:rPr>
      <w:sz w:val="16"/>
    </w:rPr>
  </w:style>
  <w:style w:type="paragraph" w:styleId="Tekstkomentarza">
    <w:name w:val="annotation text"/>
    <w:basedOn w:val="Normalny"/>
    <w:link w:val="TekstkomentarzaZnak"/>
    <w:semiHidden/>
    <w:rsid w:val="00F061A3"/>
    <w:rPr>
      <w:sz w:val="20"/>
    </w:rPr>
  </w:style>
  <w:style w:type="character" w:customStyle="1" w:styleId="TekstkomentarzaZnak">
    <w:name w:val="Tekst komentarza Znak"/>
    <w:basedOn w:val="Domylnaczcionkaakapitu"/>
    <w:link w:val="Tekstkomentarza"/>
    <w:semiHidden/>
    <w:rsid w:val="00F061A3"/>
    <w:rPr>
      <w:rFonts w:ascii="Times New Roman" w:eastAsia="Times New Roman" w:hAnsi="Times New Roman" w:cs="Times New Roman"/>
      <w:sz w:val="20"/>
      <w:szCs w:val="20"/>
      <w:lang w:val="fr-FR" w:eastAsia="fr-FR"/>
    </w:rPr>
  </w:style>
  <w:style w:type="paragraph" w:customStyle="1" w:styleId="JuInitialled">
    <w:name w:val="Ju_Initialled"/>
    <w:basedOn w:val="JuSigned"/>
    <w:rsid w:val="00F061A3"/>
    <w:pPr>
      <w:tabs>
        <w:tab w:val="clear" w:pos="851"/>
      </w:tabs>
      <w:jc w:val="right"/>
    </w:pPr>
  </w:style>
  <w:style w:type="paragraph" w:customStyle="1" w:styleId="JuHeader">
    <w:name w:val="Ju_Header"/>
    <w:aliases w:val="ECHR_Header"/>
    <w:basedOn w:val="Nagwek"/>
    <w:uiPriority w:val="99"/>
    <w:rsid w:val="00F061A3"/>
  </w:style>
  <w:style w:type="paragraph" w:customStyle="1" w:styleId="DecHTitle">
    <w:name w:val="Dec_H_Title"/>
    <w:basedOn w:val="Normalny"/>
    <w:rsid w:val="00F061A3"/>
    <w:pPr>
      <w:spacing w:after="240"/>
      <w:jc w:val="center"/>
      <w:outlineLvl w:val="0"/>
    </w:pPr>
    <w:rPr>
      <w:sz w:val="28"/>
    </w:rPr>
  </w:style>
  <w:style w:type="paragraph" w:customStyle="1" w:styleId="DecHCase">
    <w:name w:val="Dec_H_Case"/>
    <w:basedOn w:val="DecHTitle"/>
    <w:next w:val="JuPara"/>
    <w:rsid w:val="00F061A3"/>
    <w:rPr>
      <w:sz w:val="24"/>
    </w:rPr>
  </w:style>
  <w:style w:type="paragraph" w:customStyle="1" w:styleId="DecList">
    <w:name w:val="Dec_List"/>
    <w:basedOn w:val="Normalny"/>
    <w:rsid w:val="00F061A3"/>
    <w:pPr>
      <w:spacing w:before="240"/>
      <w:ind w:left="284"/>
      <w:jc w:val="both"/>
    </w:pPr>
  </w:style>
  <w:style w:type="paragraph" w:customStyle="1" w:styleId="SuCoverTitle1">
    <w:name w:val="Su_Cover_Title1"/>
    <w:basedOn w:val="Normalny"/>
    <w:next w:val="SuCoverTitle2"/>
    <w:rsid w:val="00F061A3"/>
    <w:pPr>
      <w:spacing w:before="2500"/>
      <w:jc w:val="center"/>
    </w:pPr>
    <w:rPr>
      <w:sz w:val="22"/>
    </w:rPr>
  </w:style>
  <w:style w:type="paragraph" w:customStyle="1" w:styleId="SuCoverTitle2">
    <w:name w:val="Su_Cover_Title2"/>
    <w:basedOn w:val="SuCoverTitle1"/>
    <w:next w:val="Normalny"/>
    <w:rsid w:val="00F061A3"/>
    <w:pPr>
      <w:spacing w:before="240"/>
    </w:pPr>
    <w:rPr>
      <w:sz w:val="18"/>
    </w:rPr>
  </w:style>
  <w:style w:type="paragraph" w:customStyle="1" w:styleId="JuQuotSub">
    <w:name w:val="Ju_Quot_Sub"/>
    <w:basedOn w:val="JuQuot"/>
    <w:rsid w:val="00F061A3"/>
    <w:pPr>
      <w:ind w:left="567"/>
    </w:pPr>
  </w:style>
  <w:style w:type="paragraph" w:customStyle="1" w:styleId="JuParaSub">
    <w:name w:val="Ju_Para_Sub"/>
    <w:basedOn w:val="JuPara"/>
    <w:rsid w:val="00F061A3"/>
    <w:pPr>
      <w:ind w:left="284"/>
    </w:pPr>
  </w:style>
  <w:style w:type="paragraph" w:customStyle="1" w:styleId="SuPara">
    <w:name w:val="Su_Para"/>
    <w:basedOn w:val="SuKeywords"/>
    <w:rsid w:val="00F061A3"/>
    <w:pPr>
      <w:spacing w:before="0" w:after="0"/>
    </w:pPr>
    <w:rPr>
      <w:i w:val="0"/>
    </w:rPr>
  </w:style>
  <w:style w:type="paragraph" w:customStyle="1" w:styleId="SuKeywords">
    <w:name w:val="Su_Keywords"/>
    <w:basedOn w:val="SuHHead"/>
    <w:rsid w:val="00F061A3"/>
    <w:pPr>
      <w:spacing w:before="120"/>
    </w:pPr>
    <w:rPr>
      <w:b w:val="0"/>
      <w:i/>
    </w:rPr>
  </w:style>
  <w:style w:type="paragraph" w:customStyle="1" w:styleId="SuHHead">
    <w:name w:val="Su_H_Head"/>
    <w:basedOn w:val="SuSubject"/>
    <w:rsid w:val="00F061A3"/>
    <w:pPr>
      <w:spacing w:after="120"/>
    </w:pPr>
  </w:style>
  <w:style w:type="paragraph" w:customStyle="1" w:styleId="SuSubject">
    <w:name w:val="Su_Subject"/>
    <w:basedOn w:val="SuSummary"/>
    <w:rsid w:val="00F061A3"/>
    <w:pPr>
      <w:suppressAutoHyphens w:val="0"/>
      <w:spacing w:before="360"/>
      <w:jc w:val="both"/>
    </w:pPr>
    <w:rPr>
      <w:b/>
      <w:sz w:val="22"/>
      <w:lang w:val="en-GB"/>
    </w:rPr>
  </w:style>
  <w:style w:type="paragraph" w:customStyle="1" w:styleId="SuSummary">
    <w:name w:val="Su_Summary"/>
    <w:basedOn w:val="Normalny"/>
    <w:next w:val="SuSubject"/>
    <w:rsid w:val="00F061A3"/>
    <w:pPr>
      <w:spacing w:after="240"/>
      <w:jc w:val="center"/>
    </w:pPr>
  </w:style>
  <w:style w:type="paragraph" w:styleId="Tekstdymka">
    <w:name w:val="Balloon Text"/>
    <w:basedOn w:val="Normalny"/>
    <w:link w:val="TekstdymkaZnak"/>
    <w:semiHidden/>
    <w:rsid w:val="00F061A3"/>
    <w:rPr>
      <w:rFonts w:ascii="Tahoma" w:hAnsi="Tahoma" w:cs="Tahoma"/>
      <w:sz w:val="16"/>
      <w:szCs w:val="16"/>
    </w:rPr>
  </w:style>
  <w:style w:type="character" w:customStyle="1" w:styleId="TekstdymkaZnak">
    <w:name w:val="Tekst dymka Znak"/>
    <w:basedOn w:val="Domylnaczcionkaakapitu"/>
    <w:link w:val="Tekstdymka"/>
    <w:semiHidden/>
    <w:rsid w:val="00F061A3"/>
    <w:rPr>
      <w:rFonts w:ascii="Tahoma" w:eastAsia="Times New Roman" w:hAnsi="Tahoma" w:cs="Tahoma"/>
      <w:sz w:val="16"/>
      <w:szCs w:val="16"/>
      <w:lang w:val="fr-FR" w:eastAsia="fr-FR"/>
    </w:rPr>
  </w:style>
  <w:style w:type="character" w:styleId="Hipercze">
    <w:name w:val="Hyperlink"/>
    <w:rsid w:val="00F061A3"/>
    <w:rPr>
      <w:rFonts w:ascii="Times New Roman" w:hAnsi="Times New Roman" w:cs="Times New Roman"/>
      <w:color w:val="0000FF"/>
      <w:u w:val="single"/>
    </w:rPr>
  </w:style>
  <w:style w:type="character" w:styleId="Odwoanieprzypisukocowego">
    <w:name w:val="endnote reference"/>
    <w:semiHidden/>
    <w:rsid w:val="00F061A3"/>
    <w:rPr>
      <w:rFonts w:ascii="Times New Roman" w:hAnsi="Times New Roman" w:cs="Times New Roman"/>
      <w:vertAlign w:val="superscript"/>
    </w:rPr>
  </w:style>
  <w:style w:type="paragraph" w:styleId="Tekstprzypisukocowego">
    <w:name w:val="endnote text"/>
    <w:basedOn w:val="Normalny"/>
    <w:link w:val="TekstprzypisukocowegoZnak"/>
    <w:semiHidden/>
    <w:rsid w:val="00F061A3"/>
    <w:rPr>
      <w:sz w:val="20"/>
    </w:rPr>
  </w:style>
  <w:style w:type="character" w:customStyle="1" w:styleId="TekstprzypisukocowegoZnak">
    <w:name w:val="Tekst przypisu końcowego Znak"/>
    <w:basedOn w:val="Domylnaczcionkaakapitu"/>
    <w:link w:val="Tekstprzypisukocowego"/>
    <w:semiHidden/>
    <w:rsid w:val="00F061A3"/>
    <w:rPr>
      <w:rFonts w:ascii="Times New Roman" w:eastAsia="Times New Roman" w:hAnsi="Times New Roman" w:cs="Times New Roman"/>
      <w:sz w:val="20"/>
      <w:szCs w:val="20"/>
      <w:lang w:val="fr-FR" w:eastAsia="fr-FR"/>
    </w:rPr>
  </w:style>
  <w:style w:type="character" w:styleId="UyteHipercze">
    <w:name w:val="FollowedHyperlink"/>
    <w:rsid w:val="00F061A3"/>
    <w:rPr>
      <w:rFonts w:ascii="Times New Roman" w:hAnsi="Times New Roman" w:cs="Times New Roman"/>
      <w:color w:val="800080"/>
      <w:u w:val="single"/>
    </w:rPr>
  </w:style>
  <w:style w:type="paragraph" w:customStyle="1" w:styleId="JuAppQuestion">
    <w:name w:val="Ju_App_Question"/>
    <w:basedOn w:val="Listapunktowana"/>
    <w:rsid w:val="00F061A3"/>
    <w:pPr>
      <w:numPr>
        <w:numId w:val="2"/>
      </w:numPr>
      <w:suppressAutoHyphens w:val="0"/>
    </w:pPr>
    <w:rPr>
      <w:b/>
      <w:color w:val="333333"/>
      <w:lang w:val="en-GB"/>
    </w:rPr>
  </w:style>
  <w:style w:type="paragraph" w:styleId="Listapunktowana">
    <w:name w:val="List Bullet"/>
    <w:basedOn w:val="Normalny"/>
    <w:rsid w:val="00F061A3"/>
    <w:pPr>
      <w:numPr>
        <w:numId w:val="1"/>
      </w:numPr>
    </w:pPr>
  </w:style>
  <w:style w:type="character" w:customStyle="1" w:styleId="JuNames">
    <w:name w:val="Ju_Names"/>
    <w:rsid w:val="00F061A3"/>
    <w:rPr>
      <w:rFonts w:ascii="Times New Roman" w:hAnsi="Times New Roman" w:cs="Times New Roman"/>
      <w:smallCaps/>
    </w:rPr>
  </w:style>
  <w:style w:type="paragraph" w:customStyle="1" w:styleId="OpiParaSub">
    <w:name w:val="Opi_Para_Sub"/>
    <w:basedOn w:val="JuParaSub"/>
    <w:rsid w:val="00F061A3"/>
  </w:style>
  <w:style w:type="paragraph" w:customStyle="1" w:styleId="OpiQuotSub">
    <w:name w:val="Opi_Quot_Sub"/>
    <w:basedOn w:val="JuQuotSub"/>
    <w:rsid w:val="00F061A3"/>
  </w:style>
  <w:style w:type="paragraph" w:styleId="Tematkomentarza">
    <w:name w:val="annotation subject"/>
    <w:basedOn w:val="Tekstkomentarza"/>
    <w:next w:val="Tekstkomentarza"/>
    <w:link w:val="TematkomentarzaZnak"/>
    <w:semiHidden/>
    <w:rsid w:val="00F061A3"/>
    <w:rPr>
      <w:b/>
      <w:bCs/>
    </w:rPr>
  </w:style>
  <w:style w:type="character" w:customStyle="1" w:styleId="TematkomentarzaZnak">
    <w:name w:val="Temat komentarza Znak"/>
    <w:basedOn w:val="TekstkomentarzaZnak"/>
    <w:link w:val="Tematkomentarza"/>
    <w:semiHidden/>
    <w:rsid w:val="00F061A3"/>
    <w:rPr>
      <w:rFonts w:ascii="Times New Roman" w:eastAsia="Times New Roman" w:hAnsi="Times New Roman" w:cs="Times New Roman"/>
      <w:b/>
      <w:bCs/>
      <w:sz w:val="20"/>
      <w:szCs w:val="20"/>
      <w:lang w:val="fr-FR" w:eastAsia="fr-FR"/>
    </w:rPr>
  </w:style>
  <w:style w:type="paragraph" w:styleId="Mapadokumentu">
    <w:name w:val="Document Map"/>
    <w:basedOn w:val="Normalny"/>
    <w:link w:val="MapadokumentuZnak"/>
    <w:semiHidden/>
    <w:rsid w:val="00F061A3"/>
    <w:pPr>
      <w:shd w:val="clear" w:color="auto" w:fill="000080"/>
    </w:pPr>
    <w:rPr>
      <w:rFonts w:ascii="Tahoma" w:hAnsi="Tahoma" w:cs="Tahoma"/>
      <w:sz w:val="20"/>
    </w:rPr>
  </w:style>
  <w:style w:type="character" w:customStyle="1" w:styleId="MapadokumentuZnak">
    <w:name w:val="Mapa dokumentu Znak"/>
    <w:basedOn w:val="Domylnaczcionkaakapitu"/>
    <w:link w:val="Mapadokumentu"/>
    <w:semiHidden/>
    <w:rsid w:val="00F061A3"/>
    <w:rPr>
      <w:rFonts w:ascii="Tahoma" w:eastAsia="Times New Roman" w:hAnsi="Tahoma" w:cs="Tahoma"/>
      <w:sz w:val="20"/>
      <w:szCs w:val="20"/>
      <w:shd w:val="clear" w:color="auto" w:fill="000080"/>
      <w:lang w:val="fr-FR" w:eastAsia="fr-FR"/>
    </w:rPr>
  </w:style>
  <w:style w:type="paragraph" w:customStyle="1" w:styleId="NormalTimesNewRoman">
    <w:name w:val="Normal_TimesNewRoman"/>
    <w:rsid w:val="00F061A3"/>
    <w:pPr>
      <w:spacing w:after="0" w:line="240" w:lineRule="auto"/>
    </w:pPr>
    <w:rPr>
      <w:rFonts w:ascii="Times New Roman" w:eastAsia="Times New Roman" w:hAnsi="Times New Roman" w:cs="Times New Roman"/>
      <w:sz w:val="24"/>
      <w:szCs w:val="20"/>
      <w:lang w:val="fr-FR" w:eastAsia="fr-FR"/>
    </w:rPr>
  </w:style>
  <w:style w:type="character" w:customStyle="1" w:styleId="JuITMark">
    <w:name w:val="Ju_ITMark"/>
    <w:rsid w:val="00F061A3"/>
    <w:rPr>
      <w:rFonts w:ascii="Times New Roman" w:hAnsi="Times New Roman" w:cs="Times New Roman"/>
      <w:vanish/>
      <w:color w:val="339966"/>
      <w:sz w:val="16"/>
      <w:szCs w:val="16"/>
      <w:lang w:val="fi-FI"/>
    </w:rPr>
  </w:style>
  <w:style w:type="paragraph" w:customStyle="1" w:styleId="JuTitle">
    <w:name w:val="Ju_Title"/>
    <w:basedOn w:val="JuHHead"/>
    <w:next w:val="JuPara"/>
    <w:rsid w:val="00F061A3"/>
    <w:pPr>
      <w:jc w:val="center"/>
    </w:pPr>
    <w:rPr>
      <w:b/>
      <w:caps/>
      <w:sz w:val="24"/>
      <w:szCs w:val="24"/>
      <w:u w:val="single"/>
    </w:rPr>
  </w:style>
  <w:style w:type="character" w:customStyle="1" w:styleId="JuParaChar">
    <w:name w:val="Ju_Para Char"/>
    <w:locked/>
    <w:rsid w:val="00F061A3"/>
    <w:rPr>
      <w:sz w:val="24"/>
      <w:lang w:val="en-GB" w:eastAsia="fr-FR" w:bidi="ar-SA"/>
    </w:rPr>
  </w:style>
  <w:style w:type="paragraph" w:styleId="NormalnyWeb">
    <w:name w:val="Normal (Web)"/>
    <w:basedOn w:val="Normalny"/>
    <w:rsid w:val="00F061A3"/>
    <w:pPr>
      <w:suppressAutoHyphens w:val="0"/>
      <w:spacing w:before="100" w:beforeAutospacing="1" w:after="100" w:afterAutospacing="1"/>
    </w:pPr>
    <w:rPr>
      <w:color w:val="000000"/>
      <w:szCs w:val="24"/>
      <w:lang w:val="en-GB" w:eastAsia="en-GB"/>
    </w:rPr>
  </w:style>
  <w:style w:type="character" w:customStyle="1" w:styleId="JuParaCharChar">
    <w:name w:val="Ju_Para Char Char"/>
    <w:rsid w:val="00F061A3"/>
    <w:rPr>
      <w:sz w:val="24"/>
      <w:lang w:val="fr-FR" w:eastAsia="fr-FR" w:bidi="ar-SA"/>
    </w:rPr>
  </w:style>
  <w:style w:type="paragraph" w:customStyle="1" w:styleId="ju-005fpara">
    <w:name w:val="ju-005fpara"/>
    <w:basedOn w:val="Normalny"/>
    <w:rsid w:val="00F061A3"/>
    <w:pPr>
      <w:suppressAutoHyphens w:val="0"/>
      <w:spacing w:before="100" w:beforeAutospacing="1" w:after="100" w:afterAutospacing="1"/>
    </w:pPr>
    <w:rPr>
      <w:szCs w:val="24"/>
      <w:lang w:val="en-GB" w:eastAsia="en-GB"/>
    </w:rPr>
  </w:style>
  <w:style w:type="character" w:customStyle="1" w:styleId="ju-005fpara-002cleft-002cfirst-0020line-003a-0020-00200-0020cm--char">
    <w:name w:val="ju-005fpara-002cleft-002cfirst-0020line-003a-0020-00200-0020cm--char"/>
    <w:basedOn w:val="Domylnaczcionkaakapitu"/>
    <w:rsid w:val="00F061A3"/>
  </w:style>
  <w:style w:type="character" w:customStyle="1" w:styleId="ju-005fpara--char">
    <w:name w:val="ju-005fpara--char"/>
    <w:basedOn w:val="Domylnaczcionkaakapitu"/>
    <w:rsid w:val="00F061A3"/>
  </w:style>
  <w:style w:type="character" w:customStyle="1" w:styleId="sb8d990e2">
    <w:name w:val="sb8d990e2"/>
    <w:basedOn w:val="Domylnaczcionkaakapitu"/>
    <w:rsid w:val="00F061A3"/>
  </w:style>
  <w:style w:type="character" w:customStyle="1" w:styleId="s6b621b36">
    <w:name w:val="s6b621b36"/>
    <w:basedOn w:val="Domylnaczcionkaakapitu"/>
    <w:rsid w:val="00F061A3"/>
  </w:style>
  <w:style w:type="character" w:customStyle="1" w:styleId="sea881cdf">
    <w:name w:val="sea881cdf"/>
    <w:basedOn w:val="Domylnaczcionkaakapitu"/>
    <w:rsid w:val="00F061A3"/>
  </w:style>
  <w:style w:type="character" w:customStyle="1" w:styleId="tabulatory1">
    <w:name w:val="tabulatory1"/>
    <w:basedOn w:val="Domylnaczcionkaakapitu"/>
    <w:rsid w:val="00F061A3"/>
  </w:style>
  <w:style w:type="character" w:customStyle="1" w:styleId="ju--005fpara----char--char">
    <w:name w:val="ju--005fpara----char--char"/>
    <w:rsid w:val="00F061A3"/>
    <w:rPr>
      <w:rFonts w:cs="Times New Roman"/>
    </w:rPr>
  </w:style>
  <w:style w:type="paragraph" w:customStyle="1" w:styleId="jupara0">
    <w:name w:val="jupara"/>
    <w:basedOn w:val="Normalny"/>
    <w:rsid w:val="00F061A3"/>
    <w:pPr>
      <w:suppressAutoHyphens w:val="0"/>
      <w:ind w:firstLine="284"/>
      <w:jc w:val="both"/>
    </w:pPr>
    <w:rPr>
      <w:szCs w:val="24"/>
      <w:lang w:val="en-GB" w:eastAsia="en-GB"/>
    </w:rPr>
  </w:style>
  <w:style w:type="paragraph" w:customStyle="1" w:styleId="s8293e77f">
    <w:name w:val="s8293e77f"/>
    <w:basedOn w:val="Normalny"/>
    <w:rsid w:val="00F061A3"/>
    <w:pPr>
      <w:suppressAutoHyphens w:val="0"/>
      <w:spacing w:before="100" w:beforeAutospacing="1" w:after="100" w:afterAutospacing="1"/>
    </w:pPr>
    <w:rPr>
      <w:szCs w:val="24"/>
      <w:lang w:val="en-US" w:eastAsia="en-US"/>
    </w:rPr>
  </w:style>
  <w:style w:type="character" w:customStyle="1" w:styleId="s7d2086b4">
    <w:name w:val="s7d2086b4"/>
    <w:rsid w:val="00F061A3"/>
  </w:style>
  <w:style w:type="paragraph" w:customStyle="1" w:styleId="s30eec3f8">
    <w:name w:val="s30eec3f8"/>
    <w:basedOn w:val="Normalny"/>
    <w:rsid w:val="00F061A3"/>
    <w:pPr>
      <w:suppressAutoHyphens w:val="0"/>
      <w:spacing w:before="100" w:beforeAutospacing="1" w:after="100" w:afterAutospacing="1"/>
    </w:pPr>
    <w:rPr>
      <w:szCs w:val="24"/>
      <w:lang w:val="en-US" w:eastAsia="en-US"/>
    </w:rPr>
  </w:style>
  <w:style w:type="character" w:customStyle="1" w:styleId="ju-005fquot--char">
    <w:name w:val="ju-005fquot--char"/>
    <w:rsid w:val="00F061A3"/>
  </w:style>
  <w:style w:type="character" w:styleId="Uwydatnienie">
    <w:name w:val="Emphasis"/>
    <w:basedOn w:val="Domylnaczcionkaakapitu"/>
    <w:qFormat/>
    <w:rsid w:val="00F061A3"/>
    <w:rPr>
      <w:i/>
      <w:iCs/>
    </w:rPr>
  </w:style>
  <w:style w:type="character" w:customStyle="1" w:styleId="FontStyle38">
    <w:name w:val="Font Style38"/>
    <w:basedOn w:val="Domylnaczcionkaakapitu"/>
    <w:rsid w:val="001E654E"/>
    <w:rPr>
      <w:rFonts w:ascii="Times New Roman" w:hAnsi="Times New Roman" w:cs="Times New Roman"/>
      <w:sz w:val="22"/>
      <w:szCs w:val="22"/>
    </w:rPr>
  </w:style>
  <w:style w:type="character" w:customStyle="1" w:styleId="FontStyle44">
    <w:name w:val="Font Style44"/>
    <w:basedOn w:val="Domylnaczcionkaakapitu"/>
    <w:rsid w:val="0010794E"/>
    <w:rPr>
      <w:rFonts w:ascii="Times New Roman" w:hAnsi="Times New Roman" w:cs="Times New Roman"/>
      <w:sz w:val="18"/>
      <w:szCs w:val="18"/>
    </w:rPr>
  </w:style>
  <w:style w:type="character" w:customStyle="1" w:styleId="FontStyle26">
    <w:name w:val="Font Style26"/>
    <w:basedOn w:val="Domylnaczcionkaakapitu"/>
    <w:rsid w:val="003D5B57"/>
    <w:rPr>
      <w:rFonts w:ascii="Times New Roman" w:hAnsi="Times New Roman" w:cs="Times New Roman"/>
      <w:sz w:val="22"/>
      <w:szCs w:val="22"/>
    </w:rPr>
  </w:style>
  <w:style w:type="paragraph" w:styleId="Akapitzlist">
    <w:name w:val="List Paragraph"/>
    <w:basedOn w:val="Normalny"/>
    <w:uiPriority w:val="34"/>
    <w:qFormat/>
    <w:rsid w:val="008A2609"/>
    <w:pPr>
      <w:ind w:left="720"/>
      <w:contextualSpacing/>
    </w:pPr>
  </w:style>
  <w:style w:type="paragraph" w:customStyle="1" w:styleId="Default">
    <w:name w:val="Default"/>
    <w:rsid w:val="0041514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semiHidden/>
    <w:rsid w:val="00F846D9"/>
    <w:pPr>
      <w:suppressAutoHyphens w:val="0"/>
      <w:ind w:left="907" w:hanging="227"/>
      <w:jc w:val="both"/>
    </w:pPr>
    <w:rPr>
      <w:sz w:val="22"/>
      <w:lang w:val="pl-PL" w:eastAsia="pl-PL"/>
    </w:rPr>
  </w:style>
  <w:style w:type="character" w:customStyle="1" w:styleId="TekstpodstawowywcityZnak">
    <w:name w:val="Tekst podstawowy wcięty Znak"/>
    <w:basedOn w:val="Domylnaczcionkaakapitu"/>
    <w:link w:val="Tekstpodstawowywcity"/>
    <w:semiHidden/>
    <w:rsid w:val="00F846D9"/>
    <w:rPr>
      <w:rFonts w:ascii="Times New Roman" w:eastAsia="Times New Roman" w:hAnsi="Times New Roman" w:cs="Times New Roman"/>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61A3"/>
    <w:pPr>
      <w:suppressAutoHyphens/>
      <w:spacing w:after="0" w:line="240" w:lineRule="auto"/>
    </w:pPr>
    <w:rPr>
      <w:rFonts w:ascii="Times New Roman" w:eastAsia="Times New Roman" w:hAnsi="Times New Roman" w:cs="Times New Roman"/>
      <w:sz w:val="24"/>
      <w:szCs w:val="20"/>
      <w:lang w:val="fr-FR" w:eastAsia="fr-FR"/>
    </w:rPr>
  </w:style>
  <w:style w:type="paragraph" w:styleId="Nagwek1">
    <w:name w:val="heading 1"/>
    <w:basedOn w:val="Normalny"/>
    <w:next w:val="Normalny"/>
    <w:link w:val="Nagwek1Znak"/>
    <w:qFormat/>
    <w:rsid w:val="00F061A3"/>
    <w:pPr>
      <w:keepNext/>
      <w:spacing w:before="360" w:after="240"/>
      <w:jc w:val="center"/>
      <w:outlineLvl w:val="0"/>
    </w:pPr>
    <w:rPr>
      <w:b/>
      <w:sz w:val="28"/>
    </w:rPr>
  </w:style>
  <w:style w:type="paragraph" w:styleId="Nagwek2">
    <w:name w:val="heading 2"/>
    <w:basedOn w:val="Normalny"/>
    <w:next w:val="Normalny"/>
    <w:link w:val="Nagwek2Znak"/>
    <w:qFormat/>
    <w:rsid w:val="00F061A3"/>
    <w:pPr>
      <w:keepNext/>
      <w:spacing w:before="240" w:after="120"/>
      <w:ind w:left="284" w:hanging="284"/>
      <w:outlineLvl w:val="1"/>
    </w:pPr>
    <w:rPr>
      <w:b/>
    </w:rPr>
  </w:style>
  <w:style w:type="paragraph" w:styleId="Nagwek3">
    <w:name w:val="heading 3"/>
    <w:basedOn w:val="Normalny"/>
    <w:next w:val="Normalny"/>
    <w:link w:val="Nagwek3Znak"/>
    <w:qFormat/>
    <w:rsid w:val="00F061A3"/>
    <w:pPr>
      <w:keepNext/>
      <w:spacing w:before="120" w:after="60"/>
      <w:ind w:left="1418" w:hanging="851"/>
      <w:outlineLvl w:val="2"/>
    </w:pPr>
    <w:rPr>
      <w:i/>
    </w:rPr>
  </w:style>
  <w:style w:type="paragraph" w:styleId="Nagwek4">
    <w:name w:val="heading 4"/>
    <w:basedOn w:val="Normalny"/>
    <w:next w:val="Normalny"/>
    <w:link w:val="Nagwek4Znak"/>
    <w:qFormat/>
    <w:rsid w:val="00F061A3"/>
    <w:pPr>
      <w:widowControl w:val="0"/>
      <w:outlineLvl w:val="3"/>
    </w:pPr>
    <w:rPr>
      <w:rFonts w:ascii="Courier" w:hAnsi="Courier"/>
      <w:snapToGrid w:val="0"/>
      <w:lang w:val="en-US" w:eastAsia="en-US"/>
    </w:rPr>
  </w:style>
  <w:style w:type="paragraph" w:styleId="Nagwek5">
    <w:name w:val="heading 5"/>
    <w:basedOn w:val="Normalny"/>
    <w:next w:val="Normalny"/>
    <w:link w:val="Nagwek5Znak"/>
    <w:qFormat/>
    <w:rsid w:val="00F061A3"/>
    <w:pPr>
      <w:widowControl w:val="0"/>
      <w:outlineLvl w:val="4"/>
    </w:pPr>
    <w:rPr>
      <w:rFonts w:ascii="Courier" w:hAnsi="Courier"/>
      <w:snapToGrid w:val="0"/>
      <w:lang w:val="en-US" w:eastAsia="en-US"/>
    </w:rPr>
  </w:style>
  <w:style w:type="paragraph" w:styleId="Nagwek6">
    <w:name w:val="heading 6"/>
    <w:basedOn w:val="Normalny"/>
    <w:next w:val="Normalny"/>
    <w:link w:val="Nagwek6Znak"/>
    <w:qFormat/>
    <w:rsid w:val="00F061A3"/>
    <w:pPr>
      <w:widowControl w:val="0"/>
      <w:outlineLvl w:val="5"/>
    </w:pPr>
    <w:rPr>
      <w:rFonts w:ascii="Courier" w:hAnsi="Courier"/>
      <w:snapToGrid w:val="0"/>
      <w:lang w:val="en-US" w:eastAsia="en-US"/>
    </w:rPr>
  </w:style>
  <w:style w:type="paragraph" w:styleId="Nagwek7">
    <w:name w:val="heading 7"/>
    <w:basedOn w:val="Normalny"/>
    <w:next w:val="Normalny"/>
    <w:link w:val="Nagwek7Znak"/>
    <w:qFormat/>
    <w:rsid w:val="00F061A3"/>
    <w:pPr>
      <w:widowControl w:val="0"/>
      <w:outlineLvl w:val="6"/>
    </w:pPr>
    <w:rPr>
      <w:rFonts w:ascii="Courier" w:hAnsi="Courier"/>
      <w:snapToGrid w:val="0"/>
      <w:lang w:val="en-US" w:eastAsia="en-US"/>
    </w:rPr>
  </w:style>
  <w:style w:type="paragraph" w:styleId="Nagwek8">
    <w:name w:val="heading 8"/>
    <w:basedOn w:val="Normalny"/>
    <w:next w:val="Normalny"/>
    <w:link w:val="Nagwek8Znak"/>
    <w:qFormat/>
    <w:rsid w:val="00F061A3"/>
    <w:pPr>
      <w:widowControl w:val="0"/>
      <w:outlineLvl w:val="7"/>
    </w:pPr>
    <w:rPr>
      <w:rFonts w:ascii="Courier" w:hAnsi="Courier"/>
      <w:snapToGrid w:val="0"/>
      <w:lang w:val="en-US" w:eastAsia="en-US"/>
    </w:rPr>
  </w:style>
  <w:style w:type="paragraph" w:styleId="Nagwek9">
    <w:name w:val="heading 9"/>
    <w:basedOn w:val="Normalny"/>
    <w:next w:val="Normalny"/>
    <w:link w:val="Nagwek9Znak"/>
    <w:qFormat/>
    <w:rsid w:val="00F061A3"/>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61A3"/>
    <w:rPr>
      <w:rFonts w:ascii="Times New Roman" w:eastAsia="Times New Roman" w:hAnsi="Times New Roman" w:cs="Times New Roman"/>
      <w:b/>
      <w:sz w:val="28"/>
      <w:szCs w:val="20"/>
      <w:lang w:val="fr-FR" w:eastAsia="fr-FR"/>
    </w:rPr>
  </w:style>
  <w:style w:type="character" w:customStyle="1" w:styleId="Nagwek2Znak">
    <w:name w:val="Nagłówek 2 Znak"/>
    <w:basedOn w:val="Domylnaczcionkaakapitu"/>
    <w:link w:val="Nagwek2"/>
    <w:rsid w:val="00F061A3"/>
    <w:rPr>
      <w:rFonts w:ascii="Times New Roman" w:eastAsia="Times New Roman" w:hAnsi="Times New Roman" w:cs="Times New Roman"/>
      <w:b/>
      <w:sz w:val="24"/>
      <w:szCs w:val="20"/>
      <w:lang w:val="fr-FR" w:eastAsia="fr-FR"/>
    </w:rPr>
  </w:style>
  <w:style w:type="character" w:customStyle="1" w:styleId="Nagwek3Znak">
    <w:name w:val="Nagłówek 3 Znak"/>
    <w:basedOn w:val="Domylnaczcionkaakapitu"/>
    <w:link w:val="Nagwek3"/>
    <w:rsid w:val="00F061A3"/>
    <w:rPr>
      <w:rFonts w:ascii="Times New Roman" w:eastAsia="Times New Roman" w:hAnsi="Times New Roman" w:cs="Times New Roman"/>
      <w:i/>
      <w:sz w:val="24"/>
      <w:szCs w:val="20"/>
      <w:lang w:val="fr-FR" w:eastAsia="fr-FR"/>
    </w:rPr>
  </w:style>
  <w:style w:type="character" w:customStyle="1" w:styleId="Nagwek4Znak">
    <w:name w:val="Nagłówek 4 Znak"/>
    <w:basedOn w:val="Domylnaczcionkaakapitu"/>
    <w:link w:val="Nagwek4"/>
    <w:rsid w:val="00F061A3"/>
    <w:rPr>
      <w:rFonts w:ascii="Courier" w:eastAsia="Times New Roman" w:hAnsi="Courier" w:cs="Times New Roman"/>
      <w:snapToGrid w:val="0"/>
      <w:sz w:val="24"/>
      <w:szCs w:val="20"/>
      <w:lang w:val="en-US"/>
    </w:rPr>
  </w:style>
  <w:style w:type="character" w:customStyle="1" w:styleId="Nagwek5Znak">
    <w:name w:val="Nagłówek 5 Znak"/>
    <w:basedOn w:val="Domylnaczcionkaakapitu"/>
    <w:link w:val="Nagwek5"/>
    <w:rsid w:val="00F061A3"/>
    <w:rPr>
      <w:rFonts w:ascii="Courier" w:eastAsia="Times New Roman" w:hAnsi="Courier" w:cs="Times New Roman"/>
      <w:snapToGrid w:val="0"/>
      <w:sz w:val="24"/>
      <w:szCs w:val="20"/>
      <w:lang w:val="en-US"/>
    </w:rPr>
  </w:style>
  <w:style w:type="character" w:customStyle="1" w:styleId="Nagwek6Znak">
    <w:name w:val="Nagłówek 6 Znak"/>
    <w:basedOn w:val="Domylnaczcionkaakapitu"/>
    <w:link w:val="Nagwek6"/>
    <w:rsid w:val="00F061A3"/>
    <w:rPr>
      <w:rFonts w:ascii="Courier" w:eastAsia="Times New Roman" w:hAnsi="Courier" w:cs="Times New Roman"/>
      <w:snapToGrid w:val="0"/>
      <w:sz w:val="24"/>
      <w:szCs w:val="20"/>
      <w:lang w:val="en-US"/>
    </w:rPr>
  </w:style>
  <w:style w:type="character" w:customStyle="1" w:styleId="Nagwek7Znak">
    <w:name w:val="Nagłówek 7 Znak"/>
    <w:basedOn w:val="Domylnaczcionkaakapitu"/>
    <w:link w:val="Nagwek7"/>
    <w:rsid w:val="00F061A3"/>
    <w:rPr>
      <w:rFonts w:ascii="Courier" w:eastAsia="Times New Roman" w:hAnsi="Courier" w:cs="Times New Roman"/>
      <w:snapToGrid w:val="0"/>
      <w:sz w:val="24"/>
      <w:szCs w:val="20"/>
      <w:lang w:val="en-US"/>
    </w:rPr>
  </w:style>
  <w:style w:type="character" w:customStyle="1" w:styleId="Nagwek8Znak">
    <w:name w:val="Nagłówek 8 Znak"/>
    <w:basedOn w:val="Domylnaczcionkaakapitu"/>
    <w:link w:val="Nagwek8"/>
    <w:rsid w:val="00F061A3"/>
    <w:rPr>
      <w:rFonts w:ascii="Courier" w:eastAsia="Times New Roman" w:hAnsi="Courier" w:cs="Times New Roman"/>
      <w:snapToGrid w:val="0"/>
      <w:sz w:val="24"/>
      <w:szCs w:val="20"/>
      <w:lang w:val="en-US"/>
    </w:rPr>
  </w:style>
  <w:style w:type="character" w:customStyle="1" w:styleId="Nagwek9Znak">
    <w:name w:val="Nagłówek 9 Znak"/>
    <w:basedOn w:val="Domylnaczcionkaakapitu"/>
    <w:link w:val="Nagwek9"/>
    <w:rsid w:val="00F061A3"/>
    <w:rPr>
      <w:rFonts w:ascii="Times New Roman" w:eastAsia="Times New Roman" w:hAnsi="Times New Roman" w:cs="Times New Roman"/>
      <w:i/>
      <w:spacing w:val="-2"/>
      <w:szCs w:val="20"/>
      <w:lang w:val="fr-FR" w:eastAsia="fr-FR"/>
    </w:rPr>
  </w:style>
  <w:style w:type="paragraph" w:customStyle="1" w:styleId="OpiHA">
    <w:name w:val="Opi_H_A"/>
    <w:basedOn w:val="JuHIRoman"/>
    <w:next w:val="OpiPara"/>
    <w:rsid w:val="00F061A3"/>
    <w:pPr>
      <w:tabs>
        <w:tab w:val="clear" w:pos="357"/>
      </w:tabs>
    </w:pPr>
    <w:rPr>
      <w:b/>
    </w:rPr>
  </w:style>
  <w:style w:type="paragraph" w:customStyle="1" w:styleId="JuHIRoman">
    <w:name w:val="Ju_H_I_Roman"/>
    <w:basedOn w:val="JuHHead"/>
    <w:next w:val="JuPara"/>
    <w:link w:val="JuHIRomanChar"/>
    <w:rsid w:val="00F061A3"/>
    <w:pPr>
      <w:tabs>
        <w:tab w:val="left" w:pos="357"/>
      </w:tabs>
      <w:spacing w:before="360"/>
      <w:ind w:left="357" w:hanging="357"/>
      <w:outlineLvl w:val="1"/>
    </w:pPr>
    <w:rPr>
      <w:sz w:val="24"/>
    </w:rPr>
  </w:style>
  <w:style w:type="paragraph" w:customStyle="1" w:styleId="JuHHead">
    <w:name w:val="Ju_H_Head"/>
    <w:basedOn w:val="NormalTimesNewRoman"/>
    <w:next w:val="JuPara"/>
    <w:rsid w:val="00F061A3"/>
    <w:pPr>
      <w:keepNext/>
      <w:keepLines/>
      <w:spacing w:before="720" w:after="240"/>
      <w:jc w:val="both"/>
      <w:outlineLvl w:val="0"/>
    </w:pPr>
    <w:rPr>
      <w:sz w:val="28"/>
    </w:rPr>
  </w:style>
  <w:style w:type="character" w:customStyle="1" w:styleId="DefaultTimesNewRoman">
    <w:name w:val="Default_TimesNewRoman"/>
    <w:rsid w:val="00F061A3"/>
    <w:rPr>
      <w:rFonts w:ascii="Times New Roman" w:hAnsi="Times New Roman" w:cs="Times New Roman"/>
    </w:rPr>
  </w:style>
  <w:style w:type="paragraph" w:customStyle="1" w:styleId="JuPara">
    <w:name w:val="Ju_Para"/>
    <w:aliases w:val="Left,First line:  0 cm,ECHR_Para"/>
    <w:basedOn w:val="NormalTimesNewRoman"/>
    <w:link w:val="JuParaCar"/>
    <w:rsid w:val="00F061A3"/>
    <w:pPr>
      <w:ind w:firstLine="284"/>
      <w:jc w:val="both"/>
    </w:pPr>
  </w:style>
  <w:style w:type="character" w:customStyle="1" w:styleId="JuParaCar">
    <w:name w:val="Ju_Para Car"/>
    <w:link w:val="JuPara"/>
    <w:rsid w:val="00F061A3"/>
    <w:rPr>
      <w:rFonts w:ascii="Times New Roman" w:eastAsia="Times New Roman" w:hAnsi="Times New Roman" w:cs="Times New Roman"/>
      <w:sz w:val="24"/>
      <w:szCs w:val="20"/>
      <w:lang w:val="fr-FR" w:eastAsia="fr-FR"/>
    </w:rPr>
  </w:style>
  <w:style w:type="character" w:customStyle="1" w:styleId="JuHIRomanChar">
    <w:name w:val="Ju_H_I_Roman Char"/>
    <w:link w:val="JuHIRoman"/>
    <w:rsid w:val="00F061A3"/>
    <w:rPr>
      <w:rFonts w:ascii="Times New Roman" w:eastAsia="Times New Roman" w:hAnsi="Times New Roman" w:cs="Times New Roman"/>
      <w:sz w:val="24"/>
      <w:szCs w:val="20"/>
      <w:lang w:val="fr-FR" w:eastAsia="fr-FR"/>
    </w:rPr>
  </w:style>
  <w:style w:type="paragraph" w:customStyle="1" w:styleId="OpiPara">
    <w:name w:val="Opi_Para"/>
    <w:basedOn w:val="JuPara"/>
    <w:rsid w:val="00F061A3"/>
  </w:style>
  <w:style w:type="paragraph" w:customStyle="1" w:styleId="OpiH1">
    <w:name w:val="Opi_H_1."/>
    <w:basedOn w:val="OpiHA"/>
    <w:next w:val="OpiPara"/>
    <w:rsid w:val="00F061A3"/>
    <w:pPr>
      <w:spacing w:before="240" w:after="120"/>
      <w:ind w:left="635"/>
      <w:outlineLvl w:val="2"/>
    </w:pPr>
    <w:rPr>
      <w:b w:val="0"/>
      <w:i/>
    </w:rPr>
  </w:style>
  <w:style w:type="paragraph" w:customStyle="1" w:styleId="OpiHa0">
    <w:name w:val="Opi_H_a"/>
    <w:basedOn w:val="OpiH1"/>
    <w:next w:val="OpiPara"/>
    <w:rsid w:val="00F061A3"/>
    <w:pPr>
      <w:ind w:left="833"/>
      <w:outlineLvl w:val="3"/>
    </w:pPr>
    <w:rPr>
      <w:b/>
      <w:i w:val="0"/>
      <w:sz w:val="20"/>
    </w:rPr>
  </w:style>
  <w:style w:type="paragraph" w:customStyle="1" w:styleId="OpiHHead">
    <w:name w:val="Opi_H_Head"/>
    <w:basedOn w:val="JuHHead"/>
    <w:next w:val="OpiPara"/>
    <w:rsid w:val="00F061A3"/>
    <w:pPr>
      <w:spacing w:before="0"/>
      <w:jc w:val="center"/>
    </w:pPr>
  </w:style>
  <w:style w:type="paragraph" w:customStyle="1" w:styleId="OpiHi">
    <w:name w:val="Opi_H_i"/>
    <w:basedOn w:val="OpiHa0"/>
    <w:next w:val="OpiPara"/>
    <w:rsid w:val="00F061A3"/>
    <w:pPr>
      <w:ind w:left="1037"/>
      <w:outlineLvl w:val="4"/>
    </w:pPr>
    <w:rPr>
      <w:b w:val="0"/>
      <w:i/>
    </w:rPr>
  </w:style>
  <w:style w:type="paragraph" w:styleId="Stopka">
    <w:name w:val="footer"/>
    <w:basedOn w:val="Normalny"/>
    <w:link w:val="StopkaZnak"/>
    <w:uiPriority w:val="99"/>
    <w:rsid w:val="00F061A3"/>
    <w:pPr>
      <w:tabs>
        <w:tab w:val="center" w:pos="3686"/>
        <w:tab w:val="right" w:pos="7371"/>
      </w:tabs>
    </w:pPr>
    <w:rPr>
      <w:sz w:val="18"/>
    </w:rPr>
  </w:style>
  <w:style w:type="character" w:customStyle="1" w:styleId="StopkaZnak">
    <w:name w:val="Stopka Znak"/>
    <w:basedOn w:val="Domylnaczcionkaakapitu"/>
    <w:link w:val="Stopka"/>
    <w:uiPriority w:val="99"/>
    <w:rsid w:val="00F061A3"/>
    <w:rPr>
      <w:rFonts w:ascii="Times New Roman" w:eastAsia="Times New Roman" w:hAnsi="Times New Roman" w:cs="Times New Roman"/>
      <w:sz w:val="18"/>
      <w:szCs w:val="20"/>
      <w:lang w:val="fr-FR" w:eastAsia="fr-FR"/>
    </w:rPr>
  </w:style>
  <w:style w:type="paragraph" w:customStyle="1" w:styleId="JuJudges">
    <w:name w:val="Ju_Judges"/>
    <w:basedOn w:val="NormalTimesNewRoman"/>
    <w:link w:val="JuJudgesChar"/>
    <w:rsid w:val="00F061A3"/>
    <w:pPr>
      <w:tabs>
        <w:tab w:val="left" w:pos="567"/>
        <w:tab w:val="left" w:pos="1134"/>
      </w:tabs>
    </w:pPr>
  </w:style>
  <w:style w:type="character" w:customStyle="1" w:styleId="JuJudgesChar">
    <w:name w:val="Ju_Judges Char"/>
    <w:link w:val="JuJudges"/>
    <w:rsid w:val="00F061A3"/>
    <w:rPr>
      <w:rFonts w:ascii="Times New Roman" w:eastAsia="Times New Roman" w:hAnsi="Times New Roman" w:cs="Times New Roman"/>
      <w:sz w:val="24"/>
      <w:szCs w:val="20"/>
      <w:lang w:val="fr-FR" w:eastAsia="fr-FR"/>
    </w:rPr>
  </w:style>
  <w:style w:type="character" w:styleId="Pogrubienie">
    <w:name w:val="Strong"/>
    <w:qFormat/>
    <w:rsid w:val="00F061A3"/>
    <w:rPr>
      <w:b/>
      <w:bCs/>
    </w:rPr>
  </w:style>
  <w:style w:type="paragraph" w:customStyle="1" w:styleId="JuHA">
    <w:name w:val="Ju_H_A"/>
    <w:basedOn w:val="JuHIRoman"/>
    <w:next w:val="JuPara"/>
    <w:rsid w:val="00F061A3"/>
    <w:pPr>
      <w:tabs>
        <w:tab w:val="clear" w:pos="357"/>
        <w:tab w:val="left" w:pos="584"/>
      </w:tabs>
      <w:ind w:left="584" w:hanging="352"/>
      <w:outlineLvl w:val="2"/>
    </w:pPr>
    <w:rPr>
      <w:b/>
    </w:rPr>
  </w:style>
  <w:style w:type="paragraph" w:customStyle="1" w:styleId="JuQuot">
    <w:name w:val="Ju_Quot"/>
    <w:basedOn w:val="JuPara"/>
    <w:rsid w:val="00F061A3"/>
    <w:pPr>
      <w:spacing w:before="120" w:after="120"/>
      <w:ind w:left="425" w:firstLine="142"/>
    </w:pPr>
    <w:rPr>
      <w:sz w:val="20"/>
    </w:rPr>
  </w:style>
  <w:style w:type="paragraph" w:customStyle="1" w:styleId="JuSigned">
    <w:name w:val="Ju_Signed"/>
    <w:basedOn w:val="NormalTimesNewRoman"/>
    <w:next w:val="JuParaLast"/>
    <w:rsid w:val="00F061A3"/>
    <w:pPr>
      <w:tabs>
        <w:tab w:val="center" w:pos="851"/>
        <w:tab w:val="center" w:pos="6407"/>
      </w:tabs>
      <w:spacing w:before="720"/>
    </w:pPr>
  </w:style>
  <w:style w:type="paragraph" w:customStyle="1" w:styleId="JuParaLast">
    <w:name w:val="Ju_Para_Last"/>
    <w:basedOn w:val="JuPara"/>
    <w:next w:val="JuPara"/>
    <w:rsid w:val="00F061A3"/>
    <w:pPr>
      <w:keepNext/>
      <w:keepLines/>
      <w:spacing w:before="240"/>
    </w:pPr>
  </w:style>
  <w:style w:type="paragraph" w:customStyle="1" w:styleId="JuCase">
    <w:name w:val="Ju_Case"/>
    <w:basedOn w:val="JuPara"/>
    <w:next w:val="JuPara"/>
    <w:rsid w:val="00F061A3"/>
    <w:rPr>
      <w:b/>
    </w:rPr>
  </w:style>
  <w:style w:type="paragraph" w:customStyle="1" w:styleId="JuList">
    <w:name w:val="Ju_List"/>
    <w:basedOn w:val="JuPara"/>
    <w:rsid w:val="00F061A3"/>
    <w:pPr>
      <w:ind w:left="340" w:hanging="340"/>
    </w:pPr>
  </w:style>
  <w:style w:type="paragraph" w:customStyle="1" w:styleId="JuHArticle">
    <w:name w:val="Ju_H_Article"/>
    <w:basedOn w:val="JuHa0"/>
    <w:next w:val="JuQuot"/>
    <w:rsid w:val="00F061A3"/>
    <w:pPr>
      <w:ind w:left="0" w:firstLine="0"/>
      <w:jc w:val="center"/>
    </w:pPr>
  </w:style>
  <w:style w:type="paragraph" w:customStyle="1" w:styleId="JuHa0">
    <w:name w:val="Ju_H_a"/>
    <w:basedOn w:val="JuH1"/>
    <w:next w:val="JuPara"/>
    <w:rsid w:val="00F061A3"/>
    <w:pPr>
      <w:tabs>
        <w:tab w:val="clear" w:pos="731"/>
        <w:tab w:val="left" w:pos="975"/>
      </w:tabs>
      <w:ind w:left="975" w:hanging="340"/>
      <w:outlineLvl w:val="4"/>
    </w:pPr>
    <w:rPr>
      <w:b/>
      <w:i w:val="0"/>
      <w:sz w:val="20"/>
    </w:rPr>
  </w:style>
  <w:style w:type="paragraph" w:customStyle="1" w:styleId="JuH1">
    <w:name w:val="Ju_H_1."/>
    <w:basedOn w:val="JuHA"/>
    <w:next w:val="JuPara"/>
    <w:rsid w:val="00F061A3"/>
    <w:pPr>
      <w:tabs>
        <w:tab w:val="clear" w:pos="584"/>
        <w:tab w:val="left" w:pos="731"/>
      </w:tabs>
      <w:spacing w:before="240" w:after="120"/>
      <w:ind w:left="732" w:hanging="301"/>
      <w:outlineLvl w:val="3"/>
    </w:pPr>
    <w:rPr>
      <w:b w:val="0"/>
      <w:i/>
    </w:rPr>
  </w:style>
  <w:style w:type="paragraph" w:customStyle="1" w:styleId="JuCourt">
    <w:name w:val="Ju_Court"/>
    <w:basedOn w:val="JuJudges"/>
    <w:rsid w:val="00F061A3"/>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F061A3"/>
  </w:style>
  <w:style w:type="paragraph" w:customStyle="1" w:styleId="OpiTranslation">
    <w:name w:val="Opi_Translation"/>
    <w:basedOn w:val="OpiHHead"/>
    <w:next w:val="OpiPara"/>
    <w:rsid w:val="00F061A3"/>
    <w:rPr>
      <w:i/>
      <w:sz w:val="24"/>
    </w:rPr>
  </w:style>
  <w:style w:type="paragraph" w:styleId="Tekstprzypisudolnego">
    <w:name w:val="footnote text"/>
    <w:basedOn w:val="Normalny"/>
    <w:link w:val="TekstprzypisudolnegoZnak"/>
    <w:semiHidden/>
    <w:rsid w:val="00F061A3"/>
    <w:pPr>
      <w:jc w:val="both"/>
    </w:pPr>
    <w:rPr>
      <w:sz w:val="20"/>
    </w:rPr>
  </w:style>
  <w:style w:type="character" w:customStyle="1" w:styleId="TekstprzypisudolnegoZnak">
    <w:name w:val="Tekst przypisu dolnego Znak"/>
    <w:basedOn w:val="Domylnaczcionkaakapitu"/>
    <w:link w:val="Tekstprzypisudolnego"/>
    <w:semiHidden/>
    <w:rsid w:val="00F061A3"/>
    <w:rPr>
      <w:rFonts w:ascii="Times New Roman" w:eastAsia="Times New Roman" w:hAnsi="Times New Roman" w:cs="Times New Roman"/>
      <w:sz w:val="20"/>
      <w:szCs w:val="20"/>
      <w:lang w:val="fr-FR" w:eastAsia="fr-FR"/>
    </w:rPr>
  </w:style>
  <w:style w:type="character" w:styleId="Odwoanieprzypisudolnego">
    <w:name w:val="footnote reference"/>
    <w:semiHidden/>
    <w:rsid w:val="00F061A3"/>
    <w:rPr>
      <w:rFonts w:ascii="Times New Roman" w:hAnsi="Times New Roman" w:cs="Times New Roman"/>
      <w:vertAlign w:val="superscript"/>
    </w:rPr>
  </w:style>
  <w:style w:type="paragraph" w:customStyle="1" w:styleId="JuHi">
    <w:name w:val="Ju_H_i"/>
    <w:basedOn w:val="JuHa0"/>
    <w:next w:val="JuPara"/>
    <w:rsid w:val="00F061A3"/>
    <w:pPr>
      <w:tabs>
        <w:tab w:val="clear" w:pos="975"/>
        <w:tab w:val="left" w:pos="1191"/>
      </w:tabs>
      <w:ind w:left="1190" w:hanging="357"/>
      <w:outlineLvl w:val="5"/>
    </w:pPr>
    <w:rPr>
      <w:b w:val="0"/>
      <w:i/>
    </w:rPr>
  </w:style>
  <w:style w:type="paragraph" w:styleId="Nagwek">
    <w:name w:val="header"/>
    <w:basedOn w:val="Normalny"/>
    <w:link w:val="NagwekZnak"/>
    <w:uiPriority w:val="99"/>
    <w:rsid w:val="00F061A3"/>
    <w:pPr>
      <w:tabs>
        <w:tab w:val="center" w:pos="3686"/>
        <w:tab w:val="right" w:pos="7371"/>
      </w:tabs>
    </w:pPr>
    <w:rPr>
      <w:sz w:val="18"/>
    </w:rPr>
  </w:style>
  <w:style w:type="character" w:customStyle="1" w:styleId="NagwekZnak">
    <w:name w:val="Nagłówek Znak"/>
    <w:basedOn w:val="Domylnaczcionkaakapitu"/>
    <w:link w:val="Nagwek"/>
    <w:uiPriority w:val="99"/>
    <w:rsid w:val="00F061A3"/>
    <w:rPr>
      <w:rFonts w:ascii="Times New Roman" w:eastAsia="Times New Roman" w:hAnsi="Times New Roman" w:cs="Times New Roman"/>
      <w:sz w:val="18"/>
      <w:szCs w:val="20"/>
      <w:lang w:val="fr-FR" w:eastAsia="fr-FR"/>
    </w:rPr>
  </w:style>
  <w:style w:type="character" w:styleId="Numerstrony">
    <w:name w:val="page number"/>
    <w:rsid w:val="00F061A3"/>
    <w:rPr>
      <w:rFonts w:ascii="Times New Roman" w:hAnsi="Times New Roman" w:cs="Times New Roman"/>
      <w:sz w:val="18"/>
    </w:rPr>
  </w:style>
  <w:style w:type="paragraph" w:customStyle="1" w:styleId="JuH">
    <w:name w:val="Ju_H_–"/>
    <w:basedOn w:val="JuHalpha"/>
    <w:next w:val="JuPara"/>
    <w:rsid w:val="00F061A3"/>
    <w:pPr>
      <w:tabs>
        <w:tab w:val="clear" w:pos="1372"/>
      </w:tabs>
      <w:ind w:left="1236" w:firstLine="0"/>
    </w:pPr>
    <w:rPr>
      <w:i/>
    </w:rPr>
  </w:style>
  <w:style w:type="paragraph" w:customStyle="1" w:styleId="JuHalpha">
    <w:name w:val="Ju_H_alpha"/>
    <w:basedOn w:val="JuHi"/>
    <w:next w:val="JuPara"/>
    <w:rsid w:val="00F061A3"/>
    <w:pPr>
      <w:tabs>
        <w:tab w:val="clear" w:pos="1191"/>
        <w:tab w:val="left" w:pos="1372"/>
      </w:tabs>
      <w:ind w:left="1373" w:hanging="335"/>
      <w:outlineLvl w:val="9"/>
    </w:pPr>
    <w:rPr>
      <w:i w:val="0"/>
    </w:rPr>
  </w:style>
  <w:style w:type="paragraph" w:customStyle="1" w:styleId="JuLista">
    <w:name w:val="Ju_List_a"/>
    <w:basedOn w:val="JuList"/>
    <w:rsid w:val="00F061A3"/>
    <w:pPr>
      <w:ind w:left="346" w:firstLine="0"/>
    </w:pPr>
  </w:style>
  <w:style w:type="paragraph" w:customStyle="1" w:styleId="JuListi">
    <w:name w:val="Ju_List_i"/>
    <w:basedOn w:val="JuLista"/>
    <w:uiPriority w:val="99"/>
    <w:rsid w:val="00F061A3"/>
    <w:pPr>
      <w:ind w:left="794"/>
    </w:pPr>
  </w:style>
  <w:style w:type="character" w:styleId="Odwoaniedokomentarza">
    <w:name w:val="annotation reference"/>
    <w:semiHidden/>
    <w:rsid w:val="00F061A3"/>
    <w:rPr>
      <w:sz w:val="16"/>
    </w:rPr>
  </w:style>
  <w:style w:type="paragraph" w:styleId="Tekstkomentarza">
    <w:name w:val="annotation text"/>
    <w:basedOn w:val="Normalny"/>
    <w:link w:val="TekstkomentarzaZnak"/>
    <w:semiHidden/>
    <w:rsid w:val="00F061A3"/>
    <w:rPr>
      <w:sz w:val="20"/>
    </w:rPr>
  </w:style>
  <w:style w:type="character" w:customStyle="1" w:styleId="TekstkomentarzaZnak">
    <w:name w:val="Tekst komentarza Znak"/>
    <w:basedOn w:val="Domylnaczcionkaakapitu"/>
    <w:link w:val="Tekstkomentarza"/>
    <w:semiHidden/>
    <w:rsid w:val="00F061A3"/>
    <w:rPr>
      <w:rFonts w:ascii="Times New Roman" w:eastAsia="Times New Roman" w:hAnsi="Times New Roman" w:cs="Times New Roman"/>
      <w:sz w:val="20"/>
      <w:szCs w:val="20"/>
      <w:lang w:val="fr-FR" w:eastAsia="fr-FR"/>
    </w:rPr>
  </w:style>
  <w:style w:type="paragraph" w:customStyle="1" w:styleId="JuInitialled">
    <w:name w:val="Ju_Initialled"/>
    <w:basedOn w:val="JuSigned"/>
    <w:rsid w:val="00F061A3"/>
    <w:pPr>
      <w:tabs>
        <w:tab w:val="clear" w:pos="851"/>
      </w:tabs>
      <w:jc w:val="right"/>
    </w:pPr>
  </w:style>
  <w:style w:type="paragraph" w:customStyle="1" w:styleId="JuHeader">
    <w:name w:val="Ju_Header"/>
    <w:aliases w:val="ECHR_Header"/>
    <w:basedOn w:val="Nagwek"/>
    <w:uiPriority w:val="99"/>
    <w:rsid w:val="00F061A3"/>
  </w:style>
  <w:style w:type="paragraph" w:customStyle="1" w:styleId="DecHTitle">
    <w:name w:val="Dec_H_Title"/>
    <w:basedOn w:val="Normalny"/>
    <w:rsid w:val="00F061A3"/>
    <w:pPr>
      <w:spacing w:after="240"/>
      <w:jc w:val="center"/>
      <w:outlineLvl w:val="0"/>
    </w:pPr>
    <w:rPr>
      <w:sz w:val="28"/>
    </w:rPr>
  </w:style>
  <w:style w:type="paragraph" w:customStyle="1" w:styleId="DecHCase">
    <w:name w:val="Dec_H_Case"/>
    <w:basedOn w:val="DecHTitle"/>
    <w:next w:val="JuPara"/>
    <w:rsid w:val="00F061A3"/>
    <w:rPr>
      <w:sz w:val="24"/>
    </w:rPr>
  </w:style>
  <w:style w:type="paragraph" w:customStyle="1" w:styleId="DecList">
    <w:name w:val="Dec_List"/>
    <w:basedOn w:val="Normalny"/>
    <w:rsid w:val="00F061A3"/>
    <w:pPr>
      <w:spacing w:before="240"/>
      <w:ind w:left="284"/>
      <w:jc w:val="both"/>
    </w:pPr>
  </w:style>
  <w:style w:type="paragraph" w:customStyle="1" w:styleId="SuCoverTitle1">
    <w:name w:val="Su_Cover_Title1"/>
    <w:basedOn w:val="Normalny"/>
    <w:next w:val="SuCoverTitle2"/>
    <w:rsid w:val="00F061A3"/>
    <w:pPr>
      <w:spacing w:before="2500"/>
      <w:jc w:val="center"/>
    </w:pPr>
    <w:rPr>
      <w:sz w:val="22"/>
    </w:rPr>
  </w:style>
  <w:style w:type="paragraph" w:customStyle="1" w:styleId="SuCoverTitle2">
    <w:name w:val="Su_Cover_Title2"/>
    <w:basedOn w:val="SuCoverTitle1"/>
    <w:next w:val="Normalny"/>
    <w:rsid w:val="00F061A3"/>
    <w:pPr>
      <w:spacing w:before="240"/>
    </w:pPr>
    <w:rPr>
      <w:sz w:val="18"/>
    </w:rPr>
  </w:style>
  <w:style w:type="paragraph" w:customStyle="1" w:styleId="JuQuotSub">
    <w:name w:val="Ju_Quot_Sub"/>
    <w:basedOn w:val="JuQuot"/>
    <w:rsid w:val="00F061A3"/>
    <w:pPr>
      <w:ind w:left="567"/>
    </w:pPr>
  </w:style>
  <w:style w:type="paragraph" w:customStyle="1" w:styleId="JuParaSub">
    <w:name w:val="Ju_Para_Sub"/>
    <w:basedOn w:val="JuPara"/>
    <w:rsid w:val="00F061A3"/>
    <w:pPr>
      <w:ind w:left="284"/>
    </w:pPr>
  </w:style>
  <w:style w:type="paragraph" w:customStyle="1" w:styleId="SuPara">
    <w:name w:val="Su_Para"/>
    <w:basedOn w:val="SuKeywords"/>
    <w:rsid w:val="00F061A3"/>
    <w:pPr>
      <w:spacing w:before="0" w:after="0"/>
    </w:pPr>
    <w:rPr>
      <w:i w:val="0"/>
    </w:rPr>
  </w:style>
  <w:style w:type="paragraph" w:customStyle="1" w:styleId="SuKeywords">
    <w:name w:val="Su_Keywords"/>
    <w:basedOn w:val="SuHHead"/>
    <w:rsid w:val="00F061A3"/>
    <w:pPr>
      <w:spacing w:before="120"/>
    </w:pPr>
    <w:rPr>
      <w:b w:val="0"/>
      <w:i/>
    </w:rPr>
  </w:style>
  <w:style w:type="paragraph" w:customStyle="1" w:styleId="SuHHead">
    <w:name w:val="Su_H_Head"/>
    <w:basedOn w:val="SuSubject"/>
    <w:rsid w:val="00F061A3"/>
    <w:pPr>
      <w:spacing w:after="120"/>
    </w:pPr>
  </w:style>
  <w:style w:type="paragraph" w:customStyle="1" w:styleId="SuSubject">
    <w:name w:val="Su_Subject"/>
    <w:basedOn w:val="SuSummary"/>
    <w:rsid w:val="00F061A3"/>
    <w:pPr>
      <w:suppressAutoHyphens w:val="0"/>
      <w:spacing w:before="360"/>
      <w:jc w:val="both"/>
    </w:pPr>
    <w:rPr>
      <w:b/>
      <w:sz w:val="22"/>
      <w:lang w:val="en-GB"/>
    </w:rPr>
  </w:style>
  <w:style w:type="paragraph" w:customStyle="1" w:styleId="SuSummary">
    <w:name w:val="Su_Summary"/>
    <w:basedOn w:val="Normalny"/>
    <w:next w:val="SuSubject"/>
    <w:rsid w:val="00F061A3"/>
    <w:pPr>
      <w:spacing w:after="240"/>
      <w:jc w:val="center"/>
    </w:pPr>
  </w:style>
  <w:style w:type="paragraph" w:styleId="Tekstdymka">
    <w:name w:val="Balloon Text"/>
    <w:basedOn w:val="Normalny"/>
    <w:link w:val="TekstdymkaZnak"/>
    <w:semiHidden/>
    <w:rsid w:val="00F061A3"/>
    <w:rPr>
      <w:rFonts w:ascii="Tahoma" w:hAnsi="Tahoma" w:cs="Tahoma"/>
      <w:sz w:val="16"/>
      <w:szCs w:val="16"/>
    </w:rPr>
  </w:style>
  <w:style w:type="character" w:customStyle="1" w:styleId="TekstdymkaZnak">
    <w:name w:val="Tekst dymka Znak"/>
    <w:basedOn w:val="Domylnaczcionkaakapitu"/>
    <w:link w:val="Tekstdymka"/>
    <w:semiHidden/>
    <w:rsid w:val="00F061A3"/>
    <w:rPr>
      <w:rFonts w:ascii="Tahoma" w:eastAsia="Times New Roman" w:hAnsi="Tahoma" w:cs="Tahoma"/>
      <w:sz w:val="16"/>
      <w:szCs w:val="16"/>
      <w:lang w:val="fr-FR" w:eastAsia="fr-FR"/>
    </w:rPr>
  </w:style>
  <w:style w:type="character" w:styleId="Hipercze">
    <w:name w:val="Hyperlink"/>
    <w:rsid w:val="00F061A3"/>
    <w:rPr>
      <w:rFonts w:ascii="Times New Roman" w:hAnsi="Times New Roman" w:cs="Times New Roman"/>
      <w:color w:val="0000FF"/>
      <w:u w:val="single"/>
    </w:rPr>
  </w:style>
  <w:style w:type="character" w:styleId="Odwoanieprzypisukocowego">
    <w:name w:val="endnote reference"/>
    <w:semiHidden/>
    <w:rsid w:val="00F061A3"/>
    <w:rPr>
      <w:rFonts w:ascii="Times New Roman" w:hAnsi="Times New Roman" w:cs="Times New Roman"/>
      <w:vertAlign w:val="superscript"/>
    </w:rPr>
  </w:style>
  <w:style w:type="paragraph" w:styleId="Tekstprzypisukocowego">
    <w:name w:val="endnote text"/>
    <w:basedOn w:val="Normalny"/>
    <w:link w:val="TekstprzypisukocowegoZnak"/>
    <w:semiHidden/>
    <w:rsid w:val="00F061A3"/>
    <w:rPr>
      <w:sz w:val="20"/>
    </w:rPr>
  </w:style>
  <w:style w:type="character" w:customStyle="1" w:styleId="TekstprzypisukocowegoZnak">
    <w:name w:val="Tekst przypisu końcowego Znak"/>
    <w:basedOn w:val="Domylnaczcionkaakapitu"/>
    <w:link w:val="Tekstprzypisukocowego"/>
    <w:semiHidden/>
    <w:rsid w:val="00F061A3"/>
    <w:rPr>
      <w:rFonts w:ascii="Times New Roman" w:eastAsia="Times New Roman" w:hAnsi="Times New Roman" w:cs="Times New Roman"/>
      <w:sz w:val="20"/>
      <w:szCs w:val="20"/>
      <w:lang w:val="fr-FR" w:eastAsia="fr-FR"/>
    </w:rPr>
  </w:style>
  <w:style w:type="character" w:styleId="UyteHipercze">
    <w:name w:val="FollowedHyperlink"/>
    <w:rsid w:val="00F061A3"/>
    <w:rPr>
      <w:rFonts w:ascii="Times New Roman" w:hAnsi="Times New Roman" w:cs="Times New Roman"/>
      <w:color w:val="800080"/>
      <w:u w:val="single"/>
    </w:rPr>
  </w:style>
  <w:style w:type="paragraph" w:customStyle="1" w:styleId="JuAppQuestion">
    <w:name w:val="Ju_App_Question"/>
    <w:basedOn w:val="Listapunktowana"/>
    <w:rsid w:val="00F061A3"/>
    <w:pPr>
      <w:numPr>
        <w:numId w:val="2"/>
      </w:numPr>
      <w:suppressAutoHyphens w:val="0"/>
    </w:pPr>
    <w:rPr>
      <w:b/>
      <w:color w:val="333333"/>
      <w:lang w:val="en-GB"/>
    </w:rPr>
  </w:style>
  <w:style w:type="paragraph" w:styleId="Listapunktowana">
    <w:name w:val="List Bullet"/>
    <w:basedOn w:val="Normalny"/>
    <w:rsid w:val="00F061A3"/>
    <w:pPr>
      <w:numPr>
        <w:numId w:val="1"/>
      </w:numPr>
    </w:pPr>
  </w:style>
  <w:style w:type="character" w:customStyle="1" w:styleId="JuNames">
    <w:name w:val="Ju_Names"/>
    <w:rsid w:val="00F061A3"/>
    <w:rPr>
      <w:rFonts w:ascii="Times New Roman" w:hAnsi="Times New Roman" w:cs="Times New Roman"/>
      <w:smallCaps/>
    </w:rPr>
  </w:style>
  <w:style w:type="paragraph" w:customStyle="1" w:styleId="OpiParaSub">
    <w:name w:val="Opi_Para_Sub"/>
    <w:basedOn w:val="JuParaSub"/>
    <w:rsid w:val="00F061A3"/>
  </w:style>
  <w:style w:type="paragraph" w:customStyle="1" w:styleId="OpiQuotSub">
    <w:name w:val="Opi_Quot_Sub"/>
    <w:basedOn w:val="JuQuotSub"/>
    <w:rsid w:val="00F061A3"/>
  </w:style>
  <w:style w:type="paragraph" w:styleId="Tematkomentarza">
    <w:name w:val="annotation subject"/>
    <w:basedOn w:val="Tekstkomentarza"/>
    <w:next w:val="Tekstkomentarza"/>
    <w:link w:val="TematkomentarzaZnak"/>
    <w:semiHidden/>
    <w:rsid w:val="00F061A3"/>
    <w:rPr>
      <w:b/>
      <w:bCs/>
    </w:rPr>
  </w:style>
  <w:style w:type="character" w:customStyle="1" w:styleId="TematkomentarzaZnak">
    <w:name w:val="Temat komentarza Znak"/>
    <w:basedOn w:val="TekstkomentarzaZnak"/>
    <w:link w:val="Tematkomentarza"/>
    <w:semiHidden/>
    <w:rsid w:val="00F061A3"/>
    <w:rPr>
      <w:rFonts w:ascii="Times New Roman" w:eastAsia="Times New Roman" w:hAnsi="Times New Roman" w:cs="Times New Roman"/>
      <w:b/>
      <w:bCs/>
      <w:sz w:val="20"/>
      <w:szCs w:val="20"/>
      <w:lang w:val="fr-FR" w:eastAsia="fr-FR"/>
    </w:rPr>
  </w:style>
  <w:style w:type="paragraph" w:styleId="Mapadokumentu">
    <w:name w:val="Document Map"/>
    <w:basedOn w:val="Normalny"/>
    <w:link w:val="MapadokumentuZnak"/>
    <w:semiHidden/>
    <w:rsid w:val="00F061A3"/>
    <w:pPr>
      <w:shd w:val="clear" w:color="auto" w:fill="000080"/>
    </w:pPr>
    <w:rPr>
      <w:rFonts w:ascii="Tahoma" w:hAnsi="Tahoma" w:cs="Tahoma"/>
      <w:sz w:val="20"/>
    </w:rPr>
  </w:style>
  <w:style w:type="character" w:customStyle="1" w:styleId="MapadokumentuZnak">
    <w:name w:val="Mapa dokumentu Znak"/>
    <w:basedOn w:val="Domylnaczcionkaakapitu"/>
    <w:link w:val="Mapadokumentu"/>
    <w:semiHidden/>
    <w:rsid w:val="00F061A3"/>
    <w:rPr>
      <w:rFonts w:ascii="Tahoma" w:eastAsia="Times New Roman" w:hAnsi="Tahoma" w:cs="Tahoma"/>
      <w:sz w:val="20"/>
      <w:szCs w:val="20"/>
      <w:shd w:val="clear" w:color="auto" w:fill="000080"/>
      <w:lang w:val="fr-FR" w:eastAsia="fr-FR"/>
    </w:rPr>
  </w:style>
  <w:style w:type="paragraph" w:customStyle="1" w:styleId="NormalTimesNewRoman">
    <w:name w:val="Normal_TimesNewRoman"/>
    <w:rsid w:val="00F061A3"/>
    <w:pPr>
      <w:spacing w:after="0" w:line="240" w:lineRule="auto"/>
    </w:pPr>
    <w:rPr>
      <w:rFonts w:ascii="Times New Roman" w:eastAsia="Times New Roman" w:hAnsi="Times New Roman" w:cs="Times New Roman"/>
      <w:sz w:val="24"/>
      <w:szCs w:val="20"/>
      <w:lang w:val="fr-FR" w:eastAsia="fr-FR"/>
    </w:rPr>
  </w:style>
  <w:style w:type="character" w:customStyle="1" w:styleId="JuITMark">
    <w:name w:val="Ju_ITMark"/>
    <w:rsid w:val="00F061A3"/>
    <w:rPr>
      <w:rFonts w:ascii="Times New Roman" w:hAnsi="Times New Roman" w:cs="Times New Roman"/>
      <w:vanish/>
      <w:color w:val="339966"/>
      <w:sz w:val="16"/>
      <w:szCs w:val="16"/>
      <w:lang w:val="fi-FI"/>
    </w:rPr>
  </w:style>
  <w:style w:type="paragraph" w:customStyle="1" w:styleId="JuTitle">
    <w:name w:val="Ju_Title"/>
    <w:basedOn w:val="JuHHead"/>
    <w:next w:val="JuPara"/>
    <w:rsid w:val="00F061A3"/>
    <w:pPr>
      <w:jc w:val="center"/>
    </w:pPr>
    <w:rPr>
      <w:b/>
      <w:caps/>
      <w:sz w:val="24"/>
      <w:szCs w:val="24"/>
      <w:u w:val="single"/>
    </w:rPr>
  </w:style>
  <w:style w:type="character" w:customStyle="1" w:styleId="JuParaChar">
    <w:name w:val="Ju_Para Char"/>
    <w:locked/>
    <w:rsid w:val="00F061A3"/>
    <w:rPr>
      <w:sz w:val="24"/>
      <w:lang w:val="en-GB" w:eastAsia="fr-FR" w:bidi="ar-SA"/>
    </w:rPr>
  </w:style>
  <w:style w:type="paragraph" w:styleId="NormalnyWeb">
    <w:name w:val="Normal (Web)"/>
    <w:basedOn w:val="Normalny"/>
    <w:rsid w:val="00F061A3"/>
    <w:pPr>
      <w:suppressAutoHyphens w:val="0"/>
      <w:spacing w:before="100" w:beforeAutospacing="1" w:after="100" w:afterAutospacing="1"/>
    </w:pPr>
    <w:rPr>
      <w:color w:val="000000"/>
      <w:szCs w:val="24"/>
      <w:lang w:val="en-GB" w:eastAsia="en-GB"/>
    </w:rPr>
  </w:style>
  <w:style w:type="character" w:customStyle="1" w:styleId="JuParaCharChar">
    <w:name w:val="Ju_Para Char Char"/>
    <w:rsid w:val="00F061A3"/>
    <w:rPr>
      <w:sz w:val="24"/>
      <w:lang w:val="fr-FR" w:eastAsia="fr-FR" w:bidi="ar-SA"/>
    </w:rPr>
  </w:style>
  <w:style w:type="paragraph" w:customStyle="1" w:styleId="ju-005fpara">
    <w:name w:val="ju-005fpara"/>
    <w:basedOn w:val="Normalny"/>
    <w:rsid w:val="00F061A3"/>
    <w:pPr>
      <w:suppressAutoHyphens w:val="0"/>
      <w:spacing w:before="100" w:beforeAutospacing="1" w:after="100" w:afterAutospacing="1"/>
    </w:pPr>
    <w:rPr>
      <w:szCs w:val="24"/>
      <w:lang w:val="en-GB" w:eastAsia="en-GB"/>
    </w:rPr>
  </w:style>
  <w:style w:type="character" w:customStyle="1" w:styleId="ju-005fpara-002cleft-002cfirst-0020line-003a-0020-00200-0020cm--char">
    <w:name w:val="ju-005fpara-002cleft-002cfirst-0020line-003a-0020-00200-0020cm--char"/>
    <w:basedOn w:val="Domylnaczcionkaakapitu"/>
    <w:rsid w:val="00F061A3"/>
  </w:style>
  <w:style w:type="character" w:customStyle="1" w:styleId="ju-005fpara--char">
    <w:name w:val="ju-005fpara--char"/>
    <w:basedOn w:val="Domylnaczcionkaakapitu"/>
    <w:rsid w:val="00F061A3"/>
  </w:style>
  <w:style w:type="character" w:customStyle="1" w:styleId="sb8d990e2">
    <w:name w:val="sb8d990e2"/>
    <w:basedOn w:val="Domylnaczcionkaakapitu"/>
    <w:rsid w:val="00F061A3"/>
  </w:style>
  <w:style w:type="character" w:customStyle="1" w:styleId="s6b621b36">
    <w:name w:val="s6b621b36"/>
    <w:basedOn w:val="Domylnaczcionkaakapitu"/>
    <w:rsid w:val="00F061A3"/>
  </w:style>
  <w:style w:type="character" w:customStyle="1" w:styleId="sea881cdf">
    <w:name w:val="sea881cdf"/>
    <w:basedOn w:val="Domylnaczcionkaakapitu"/>
    <w:rsid w:val="00F061A3"/>
  </w:style>
  <w:style w:type="character" w:customStyle="1" w:styleId="tabulatory1">
    <w:name w:val="tabulatory1"/>
    <w:basedOn w:val="Domylnaczcionkaakapitu"/>
    <w:rsid w:val="00F061A3"/>
  </w:style>
  <w:style w:type="character" w:customStyle="1" w:styleId="ju--005fpara----char--char">
    <w:name w:val="ju--005fpara----char--char"/>
    <w:rsid w:val="00F061A3"/>
    <w:rPr>
      <w:rFonts w:cs="Times New Roman"/>
    </w:rPr>
  </w:style>
  <w:style w:type="paragraph" w:customStyle="1" w:styleId="jupara0">
    <w:name w:val="jupara"/>
    <w:basedOn w:val="Normalny"/>
    <w:rsid w:val="00F061A3"/>
    <w:pPr>
      <w:suppressAutoHyphens w:val="0"/>
      <w:ind w:firstLine="284"/>
      <w:jc w:val="both"/>
    </w:pPr>
    <w:rPr>
      <w:szCs w:val="24"/>
      <w:lang w:val="en-GB" w:eastAsia="en-GB"/>
    </w:rPr>
  </w:style>
  <w:style w:type="paragraph" w:customStyle="1" w:styleId="s8293e77f">
    <w:name w:val="s8293e77f"/>
    <w:basedOn w:val="Normalny"/>
    <w:rsid w:val="00F061A3"/>
    <w:pPr>
      <w:suppressAutoHyphens w:val="0"/>
      <w:spacing w:before="100" w:beforeAutospacing="1" w:after="100" w:afterAutospacing="1"/>
    </w:pPr>
    <w:rPr>
      <w:szCs w:val="24"/>
      <w:lang w:val="en-US" w:eastAsia="en-US"/>
    </w:rPr>
  </w:style>
  <w:style w:type="character" w:customStyle="1" w:styleId="s7d2086b4">
    <w:name w:val="s7d2086b4"/>
    <w:rsid w:val="00F061A3"/>
  </w:style>
  <w:style w:type="paragraph" w:customStyle="1" w:styleId="s30eec3f8">
    <w:name w:val="s30eec3f8"/>
    <w:basedOn w:val="Normalny"/>
    <w:rsid w:val="00F061A3"/>
    <w:pPr>
      <w:suppressAutoHyphens w:val="0"/>
      <w:spacing w:before="100" w:beforeAutospacing="1" w:after="100" w:afterAutospacing="1"/>
    </w:pPr>
    <w:rPr>
      <w:szCs w:val="24"/>
      <w:lang w:val="en-US" w:eastAsia="en-US"/>
    </w:rPr>
  </w:style>
  <w:style w:type="character" w:customStyle="1" w:styleId="ju-005fquot--char">
    <w:name w:val="ju-005fquot--char"/>
    <w:rsid w:val="00F061A3"/>
  </w:style>
  <w:style w:type="character" w:styleId="Uwydatnienie">
    <w:name w:val="Emphasis"/>
    <w:basedOn w:val="Domylnaczcionkaakapitu"/>
    <w:qFormat/>
    <w:rsid w:val="00F061A3"/>
    <w:rPr>
      <w:i/>
      <w:iCs/>
    </w:rPr>
  </w:style>
  <w:style w:type="character" w:customStyle="1" w:styleId="FontStyle38">
    <w:name w:val="Font Style38"/>
    <w:basedOn w:val="Domylnaczcionkaakapitu"/>
    <w:rsid w:val="001E654E"/>
    <w:rPr>
      <w:rFonts w:ascii="Times New Roman" w:hAnsi="Times New Roman" w:cs="Times New Roman"/>
      <w:sz w:val="22"/>
      <w:szCs w:val="22"/>
    </w:rPr>
  </w:style>
  <w:style w:type="character" w:customStyle="1" w:styleId="FontStyle44">
    <w:name w:val="Font Style44"/>
    <w:basedOn w:val="Domylnaczcionkaakapitu"/>
    <w:rsid w:val="0010794E"/>
    <w:rPr>
      <w:rFonts w:ascii="Times New Roman" w:hAnsi="Times New Roman" w:cs="Times New Roman"/>
      <w:sz w:val="18"/>
      <w:szCs w:val="18"/>
    </w:rPr>
  </w:style>
  <w:style w:type="character" w:customStyle="1" w:styleId="FontStyle26">
    <w:name w:val="Font Style26"/>
    <w:basedOn w:val="Domylnaczcionkaakapitu"/>
    <w:rsid w:val="003D5B57"/>
    <w:rPr>
      <w:rFonts w:ascii="Times New Roman" w:hAnsi="Times New Roman" w:cs="Times New Roman"/>
      <w:sz w:val="22"/>
      <w:szCs w:val="22"/>
    </w:rPr>
  </w:style>
  <w:style w:type="paragraph" w:styleId="Akapitzlist">
    <w:name w:val="List Paragraph"/>
    <w:basedOn w:val="Normalny"/>
    <w:uiPriority w:val="34"/>
    <w:qFormat/>
    <w:rsid w:val="008A2609"/>
    <w:pPr>
      <w:ind w:left="720"/>
      <w:contextualSpacing/>
    </w:pPr>
  </w:style>
  <w:style w:type="paragraph" w:customStyle="1" w:styleId="Default">
    <w:name w:val="Default"/>
    <w:rsid w:val="0041514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semiHidden/>
    <w:rsid w:val="00F846D9"/>
    <w:pPr>
      <w:suppressAutoHyphens w:val="0"/>
      <w:ind w:left="907" w:hanging="227"/>
      <w:jc w:val="both"/>
    </w:pPr>
    <w:rPr>
      <w:sz w:val="22"/>
      <w:lang w:val="pl-PL" w:eastAsia="pl-PL"/>
    </w:rPr>
  </w:style>
  <w:style w:type="character" w:customStyle="1" w:styleId="TekstpodstawowywcityZnak">
    <w:name w:val="Tekst podstawowy wcięty Znak"/>
    <w:basedOn w:val="Domylnaczcionkaakapitu"/>
    <w:link w:val="Tekstpodstawowywcity"/>
    <w:semiHidden/>
    <w:rsid w:val="00F846D9"/>
    <w:rPr>
      <w:rFonts w:ascii="Times New Roman" w:eastAsia="Times New Roman" w:hAnsi="Times New Roman"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91014">
      <w:bodyDiv w:val="1"/>
      <w:marLeft w:val="0"/>
      <w:marRight w:val="0"/>
      <w:marTop w:val="0"/>
      <w:marBottom w:val="0"/>
      <w:divBdr>
        <w:top w:val="none" w:sz="0" w:space="0" w:color="auto"/>
        <w:left w:val="none" w:sz="0" w:space="0" w:color="auto"/>
        <w:bottom w:val="none" w:sz="0" w:space="0" w:color="auto"/>
        <w:right w:val="none" w:sz="0" w:space="0" w:color="auto"/>
      </w:divBdr>
    </w:div>
    <w:div w:id="518667220">
      <w:bodyDiv w:val="1"/>
      <w:marLeft w:val="0"/>
      <w:marRight w:val="0"/>
      <w:marTop w:val="0"/>
      <w:marBottom w:val="0"/>
      <w:divBdr>
        <w:top w:val="none" w:sz="0" w:space="0" w:color="auto"/>
        <w:left w:val="none" w:sz="0" w:space="0" w:color="auto"/>
        <w:bottom w:val="none" w:sz="0" w:space="0" w:color="auto"/>
        <w:right w:val="none" w:sz="0" w:space="0" w:color="auto"/>
      </w:divBdr>
    </w:div>
    <w:div w:id="1176968008">
      <w:bodyDiv w:val="1"/>
      <w:marLeft w:val="0"/>
      <w:marRight w:val="0"/>
      <w:marTop w:val="0"/>
      <w:marBottom w:val="0"/>
      <w:divBdr>
        <w:top w:val="none" w:sz="0" w:space="0" w:color="auto"/>
        <w:left w:val="none" w:sz="0" w:space="0" w:color="auto"/>
        <w:bottom w:val="none" w:sz="0" w:space="0" w:color="auto"/>
        <w:right w:val="none" w:sz="0" w:space="0" w:color="auto"/>
      </w:divBdr>
    </w:div>
    <w:div w:id="197748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wo.legeo.pl/prawo/ustawa-z-dnia-6-kwietnia-1990-r-o-policji/?on=21.06.1995&amp;is_current=True&amp;section=art:15_ust:1_pkt: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wo.legeo.pl/prawo/kodeks-postepowania-karnego-z-dnia-19-kwietnia-1969-r/?on=21.06.1995&amp;is_current=True&amp;section="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rawo.legeo.pl/prawo/kodeks-postepowania-karnego-z-dnia-19-kwietnia-1969-r/?on=21.06.1995&amp;is_current=True&amp;sec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DAFA-987E-4DD5-AFCC-14229BC1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35</Pages>
  <Words>12724</Words>
  <Characters>76348</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Leschied Iwona  (DWMPC)</cp:lastModifiedBy>
  <cp:revision>13</cp:revision>
  <cp:lastPrinted>2014-05-19T13:27:00Z</cp:lastPrinted>
  <dcterms:created xsi:type="dcterms:W3CDTF">2014-06-18T10:19:00Z</dcterms:created>
  <dcterms:modified xsi:type="dcterms:W3CDTF">2014-06-20T09:48:00Z</dcterms:modified>
</cp:coreProperties>
</file>