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37" w:rsidRDefault="004F40C2" w:rsidP="004F40C2">
      <w:pPr>
        <w:jc w:val="both"/>
        <w:rPr>
          <w:b/>
        </w:rPr>
      </w:pPr>
      <w:r>
        <w:rPr>
          <w:b/>
        </w:rPr>
        <w:t xml:space="preserve">RAPORT RPO </w:t>
      </w:r>
      <w:r w:rsidR="003C5937" w:rsidRPr="003C5937">
        <w:rPr>
          <w:b/>
        </w:rPr>
        <w:t>„Dostępność wsparcia środowiskowego dla osób starszych w perspektywie przedstawicieli gmin województwa dolnośląskiego”</w:t>
      </w:r>
      <w:r w:rsidR="007A462E">
        <w:rPr>
          <w:b/>
        </w:rPr>
        <w:t xml:space="preserve"> </w:t>
      </w:r>
      <w:r w:rsidR="002E1BA0">
        <w:rPr>
          <w:b/>
        </w:rPr>
        <w:t xml:space="preserve">(2016 r.) </w:t>
      </w:r>
      <w:r>
        <w:rPr>
          <w:b/>
        </w:rPr>
        <w:t>– najważniejsze dane i wnioski</w:t>
      </w:r>
      <w:r w:rsidR="002E1BA0">
        <w:rPr>
          <w:b/>
        </w:rPr>
        <w:t xml:space="preserve"> </w:t>
      </w:r>
    </w:p>
    <w:p w:rsidR="00295B29" w:rsidRDefault="004F40C2" w:rsidP="004F40C2">
      <w:pPr>
        <w:spacing w:after="0"/>
        <w:jc w:val="both"/>
        <w:rPr>
          <w:b/>
        </w:rPr>
      </w:pPr>
      <w:r>
        <w:t xml:space="preserve">Społeczeństwo w Polsce szybko się starzeje: w 2015 r liczba osób w wieku 65+ stanowiła 15,6% a 85+ 1,8%, w 2035 r będzie ona wynosić odpowiednio 23,2%, a 85+ 3,1%. Zmiany demograficzne wymagają zmierzenia się z wyzwaniami związanymi z zapewnieniem prawa do godnego życia, równego traktowania i włączenia społecznego osób starszych. Wg GUS w 2014 r.  </w:t>
      </w:r>
      <w:r w:rsidRPr="00865EF0">
        <w:rPr>
          <w:b/>
        </w:rPr>
        <w:t>1/3 osób w wieku 65+ miała trudności w wykonywaniu czynności życia codziennego. 45% z tych osób nie miała do kogo zwrócić się o pomoc</w:t>
      </w:r>
      <w:r>
        <w:rPr>
          <w:b/>
        </w:rPr>
        <w:t>.</w:t>
      </w:r>
      <w:r>
        <w:t xml:space="preserve"> W latach </w:t>
      </w:r>
      <w:r w:rsidRPr="00865EF0">
        <w:rPr>
          <w:b/>
        </w:rPr>
        <w:t>2011-2014</w:t>
      </w:r>
      <w:r>
        <w:t xml:space="preserve"> liczba osób korzystających z usług opiekuńczych w gminach objętych kontrolą NIK zostawała względnie na tym samym poziomie, natomiast </w:t>
      </w:r>
      <w:r w:rsidRPr="00865EF0">
        <w:rPr>
          <w:b/>
        </w:rPr>
        <w:t>liczba osób skierowanych do domów pomocy społecznej wzrosła o 40%</w:t>
      </w:r>
      <w:r>
        <w:rPr>
          <w:b/>
        </w:rPr>
        <w:t xml:space="preserve">. </w:t>
      </w:r>
    </w:p>
    <w:p w:rsidR="00295B29" w:rsidRDefault="00295B29" w:rsidP="004F40C2">
      <w:pPr>
        <w:spacing w:after="0"/>
        <w:jc w:val="both"/>
      </w:pPr>
    </w:p>
    <w:p w:rsidR="004F40C2" w:rsidRDefault="004F40C2" w:rsidP="004F40C2">
      <w:pPr>
        <w:spacing w:after="0"/>
        <w:jc w:val="both"/>
      </w:pPr>
      <w:r>
        <w:t>Rzecznik Praw Obywatelskich</w:t>
      </w:r>
      <w:r w:rsidR="00295B29">
        <w:t>, jako niezależny organ ds. równego traktowania,</w:t>
      </w:r>
      <w:r>
        <w:t xml:space="preserve"> zlecił w 2015 r. PBS sp. z o. o. realizację badania ilościowego, reprezentatywnego dla woj. dolnośląskiego oraz badanie jakościowe zrealizowane w 28 gminach w tym samym województwie. </w:t>
      </w:r>
    </w:p>
    <w:p w:rsidR="00295B29" w:rsidRDefault="00295B29" w:rsidP="004F40C2">
      <w:pPr>
        <w:jc w:val="both"/>
        <w:rPr>
          <w:b/>
        </w:rPr>
      </w:pPr>
    </w:p>
    <w:p w:rsidR="004F40C2" w:rsidRDefault="004F40C2" w:rsidP="004F40C2">
      <w:pPr>
        <w:jc w:val="both"/>
      </w:pPr>
      <w:r>
        <w:rPr>
          <w:b/>
        </w:rPr>
        <w:t>D</w:t>
      </w:r>
      <w:r w:rsidRPr="007A462E">
        <w:rPr>
          <w:b/>
        </w:rPr>
        <w:t>ecydentów gminnych i przedstawicieli O</w:t>
      </w:r>
      <w:r>
        <w:rPr>
          <w:b/>
        </w:rPr>
        <w:t xml:space="preserve">środków </w:t>
      </w:r>
      <w:r w:rsidRPr="007A462E">
        <w:rPr>
          <w:b/>
        </w:rPr>
        <w:t>P</w:t>
      </w:r>
      <w:r>
        <w:rPr>
          <w:b/>
        </w:rPr>
        <w:t xml:space="preserve">omocy </w:t>
      </w:r>
      <w:r w:rsidRPr="007A462E">
        <w:rPr>
          <w:b/>
        </w:rPr>
        <w:t>S</w:t>
      </w:r>
      <w:r>
        <w:rPr>
          <w:b/>
        </w:rPr>
        <w:t>połecznej</w:t>
      </w:r>
      <w:r w:rsidRPr="007A462E">
        <w:rPr>
          <w:b/>
        </w:rPr>
        <w:t xml:space="preserve"> w woj. dolnośląskim</w:t>
      </w:r>
      <w:r>
        <w:rPr>
          <w:b/>
        </w:rPr>
        <w:t xml:space="preserve"> zapytano o sposób organizacji wsparcia środowiskowego oraz o to, </w:t>
      </w:r>
      <w:r w:rsidRPr="007A462E">
        <w:rPr>
          <w:b/>
        </w:rPr>
        <w:t>jak rozumieją i</w:t>
      </w:r>
      <w:r>
        <w:rPr>
          <w:b/>
        </w:rPr>
        <w:t xml:space="preserve"> wdrażają w praktyce</w:t>
      </w:r>
      <w:r>
        <w:t xml:space="preserve"> </w:t>
      </w:r>
      <w:r w:rsidRPr="007A462E">
        <w:rPr>
          <w:b/>
        </w:rPr>
        <w:t xml:space="preserve">zasady </w:t>
      </w:r>
      <w:r>
        <w:rPr>
          <w:b/>
        </w:rPr>
        <w:t xml:space="preserve">wspierania osób starszych </w:t>
      </w:r>
      <w:r w:rsidR="00295B29">
        <w:rPr>
          <w:b/>
        </w:rPr>
        <w:t>wywodzące się z praw</w:t>
      </w:r>
      <w:r>
        <w:rPr>
          <w:b/>
        </w:rPr>
        <w:t xml:space="preserve"> człowieka</w:t>
      </w:r>
      <w:r>
        <w:t xml:space="preserve">, ujęte w dokumentach ONZ: Rezolucji nr 46/91 z 1991 r. oraz w Planie Madryckim z 2002 r.  </w:t>
      </w:r>
    </w:p>
    <w:p w:rsidR="006E5A94" w:rsidRPr="00D74065" w:rsidRDefault="006E5A94" w:rsidP="006E5A94">
      <w:pPr>
        <w:ind w:left="284" w:hanging="284"/>
        <w:rPr>
          <w:rFonts w:cs="Times New Roman"/>
        </w:rPr>
      </w:pPr>
      <w:r w:rsidRPr="00D74065">
        <w:rPr>
          <w:rFonts w:cs="Times New Roman"/>
        </w:rPr>
        <w:t>1.</w:t>
      </w:r>
      <w:r w:rsidRPr="00D74065">
        <w:rPr>
          <w:rFonts w:cs="Times New Roman"/>
        </w:rPr>
        <w:tab/>
      </w:r>
      <w:r w:rsidRPr="00865EF0">
        <w:rPr>
          <w:rFonts w:cs="Times New Roman"/>
          <w:b/>
        </w:rPr>
        <w:t>Zapewnienie</w:t>
      </w:r>
      <w:r w:rsidRPr="00D74065">
        <w:rPr>
          <w:rFonts w:cs="Times New Roman"/>
        </w:rPr>
        <w:t xml:space="preserve"> osobom starszym o ograniczonej samodzielności </w:t>
      </w:r>
      <w:r>
        <w:rPr>
          <w:rFonts w:cs="Times New Roman"/>
        </w:rPr>
        <w:t xml:space="preserve">i niezależności </w:t>
      </w:r>
      <w:r w:rsidRPr="00865EF0">
        <w:rPr>
          <w:rFonts w:cs="Times New Roman"/>
          <w:b/>
        </w:rPr>
        <w:t>prawa do decydowania o własnym życiu</w:t>
      </w:r>
      <w:r>
        <w:rPr>
          <w:rFonts w:cs="Times New Roman"/>
        </w:rPr>
        <w:t>.</w:t>
      </w:r>
      <w:r w:rsidRPr="00D74065">
        <w:rPr>
          <w:rFonts w:cs="Times New Roman"/>
        </w:rPr>
        <w:t xml:space="preserve"> </w:t>
      </w:r>
    </w:p>
    <w:p w:rsidR="006E5A94" w:rsidRPr="00D74065" w:rsidRDefault="006E5A94" w:rsidP="006E5A94">
      <w:pPr>
        <w:ind w:left="284" w:hanging="284"/>
        <w:rPr>
          <w:rFonts w:cs="Times New Roman"/>
        </w:rPr>
      </w:pPr>
      <w:r w:rsidRPr="00D74065">
        <w:rPr>
          <w:rFonts w:cs="Times New Roman"/>
        </w:rPr>
        <w:t>2.</w:t>
      </w:r>
      <w:r w:rsidRPr="00D74065">
        <w:rPr>
          <w:rFonts w:cs="Times New Roman"/>
        </w:rPr>
        <w:tab/>
      </w:r>
      <w:r w:rsidRPr="00865EF0">
        <w:rPr>
          <w:rFonts w:cs="Times New Roman"/>
          <w:b/>
        </w:rPr>
        <w:t>Stworzenie warunków do aktywności</w:t>
      </w:r>
      <w:r w:rsidRPr="00D74065">
        <w:rPr>
          <w:rFonts w:cs="Times New Roman"/>
        </w:rPr>
        <w:t xml:space="preserve"> – na miarę zróżnicowa</w:t>
      </w:r>
      <w:r>
        <w:rPr>
          <w:rFonts w:cs="Times New Roman"/>
        </w:rPr>
        <w:t>nych możliwości osób starszych.</w:t>
      </w:r>
    </w:p>
    <w:p w:rsidR="006E5A94" w:rsidRPr="00D74065" w:rsidRDefault="006E5A94" w:rsidP="006E5A94">
      <w:pPr>
        <w:ind w:left="284" w:hanging="284"/>
        <w:rPr>
          <w:rFonts w:cs="Times New Roman"/>
        </w:rPr>
      </w:pPr>
      <w:r w:rsidRPr="00D74065">
        <w:rPr>
          <w:rFonts w:cs="Times New Roman"/>
        </w:rPr>
        <w:t>3.</w:t>
      </w:r>
      <w:r w:rsidRPr="00D74065">
        <w:rPr>
          <w:rFonts w:cs="Times New Roman"/>
        </w:rPr>
        <w:tab/>
      </w:r>
      <w:r w:rsidRPr="00865EF0">
        <w:rPr>
          <w:rFonts w:cs="Times New Roman"/>
          <w:b/>
        </w:rPr>
        <w:t>Budowanie systemu wsparcia uwzględniającego różny poziom niesamodzielności osób starszych</w:t>
      </w:r>
      <w:r w:rsidRPr="00D74065">
        <w:rPr>
          <w:rFonts w:cs="Times New Roman"/>
        </w:rPr>
        <w:t xml:space="preserve"> oraz zmienność poziomu niesamodzielności poszczególnych osób – jej narastanie w miarę starzenia się</w:t>
      </w:r>
      <w:r>
        <w:rPr>
          <w:rFonts w:cs="Times New Roman"/>
        </w:rPr>
        <w:t>.</w:t>
      </w:r>
      <w:r w:rsidRPr="00D74065">
        <w:rPr>
          <w:rFonts w:cs="Times New Roman"/>
        </w:rPr>
        <w:t xml:space="preserve"> </w:t>
      </w:r>
    </w:p>
    <w:p w:rsidR="006E5A94" w:rsidRPr="00D74065" w:rsidRDefault="006E5A94" w:rsidP="006E5A94">
      <w:pPr>
        <w:ind w:left="284" w:hanging="284"/>
        <w:rPr>
          <w:rFonts w:cs="Times New Roman"/>
        </w:rPr>
      </w:pPr>
      <w:r w:rsidRPr="00D74065">
        <w:rPr>
          <w:rFonts w:cs="Times New Roman"/>
        </w:rPr>
        <w:t>4.</w:t>
      </w:r>
      <w:r w:rsidRPr="00D74065">
        <w:rPr>
          <w:rFonts w:cs="Times New Roman"/>
        </w:rPr>
        <w:tab/>
      </w:r>
      <w:r w:rsidRPr="00865EF0">
        <w:rPr>
          <w:rFonts w:cs="Times New Roman"/>
          <w:b/>
        </w:rPr>
        <w:t>Konsultowanie z osobami starszymi rozwiązań w zakresie wsparcia środowiskowego</w:t>
      </w:r>
      <w:r w:rsidRPr="00D74065">
        <w:rPr>
          <w:rFonts w:cs="Times New Roman"/>
        </w:rPr>
        <w:t xml:space="preserve">; </w:t>
      </w:r>
    </w:p>
    <w:p w:rsidR="006E5A94" w:rsidRPr="00D74065" w:rsidRDefault="006E5A94" w:rsidP="006E5A94">
      <w:pPr>
        <w:ind w:left="284" w:hanging="284"/>
        <w:rPr>
          <w:rFonts w:cs="Times New Roman"/>
        </w:rPr>
      </w:pPr>
      <w:r w:rsidRPr="00D74065">
        <w:rPr>
          <w:rFonts w:cs="Times New Roman"/>
        </w:rPr>
        <w:t>5.</w:t>
      </w:r>
      <w:r w:rsidRPr="00D74065">
        <w:rPr>
          <w:rFonts w:cs="Times New Roman"/>
        </w:rPr>
        <w:tab/>
      </w:r>
      <w:proofErr w:type="spellStart"/>
      <w:r w:rsidRPr="00865EF0">
        <w:rPr>
          <w:rFonts w:cs="Times New Roman"/>
          <w:b/>
        </w:rPr>
        <w:t>Wielosektorowość</w:t>
      </w:r>
      <w:proofErr w:type="spellEnd"/>
      <w:r w:rsidRPr="00D74065">
        <w:rPr>
          <w:rFonts w:cs="Times New Roman"/>
        </w:rPr>
        <w:t>, polegająca na zaangażowaniu sektora publicznego, rynkowego, obywatelskiego i nieformalnego</w:t>
      </w:r>
      <w:r>
        <w:rPr>
          <w:rFonts w:cs="Times New Roman"/>
        </w:rPr>
        <w:t>.</w:t>
      </w:r>
      <w:r w:rsidRPr="00D74065">
        <w:rPr>
          <w:rFonts w:cs="Times New Roman"/>
        </w:rPr>
        <w:t xml:space="preserve"> </w:t>
      </w:r>
    </w:p>
    <w:p w:rsidR="006E5A94" w:rsidRPr="00D74065" w:rsidRDefault="006E5A94" w:rsidP="006E5A94">
      <w:pPr>
        <w:ind w:left="284" w:hanging="284"/>
        <w:rPr>
          <w:rFonts w:cs="Times New Roman"/>
        </w:rPr>
      </w:pPr>
      <w:r w:rsidRPr="00D74065">
        <w:rPr>
          <w:rFonts w:cs="Times New Roman"/>
        </w:rPr>
        <w:t>6.</w:t>
      </w:r>
      <w:r w:rsidRPr="00D74065">
        <w:rPr>
          <w:rFonts w:cs="Times New Roman"/>
        </w:rPr>
        <w:tab/>
        <w:t>Włączanie przedsięwzięć składających się na środowiskowe wsparcie seniorów do wszystkich działań podejmowanych na poziomie lokalnym (</w:t>
      </w:r>
      <w:proofErr w:type="spellStart"/>
      <w:r w:rsidRPr="00865EF0">
        <w:rPr>
          <w:rFonts w:cs="Times New Roman"/>
          <w:b/>
          <w:i/>
        </w:rPr>
        <w:t>mainstreaming</w:t>
      </w:r>
      <w:proofErr w:type="spellEnd"/>
      <w:r w:rsidRPr="00865EF0">
        <w:rPr>
          <w:rFonts w:cs="Times New Roman"/>
          <w:b/>
          <w:i/>
        </w:rPr>
        <w:t xml:space="preserve"> </w:t>
      </w:r>
      <w:proofErr w:type="spellStart"/>
      <w:r w:rsidRPr="00865EF0">
        <w:rPr>
          <w:rFonts w:cs="Times New Roman"/>
          <w:b/>
          <w:i/>
        </w:rPr>
        <w:t>ageing</w:t>
      </w:r>
      <w:proofErr w:type="spellEnd"/>
      <w:r w:rsidRPr="00D74065">
        <w:rPr>
          <w:rFonts w:cs="Times New Roman"/>
        </w:rPr>
        <w:t>)</w:t>
      </w:r>
      <w:r>
        <w:rPr>
          <w:rFonts w:cs="Times New Roman"/>
        </w:rPr>
        <w:t>.</w:t>
      </w:r>
      <w:r w:rsidRPr="00D74065">
        <w:rPr>
          <w:rFonts w:cs="Times New Roman"/>
        </w:rPr>
        <w:t xml:space="preserve"> </w:t>
      </w:r>
    </w:p>
    <w:p w:rsidR="006E5A94" w:rsidRPr="00D74065" w:rsidRDefault="006E5A94" w:rsidP="006E5A94">
      <w:pPr>
        <w:ind w:left="284" w:hanging="284"/>
        <w:rPr>
          <w:rFonts w:cs="Times New Roman"/>
        </w:rPr>
      </w:pPr>
      <w:r w:rsidRPr="00D74065">
        <w:rPr>
          <w:rFonts w:cs="Times New Roman"/>
        </w:rPr>
        <w:t>7.</w:t>
      </w:r>
      <w:r w:rsidRPr="00D74065">
        <w:rPr>
          <w:rFonts w:cs="Times New Roman"/>
        </w:rPr>
        <w:tab/>
      </w:r>
      <w:r w:rsidRPr="00865EF0">
        <w:rPr>
          <w:rFonts w:cs="Times New Roman"/>
          <w:b/>
        </w:rPr>
        <w:t>Ocenianie działań</w:t>
      </w:r>
      <w:r w:rsidRPr="00D74065">
        <w:rPr>
          <w:rFonts w:cs="Times New Roman"/>
        </w:rPr>
        <w:t xml:space="preserve"> – na etapie ich projektowania i realizacji – </w:t>
      </w:r>
      <w:r w:rsidRPr="00865EF0">
        <w:rPr>
          <w:rFonts w:cs="Times New Roman"/>
          <w:b/>
        </w:rPr>
        <w:t>z perspektywy zagrożenia występowania praktyk dyskryminujących.</w:t>
      </w:r>
      <w:r w:rsidRPr="00D74065">
        <w:rPr>
          <w:rFonts w:cs="Times New Roman"/>
        </w:rPr>
        <w:t xml:space="preserve"> </w:t>
      </w:r>
    </w:p>
    <w:p w:rsidR="006E5A94" w:rsidRPr="00D74065" w:rsidRDefault="006E5A94" w:rsidP="006E5A94">
      <w:pPr>
        <w:ind w:left="284" w:hanging="284"/>
        <w:rPr>
          <w:rFonts w:cs="Times New Roman"/>
        </w:rPr>
      </w:pPr>
      <w:r w:rsidRPr="00D74065">
        <w:rPr>
          <w:rFonts w:cs="Times New Roman"/>
        </w:rPr>
        <w:t>8.</w:t>
      </w:r>
      <w:r w:rsidRPr="00D74065">
        <w:rPr>
          <w:rFonts w:cs="Times New Roman"/>
        </w:rPr>
        <w:tab/>
      </w:r>
      <w:r w:rsidRPr="00865EF0">
        <w:rPr>
          <w:rFonts w:cs="Times New Roman"/>
          <w:b/>
        </w:rPr>
        <w:t>Subsydiarność</w:t>
      </w:r>
      <w:r w:rsidRPr="00D74065">
        <w:rPr>
          <w:rFonts w:cs="Times New Roman"/>
        </w:rPr>
        <w:t xml:space="preserve"> przejawiająca się w</w:t>
      </w:r>
      <w:r>
        <w:rPr>
          <w:rFonts w:cs="Times New Roman"/>
        </w:rPr>
        <w:t>e</w:t>
      </w:r>
      <w:r w:rsidRPr="00D74065">
        <w:rPr>
          <w:rFonts w:cs="Times New Roman"/>
        </w:rPr>
        <w:t xml:space="preserve"> wspieraniu podstawowych wspólnot (głównie rodziny), w których żyją ludzie starzy – wspieranie nieformalnych opiekunów osób niesamodzielnych</w:t>
      </w:r>
      <w:r>
        <w:rPr>
          <w:rFonts w:cs="Times New Roman"/>
        </w:rPr>
        <w:t>.</w:t>
      </w:r>
      <w:r w:rsidRPr="00D74065">
        <w:rPr>
          <w:rFonts w:cs="Times New Roman"/>
        </w:rPr>
        <w:t xml:space="preserve"> </w:t>
      </w:r>
    </w:p>
    <w:p w:rsidR="006E5A94" w:rsidRPr="00D74065" w:rsidRDefault="006E5A94" w:rsidP="006E5A94">
      <w:pPr>
        <w:ind w:left="284" w:hanging="284"/>
        <w:rPr>
          <w:rFonts w:cs="Times New Roman"/>
        </w:rPr>
      </w:pPr>
      <w:r w:rsidRPr="00D74065">
        <w:rPr>
          <w:rFonts w:cs="Times New Roman"/>
        </w:rPr>
        <w:t>9.</w:t>
      </w:r>
      <w:r w:rsidRPr="00D74065">
        <w:rPr>
          <w:rFonts w:cs="Times New Roman"/>
        </w:rPr>
        <w:tab/>
      </w:r>
      <w:r w:rsidRPr="00865EF0">
        <w:rPr>
          <w:rFonts w:cs="Times New Roman"/>
          <w:b/>
        </w:rPr>
        <w:t>Całościowe podejście do potrzeb</w:t>
      </w:r>
      <w:r w:rsidRPr="00D74065">
        <w:rPr>
          <w:rFonts w:cs="Times New Roman"/>
        </w:rPr>
        <w:t xml:space="preserve"> poszczególnych osób starszych i koordynacja dostarczanego im wsparcia</w:t>
      </w:r>
      <w:r>
        <w:rPr>
          <w:rFonts w:cs="Times New Roman"/>
        </w:rPr>
        <w:t>.</w:t>
      </w:r>
      <w:r w:rsidRPr="00D74065">
        <w:rPr>
          <w:rFonts w:cs="Times New Roman"/>
        </w:rPr>
        <w:t xml:space="preserve"> </w:t>
      </w:r>
    </w:p>
    <w:p w:rsidR="006E5A94" w:rsidRDefault="006E5A94" w:rsidP="006E5A94">
      <w:pPr>
        <w:ind w:left="284" w:hanging="284"/>
        <w:rPr>
          <w:rFonts w:cs="Times New Roman"/>
        </w:rPr>
      </w:pPr>
      <w:r w:rsidRPr="00D74065">
        <w:rPr>
          <w:rFonts w:cs="Times New Roman"/>
        </w:rPr>
        <w:lastRenderedPageBreak/>
        <w:t>10.</w:t>
      </w:r>
      <w:r w:rsidRPr="00D74065">
        <w:rPr>
          <w:rFonts w:cs="Times New Roman"/>
        </w:rPr>
        <w:tab/>
      </w:r>
      <w:r w:rsidRPr="00865EF0">
        <w:rPr>
          <w:rFonts w:cs="Times New Roman"/>
          <w:b/>
        </w:rPr>
        <w:t>Profesjonalizacja wsparcia</w:t>
      </w:r>
      <w:r w:rsidRPr="00D74065">
        <w:rPr>
          <w:rFonts w:cs="Times New Roman"/>
        </w:rPr>
        <w:t xml:space="preserve"> społecznego, rozumiana jako powierzanie go osobom kompetentnym i dobrze przygotowanym</w:t>
      </w:r>
      <w:r>
        <w:rPr>
          <w:rFonts w:cs="Times New Roman"/>
        </w:rPr>
        <w:t>.</w:t>
      </w:r>
    </w:p>
    <w:p w:rsidR="004F40C2" w:rsidRPr="007A462E" w:rsidRDefault="004F40C2" w:rsidP="004F40C2">
      <w:pPr>
        <w:jc w:val="both"/>
        <w:rPr>
          <w:b/>
        </w:rPr>
      </w:pPr>
      <w:r w:rsidRPr="007A462E">
        <w:rPr>
          <w:b/>
        </w:rPr>
        <w:t>Najistotniejsze wnioski z badania</w:t>
      </w:r>
      <w:r>
        <w:rPr>
          <w:b/>
        </w:rPr>
        <w:t xml:space="preserve"> RPO</w:t>
      </w:r>
    </w:p>
    <w:p w:rsidR="004F40C2" w:rsidRDefault="004F40C2" w:rsidP="004F40C2">
      <w:pPr>
        <w:pStyle w:val="Akapitzlist"/>
        <w:numPr>
          <w:ilvl w:val="0"/>
          <w:numId w:val="4"/>
        </w:numPr>
        <w:jc w:val="both"/>
      </w:pPr>
      <w:r>
        <w:t xml:space="preserve">Gminy z reguły nie opracowują dokumentów strategicznych w zakresie polityki senioralnej. </w:t>
      </w:r>
      <w:r w:rsidRPr="001F312D">
        <w:rPr>
          <w:b/>
        </w:rPr>
        <w:t>Blisko 1/3 gmin nie uwzględnia tej tematyki w jakichkolwiek dokumentach o charakterze strategicznym</w:t>
      </w:r>
      <w:r>
        <w:t xml:space="preserve">. </w:t>
      </w:r>
    </w:p>
    <w:p w:rsidR="004F40C2" w:rsidRDefault="004F40C2" w:rsidP="004F40C2">
      <w:pPr>
        <w:pStyle w:val="Akapitzlist"/>
        <w:numPr>
          <w:ilvl w:val="0"/>
          <w:numId w:val="4"/>
        </w:numPr>
        <w:jc w:val="both"/>
      </w:pPr>
      <w:r>
        <w:t xml:space="preserve">W efekcie usługi realizowane są doraźnie. W gminach </w:t>
      </w:r>
      <w:r w:rsidRPr="007A462E">
        <w:rPr>
          <w:b/>
        </w:rPr>
        <w:t xml:space="preserve">brakuje planowania i dostosowywania oferty do zwiększającej się populacji osób starszych. </w:t>
      </w:r>
      <w:r>
        <w:t>Jedynie 40% gmin analizuje sprawozdania instytucji opieki, 76% deklaruje analizę danych statystycznych. W</w:t>
      </w:r>
      <w:r w:rsidRPr="00557047">
        <w:rPr>
          <w:b/>
        </w:rPr>
        <w:t xml:space="preserve"> ¾ gmin respondenci przyznali, że są grupy osób, które mogą mieć utrudniony dostęp do wsparcia środowiskowego dla osób starszych w ich gminie,  w tym osoby niesamodzielne ze względu na problemy ruchowe, choroby otępienne i inne.</w:t>
      </w:r>
      <w:r>
        <w:t xml:space="preserve"> </w:t>
      </w:r>
    </w:p>
    <w:p w:rsidR="004F40C2" w:rsidRDefault="004F40C2" w:rsidP="004F40C2">
      <w:pPr>
        <w:pStyle w:val="Akapitzlist"/>
        <w:numPr>
          <w:ilvl w:val="0"/>
          <w:numId w:val="4"/>
        </w:numPr>
        <w:jc w:val="both"/>
      </w:pPr>
      <w:r>
        <w:t xml:space="preserve">Wiele z wymienionych zasad jest intuicyjnie przestrzeganych. Jednak z perspektywy poszanowania godności i niedyskryminacji osób starszych niektóre zasady interpretowane są i wdrażane przez decydentów w sposób  nieodpowiedni. </w:t>
      </w:r>
    </w:p>
    <w:p w:rsidR="004F40C2" w:rsidRDefault="004F40C2" w:rsidP="004F40C2">
      <w:pPr>
        <w:pStyle w:val="Akapitzlist"/>
        <w:numPr>
          <w:ilvl w:val="1"/>
          <w:numId w:val="4"/>
        </w:numPr>
        <w:jc w:val="both"/>
      </w:pPr>
      <w:r w:rsidRPr="007A462E">
        <w:rPr>
          <w:b/>
        </w:rPr>
        <w:t xml:space="preserve">Brak rozwoju odpowiednich usług w miejscu zamieszkania </w:t>
      </w:r>
      <w:r>
        <w:rPr>
          <w:b/>
        </w:rPr>
        <w:t xml:space="preserve">może </w:t>
      </w:r>
      <w:r w:rsidRPr="007A462E">
        <w:rPr>
          <w:b/>
        </w:rPr>
        <w:t>oznacza</w:t>
      </w:r>
      <w:r>
        <w:rPr>
          <w:b/>
        </w:rPr>
        <w:t>ć</w:t>
      </w:r>
      <w:r w:rsidRPr="007A462E">
        <w:rPr>
          <w:b/>
        </w:rPr>
        <w:t xml:space="preserve"> brak wyboru</w:t>
      </w:r>
      <w:r>
        <w:t xml:space="preserve"> - przymusza osoby potrzebujące wsparcia do przeprowadzki do domu opieki. Tym samym </w:t>
      </w:r>
      <w:r w:rsidRPr="007A462E">
        <w:rPr>
          <w:b/>
        </w:rPr>
        <w:t>ograniczone jest prawo osób starszych do decydowania o własnym życiu</w:t>
      </w:r>
      <w:r>
        <w:t xml:space="preserve">, o tym gdzie będą mieszkać.  </w:t>
      </w:r>
    </w:p>
    <w:p w:rsidR="004F40C2" w:rsidRDefault="004F40C2" w:rsidP="004F40C2">
      <w:pPr>
        <w:pStyle w:val="Akapitzlist"/>
        <w:numPr>
          <w:ilvl w:val="1"/>
          <w:numId w:val="4"/>
        </w:numPr>
        <w:jc w:val="both"/>
      </w:pPr>
      <w:r>
        <w:t xml:space="preserve">Prawo do decydowania o własnym życiu realizuje się również przez możliwość zgłoszenia własnych potrzeb a także wypowiedzenia się co do pożądanej formy usług oferowanych przez gminy. </w:t>
      </w:r>
      <w:r w:rsidRPr="007A462E">
        <w:rPr>
          <w:b/>
        </w:rPr>
        <w:t>Jedynie 17%</w:t>
      </w:r>
      <w:r>
        <w:rPr>
          <w:b/>
        </w:rPr>
        <w:t>-19%</w:t>
      </w:r>
      <w:r w:rsidRPr="007A462E">
        <w:rPr>
          <w:b/>
        </w:rPr>
        <w:t xml:space="preserve"> gmin prowadzi formalne konsultacje dot. potrzeb opiekuńczych i materialnych</w:t>
      </w:r>
      <w:r>
        <w:t xml:space="preserve">, 28% gmin – w zakresie organizacji czasu wolnego. Stąd </w:t>
      </w:r>
      <w:r w:rsidRPr="007A462E">
        <w:rPr>
          <w:b/>
        </w:rPr>
        <w:t>obawa, czy decydenci docierają do wszystkich osób starszych lub ich reprezentatywnej grupy i czy słucha</w:t>
      </w:r>
      <w:r>
        <w:rPr>
          <w:b/>
        </w:rPr>
        <w:t>ją</w:t>
      </w:r>
      <w:r w:rsidRPr="007A462E">
        <w:rPr>
          <w:b/>
        </w:rPr>
        <w:t xml:space="preserve"> ich głosu</w:t>
      </w:r>
      <w:r>
        <w:t xml:space="preserve">.  </w:t>
      </w:r>
    </w:p>
    <w:p w:rsidR="004F40C2" w:rsidRDefault="004F40C2" w:rsidP="004F40C2">
      <w:pPr>
        <w:pStyle w:val="Akapitzlist"/>
        <w:numPr>
          <w:ilvl w:val="1"/>
          <w:numId w:val="4"/>
        </w:numPr>
        <w:jc w:val="both"/>
      </w:pPr>
      <w:r>
        <w:t xml:space="preserve">Gminy nie dostrzegają swojej roli w kreowaniu zachęt dla tzw. srebrnej gospodarki, czyli rozwoju przedsiębiorczości w oparciu o zapotrzebowanie na usługi i dobra związane z zaawansowanym wiekiem. </w:t>
      </w:r>
      <w:r w:rsidRPr="001F312D">
        <w:rPr>
          <w:b/>
        </w:rPr>
        <w:t>Często osoby starsze i ich opiekunowie nie mają się do kogo zwrócić o wsparcie, nawet w formie odpłatnej</w:t>
      </w:r>
      <w:r>
        <w:t xml:space="preserve">. Przedsiębiorcy postrzegani są jedynie jako lokalni filantropi. Ilustruje to z jednej strony niewykorzystany potencjał, z drugiej „niewidoczność” osób starszych, ich potrzeb oraz potrzeb ich opiekunów. </w:t>
      </w:r>
    </w:p>
    <w:p w:rsidR="004F40C2" w:rsidRDefault="004F40C2" w:rsidP="004F40C2">
      <w:pPr>
        <w:pStyle w:val="Akapitzlist"/>
        <w:numPr>
          <w:ilvl w:val="1"/>
          <w:numId w:val="4"/>
        </w:numPr>
        <w:jc w:val="both"/>
      </w:pPr>
      <w:r w:rsidRPr="007A462E">
        <w:rPr>
          <w:b/>
        </w:rPr>
        <w:t>Wszystkie projekty prowadzone w gminie powinny być analizowane pod kątem ich dostępności dla osób starszych</w:t>
      </w:r>
      <w:r>
        <w:t xml:space="preserve">. Oznacza to stawianie pytania, czy osoby starsze będą miały zapewnione warunki umożliwiające udział lub skorzystanie z efektów danego projektu. Jak również pytania o  to, w jaki sposób dane przedsięwzięcie może przyczynić się do włączenia osób starszych w życie społeczne gminy. </w:t>
      </w:r>
      <w:r w:rsidRPr="007A462E">
        <w:rPr>
          <w:b/>
        </w:rPr>
        <w:t xml:space="preserve">Decydenci często mylą </w:t>
      </w:r>
      <w:r w:rsidR="006E5A94">
        <w:rPr>
          <w:b/>
        </w:rPr>
        <w:t xml:space="preserve">zasadę </w:t>
      </w:r>
      <w:proofErr w:type="spellStart"/>
      <w:r w:rsidRPr="007A462E">
        <w:rPr>
          <w:b/>
          <w:i/>
        </w:rPr>
        <w:t>mainstreaming</w:t>
      </w:r>
      <w:proofErr w:type="spellEnd"/>
      <w:r w:rsidRPr="007A462E">
        <w:rPr>
          <w:b/>
          <w:i/>
        </w:rPr>
        <w:t xml:space="preserve"> </w:t>
      </w:r>
      <w:proofErr w:type="spellStart"/>
      <w:r w:rsidRPr="007A462E">
        <w:rPr>
          <w:b/>
          <w:i/>
        </w:rPr>
        <w:t>ageing</w:t>
      </w:r>
      <w:proofErr w:type="spellEnd"/>
      <w:r>
        <w:rPr>
          <w:b/>
        </w:rPr>
        <w:t xml:space="preserve"> </w:t>
      </w:r>
      <w:r w:rsidRPr="007A462E">
        <w:rPr>
          <w:b/>
        </w:rPr>
        <w:t xml:space="preserve">z zasadą </w:t>
      </w:r>
      <w:proofErr w:type="spellStart"/>
      <w:r w:rsidRPr="007A462E">
        <w:rPr>
          <w:b/>
        </w:rPr>
        <w:t>wielosektorowości</w:t>
      </w:r>
      <w:proofErr w:type="spellEnd"/>
      <w:r w:rsidRPr="007A462E">
        <w:rPr>
          <w:b/>
        </w:rPr>
        <w:t xml:space="preserve"> lub jej nie </w:t>
      </w:r>
      <w:r>
        <w:rPr>
          <w:b/>
        </w:rPr>
        <w:t>przestrzegają</w:t>
      </w:r>
      <w:r>
        <w:t xml:space="preserve">. </w:t>
      </w:r>
      <w:r w:rsidRPr="007A462E">
        <w:rPr>
          <w:b/>
        </w:rPr>
        <w:t>Może to stanowić o wykluczeniu społecznym osób starszych, które ze względu na istniejące bariery, nie będą beneficjentami działań samorządu</w:t>
      </w:r>
      <w:r>
        <w:t xml:space="preserve">. Tym samym są one dyskryminowane. </w:t>
      </w:r>
    </w:p>
    <w:p w:rsidR="004F40C2" w:rsidRDefault="004F40C2" w:rsidP="004F40C2">
      <w:pPr>
        <w:pStyle w:val="Akapitzlist"/>
        <w:numPr>
          <w:ilvl w:val="1"/>
          <w:numId w:val="4"/>
        </w:numPr>
        <w:jc w:val="both"/>
      </w:pPr>
      <w:r w:rsidRPr="007A462E">
        <w:rPr>
          <w:b/>
        </w:rPr>
        <w:t xml:space="preserve">Pojęcie dyskryminacji seniorów często jest rozumiane zbyt wąsko. </w:t>
      </w:r>
      <w:r w:rsidRPr="007A462E">
        <w:t>Decydenci dyskryminację osób starszych rozumieją jedynie jako aktywne, zamierzone wykluczanie osób starszych</w:t>
      </w:r>
      <w:r w:rsidRPr="007A462E">
        <w:rPr>
          <w:b/>
        </w:rPr>
        <w:t>.</w:t>
      </w:r>
      <w:r>
        <w:t xml:space="preserve"> Dlatego uznają, że ich działania są od niej wolne. </w:t>
      </w:r>
      <w:r w:rsidRPr="007A462E">
        <w:rPr>
          <w:b/>
        </w:rPr>
        <w:t xml:space="preserve">Bariery </w:t>
      </w:r>
      <w:r w:rsidRPr="007A462E">
        <w:rPr>
          <w:b/>
        </w:rPr>
        <w:lastRenderedPageBreak/>
        <w:t>w dostępie do efektów działań gminy są miarą dyskryminacji pośredniej</w:t>
      </w:r>
      <w:r>
        <w:t xml:space="preserve">, kiedy pozornie równe dla wszystkich postanowienie, decyzja lub kryterium powoduje, że warunki stają niekorzystne dla danej osoby ze względu na wiek i związane z nim uwarunkowania, np. trudności w poruszaniu się </w:t>
      </w:r>
    </w:p>
    <w:p w:rsidR="004F40C2" w:rsidRDefault="004F40C2" w:rsidP="004F40C2">
      <w:pPr>
        <w:pStyle w:val="Akapitzlist"/>
        <w:numPr>
          <w:ilvl w:val="1"/>
          <w:numId w:val="4"/>
        </w:numPr>
        <w:jc w:val="both"/>
      </w:pPr>
      <w:r>
        <w:t xml:space="preserve">Subsydiarność działań gmin jest niewystarczająca. </w:t>
      </w:r>
      <w:r w:rsidRPr="001F312D">
        <w:rPr>
          <w:b/>
        </w:rPr>
        <w:t>Niecała połowa gmin dostrzega wagę usprawnienia systemu tak, by wspierał opiekunów osób starszych</w:t>
      </w:r>
      <w:r>
        <w:t xml:space="preserve"> np. przez przygotowanie informacji o dostępnym wsparciu i organizację szkoleń. W nielicznych gminach pomoc opiekunom stanowi jeden z celów wizyt pracowników socjalnych.  </w:t>
      </w:r>
    </w:p>
    <w:p w:rsidR="004F40C2" w:rsidRDefault="004F40C2" w:rsidP="004F40C2">
      <w:pPr>
        <w:pStyle w:val="Akapitzlist"/>
        <w:numPr>
          <w:ilvl w:val="1"/>
          <w:numId w:val="4"/>
        </w:numPr>
        <w:jc w:val="both"/>
      </w:pPr>
      <w:r w:rsidRPr="001F312D">
        <w:rPr>
          <w:b/>
        </w:rPr>
        <w:t xml:space="preserve">Koordynacja działań </w:t>
      </w:r>
      <w:r>
        <w:rPr>
          <w:b/>
        </w:rPr>
        <w:t xml:space="preserve">wspierających, </w:t>
      </w:r>
      <w:r w:rsidRPr="001F312D">
        <w:rPr>
          <w:b/>
        </w:rPr>
        <w:t>stanowiąca o ich skuteczności, jest wysoce niedoceniana przez decydentów.</w:t>
      </w:r>
      <w:r>
        <w:t xml:space="preserve"> 71% gmin nie posiada żadnej komórki koordynującej, niektórzy mylą koordynację z nadzorem. Koordynacja, mająca u podstaw godność osób starszych, jest oparta o analizę potrzeb seniora i jego najbliższych opiekunów. Oznacza to angażowanie różnych podmiotów, w tym instytucji publicznych, organizacji pozarządowych oraz podmiotów prywatnych.  Budowanie sieci wsparcia zapewniającej godne życie osoby starszej. </w:t>
      </w:r>
    </w:p>
    <w:p w:rsidR="004F40C2" w:rsidRDefault="004F40C2" w:rsidP="004F40C2">
      <w:pPr>
        <w:pStyle w:val="Akapitzlist"/>
        <w:numPr>
          <w:ilvl w:val="1"/>
          <w:numId w:val="4"/>
        </w:numPr>
        <w:jc w:val="both"/>
      </w:pPr>
      <w:r>
        <w:rPr>
          <w:b/>
        </w:rPr>
        <w:t>W większości gmin brak konsekwentnych działań zmierzających do profesjonalizacji osób zawodowo wspierających osoby starsze.</w:t>
      </w:r>
      <w:r>
        <w:t xml:space="preserve"> Jako profesjonalizację działań należy rozumieć również usprawnianie całego systemu wsparcia.      </w:t>
      </w:r>
    </w:p>
    <w:p w:rsidR="007A462E" w:rsidRDefault="00E75C94" w:rsidP="004F40C2">
      <w:pPr>
        <w:jc w:val="both"/>
      </w:pPr>
      <w:r>
        <w:t xml:space="preserve">System wsparcia osób starszych na terenie badanych gmin określany jest przez większość badanych jako dobry, ale wymagający dalszego rozwoju. </w:t>
      </w:r>
      <w:r w:rsidRPr="00E75C94">
        <w:t>Niewielu decydentów dostrzega potrzebę odchodzenia od opieki instytucjonalnej na rzecz opieki środowiskowej.</w:t>
      </w:r>
      <w:r>
        <w:t xml:space="preserve"> </w:t>
      </w:r>
      <w:r w:rsidRPr="00E75C94">
        <w:rPr>
          <w:b/>
        </w:rPr>
        <w:t xml:space="preserve">Z perspektywy </w:t>
      </w:r>
      <w:r>
        <w:rPr>
          <w:b/>
        </w:rPr>
        <w:t>praw</w:t>
      </w:r>
      <w:r w:rsidRPr="00E75C94">
        <w:rPr>
          <w:b/>
        </w:rPr>
        <w:t xml:space="preserve"> człowieka kluczowe jest w</w:t>
      </w:r>
      <w:r>
        <w:rPr>
          <w:b/>
        </w:rPr>
        <w:t xml:space="preserve">zmacnianie opieki środowiskowej. </w:t>
      </w:r>
      <w:r>
        <w:t xml:space="preserve"> </w:t>
      </w:r>
      <w:bookmarkStart w:id="0" w:name="_GoBack"/>
      <w:bookmarkEnd w:id="0"/>
    </w:p>
    <w:sectPr w:rsidR="007A462E" w:rsidSect="00875B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41" w:rsidRDefault="00512341" w:rsidP="00F77616">
      <w:pPr>
        <w:spacing w:after="0" w:line="240" w:lineRule="auto"/>
      </w:pPr>
      <w:r>
        <w:separator/>
      </w:r>
    </w:p>
  </w:endnote>
  <w:endnote w:type="continuationSeparator" w:id="0">
    <w:p w:rsidR="00512341" w:rsidRDefault="00512341" w:rsidP="00F7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41" w:rsidRDefault="00512341" w:rsidP="00F77616">
      <w:pPr>
        <w:spacing w:after="0" w:line="240" w:lineRule="auto"/>
      </w:pPr>
      <w:r>
        <w:separator/>
      </w:r>
    </w:p>
  </w:footnote>
  <w:footnote w:type="continuationSeparator" w:id="0">
    <w:p w:rsidR="00512341" w:rsidRDefault="00512341" w:rsidP="00F7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87" w:rsidRPr="00BE4D52" w:rsidRDefault="00681187" w:rsidP="00681187">
    <w:pPr>
      <w:pStyle w:val="Nagwek"/>
      <w:tabs>
        <w:tab w:val="clear" w:pos="4536"/>
        <w:tab w:val="clear" w:pos="9072"/>
        <w:tab w:val="center" w:pos="5670"/>
        <w:tab w:val="left" w:pos="7380"/>
      </w:tabs>
      <w:ind w:right="1692"/>
      <w:jc w:val="right"/>
      <w:rPr>
        <w:rFonts w:cs="Times New Roman"/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3B020F" wp14:editId="51CAFB00">
          <wp:simplePos x="0" y="0"/>
          <wp:positionH relativeFrom="column">
            <wp:posOffset>5041265</wp:posOffset>
          </wp:positionH>
          <wp:positionV relativeFrom="paragraph">
            <wp:posOffset>-62865</wp:posOffset>
          </wp:positionV>
          <wp:extent cx="938530" cy="309880"/>
          <wp:effectExtent l="0" t="0" r="0" b="0"/>
          <wp:wrapSquare wrapText="bothSides"/>
          <wp:docPr id="1" name="Obraz 2" descr="logo-pom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pom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0"/>
      </w:rPr>
      <w:t xml:space="preserve">   </w:t>
    </w:r>
    <w:r w:rsidRPr="00BE4D52">
      <w:rPr>
        <w:rFonts w:cs="Times New Roman"/>
        <w:sz w:val="20"/>
      </w:rPr>
      <w:t>Biuro Rzecznika Praw Obywatelskich</w:t>
    </w:r>
    <w:r>
      <w:rPr>
        <w:rFonts w:cs="Times New Roman"/>
        <w:sz w:val="20"/>
      </w:rPr>
      <w:t xml:space="preserve"> </w:t>
    </w:r>
  </w:p>
  <w:p w:rsidR="00681187" w:rsidRDefault="00681187" w:rsidP="00681187">
    <w:pPr>
      <w:pStyle w:val="Nagwek"/>
      <w:jc w:val="center"/>
    </w:pPr>
    <w:r>
      <w:rPr>
        <w:rFonts w:cs="Times New Roman"/>
        <w:sz w:val="20"/>
      </w:rPr>
      <w:t xml:space="preserve">                                                            </w:t>
    </w:r>
    <w:r w:rsidRPr="00BE4D52">
      <w:rPr>
        <w:rFonts w:cs="Times New Roman"/>
        <w:sz w:val="20"/>
      </w:rPr>
      <w:t xml:space="preserve">Zespół </w:t>
    </w:r>
    <w:r>
      <w:rPr>
        <w:rFonts w:cs="Times New Roman"/>
        <w:sz w:val="20"/>
      </w:rPr>
      <w:t>ds. Równego Traktowania</w:t>
    </w:r>
  </w:p>
  <w:p w:rsidR="00681187" w:rsidRDefault="006811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E2F"/>
    <w:multiLevelType w:val="hybridMultilevel"/>
    <w:tmpl w:val="B4A6F19A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387F7F"/>
    <w:multiLevelType w:val="hybridMultilevel"/>
    <w:tmpl w:val="39281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77D9"/>
    <w:multiLevelType w:val="hybridMultilevel"/>
    <w:tmpl w:val="2430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77B97"/>
    <w:multiLevelType w:val="hybridMultilevel"/>
    <w:tmpl w:val="4C06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43589"/>
    <w:multiLevelType w:val="hybridMultilevel"/>
    <w:tmpl w:val="F20A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B3AB0"/>
    <w:multiLevelType w:val="hybridMultilevel"/>
    <w:tmpl w:val="E1704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4C"/>
    <w:rsid w:val="00027DDE"/>
    <w:rsid w:val="00151A18"/>
    <w:rsid w:val="001E024C"/>
    <w:rsid w:val="001F312D"/>
    <w:rsid w:val="002634FB"/>
    <w:rsid w:val="00295B29"/>
    <w:rsid w:val="00296619"/>
    <w:rsid w:val="002E1BA0"/>
    <w:rsid w:val="002E4B49"/>
    <w:rsid w:val="00383F07"/>
    <w:rsid w:val="003C5937"/>
    <w:rsid w:val="004E2CD4"/>
    <w:rsid w:val="004F40C2"/>
    <w:rsid w:val="00512341"/>
    <w:rsid w:val="00557047"/>
    <w:rsid w:val="006534CA"/>
    <w:rsid w:val="00681187"/>
    <w:rsid w:val="006E5A94"/>
    <w:rsid w:val="006F6B6D"/>
    <w:rsid w:val="007127A9"/>
    <w:rsid w:val="007A462E"/>
    <w:rsid w:val="00854BBA"/>
    <w:rsid w:val="00865EF0"/>
    <w:rsid w:val="00875B6C"/>
    <w:rsid w:val="009B4889"/>
    <w:rsid w:val="009C5C6A"/>
    <w:rsid w:val="00A71179"/>
    <w:rsid w:val="00A85566"/>
    <w:rsid w:val="00BE4CBD"/>
    <w:rsid w:val="00BF527D"/>
    <w:rsid w:val="00CB01EC"/>
    <w:rsid w:val="00D3415A"/>
    <w:rsid w:val="00E75C94"/>
    <w:rsid w:val="00EB4A12"/>
    <w:rsid w:val="00F37DE4"/>
    <w:rsid w:val="00F77616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F6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6B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F6B6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7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7616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6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6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616"/>
    <w:rPr>
      <w:vertAlign w:val="superscript"/>
    </w:rPr>
  </w:style>
  <w:style w:type="paragraph" w:styleId="Nagwek">
    <w:name w:val="header"/>
    <w:basedOn w:val="Normalny"/>
    <w:link w:val="NagwekZnak"/>
    <w:unhideWhenUsed/>
    <w:rsid w:val="0068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1187"/>
  </w:style>
  <w:style w:type="paragraph" w:styleId="Stopka">
    <w:name w:val="footer"/>
    <w:basedOn w:val="Normalny"/>
    <w:link w:val="StopkaZnak"/>
    <w:uiPriority w:val="99"/>
    <w:unhideWhenUsed/>
    <w:rsid w:val="0068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187"/>
  </w:style>
  <w:style w:type="paragraph" w:styleId="Tekstdymka">
    <w:name w:val="Balloon Text"/>
    <w:basedOn w:val="Normalny"/>
    <w:link w:val="TekstdymkaZnak"/>
    <w:uiPriority w:val="99"/>
    <w:semiHidden/>
    <w:unhideWhenUsed/>
    <w:rsid w:val="0068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8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18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C59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65E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5E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65EF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C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C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F6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6B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F6B6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7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7616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6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6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616"/>
    <w:rPr>
      <w:vertAlign w:val="superscript"/>
    </w:rPr>
  </w:style>
  <w:style w:type="paragraph" w:styleId="Nagwek">
    <w:name w:val="header"/>
    <w:basedOn w:val="Normalny"/>
    <w:link w:val="NagwekZnak"/>
    <w:unhideWhenUsed/>
    <w:rsid w:val="0068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1187"/>
  </w:style>
  <w:style w:type="paragraph" w:styleId="Stopka">
    <w:name w:val="footer"/>
    <w:basedOn w:val="Normalny"/>
    <w:link w:val="StopkaZnak"/>
    <w:uiPriority w:val="99"/>
    <w:unhideWhenUsed/>
    <w:rsid w:val="0068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187"/>
  </w:style>
  <w:style w:type="paragraph" w:styleId="Tekstdymka">
    <w:name w:val="Balloon Text"/>
    <w:basedOn w:val="Normalny"/>
    <w:link w:val="TekstdymkaZnak"/>
    <w:uiPriority w:val="99"/>
    <w:semiHidden/>
    <w:unhideWhenUsed/>
    <w:rsid w:val="0068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8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18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C59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65E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5E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65EF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C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5553-38CA-4D7B-8CCC-C1577E57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Kuruś</dc:creator>
  <cp:lastModifiedBy>Anna Chabiera</cp:lastModifiedBy>
  <cp:revision>2</cp:revision>
  <cp:lastPrinted>2017-05-09T09:50:00Z</cp:lastPrinted>
  <dcterms:created xsi:type="dcterms:W3CDTF">2017-05-11T11:54:00Z</dcterms:created>
  <dcterms:modified xsi:type="dcterms:W3CDTF">2017-05-11T11:54:00Z</dcterms:modified>
</cp:coreProperties>
</file>