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75" w:rsidRPr="00576FCC" w:rsidRDefault="00CB4D58" w:rsidP="000C267E">
      <w:pPr>
        <w:spacing w:after="0" w:line="360" w:lineRule="auto"/>
        <w:ind w:right="5103"/>
        <w:jc w:val="center"/>
        <w:rPr>
          <w:rFonts w:ascii="Times New Roman" w:hAnsi="Times New Roman"/>
          <w:b/>
          <w:spacing w:val="24"/>
          <w:sz w:val="20"/>
          <w:szCs w:val="20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7" type="#_x0000_t202" style="position:absolute;left:0;text-align:left;margin-left:286.35pt;margin-top:96.85pt;width:203.85pt;height:100.75pt;z-index:251659264;visibility:visible;mso-wrap-style:square;mso-width-percent:0;mso-height-percent:0;mso-wrap-distance-left:9pt;mso-wrap-distance-top:0;mso-wrap-distance-right:9pt;mso-wrap-distance-bottom:0;mso-width-percent:0;mso-height-percent:0;mso-width-relative:page;mso-height-relative:page;v-text-anchor:top" o:allowincell="f" filled="f" stroked="f" strokecolor="#d8d8d8">
            <v:textbox>
              <w:txbxContent>
                <w:p w:rsidR="00F5302A" w:rsidRPr="00240445" w:rsidRDefault="00CB4D58" w:rsidP="00F5302A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" o:spid="_x0000_s1026" type="#_x0000_t202" style="position:absolute;left:0;text-align:left;margin-left:241.2pt;margin-top:7.75pt;width:261.9pt;height:19.85pt;z-index:251658240;visibility:visible;mso-wrap-style:square;mso-width-percent:0;mso-height-percent:0;mso-wrap-distance-left:9pt;mso-wrap-distance-top:0;mso-wrap-distance-right:9pt;mso-wrap-distance-bottom:0;mso-width-percent:0;mso-height-percent:0;mso-width-relative:page;mso-height-relative:page;v-text-anchor:top" filled="f" stroked="f">
            <v:textbox>
              <w:txbxContent>
                <w:p w:rsidR="00576FCC" w:rsidRPr="008A7C0E" w:rsidRDefault="00535EA2" w:rsidP="00C41C0A">
                  <w:pPr>
                    <w:ind w:left="1701" w:right="132"/>
                    <w:rPr>
                      <w:rFonts w:ascii="Times New Roman" w:hAnsi="Times New Roman"/>
                    </w:rPr>
                  </w:pPr>
                  <w:r w:rsidRPr="008A7C0E">
                    <w:rPr>
                      <w:rFonts w:ascii="Times New Roman" w:hAnsi="Times New Roman"/>
                    </w:rPr>
                    <w:t xml:space="preserve">Warszawa, </w:t>
                  </w:r>
                  <w:r w:rsidR="00ED3CFB">
                    <w:rPr>
                      <w:rFonts w:ascii="Times New Roman" w:hAnsi="Times New Roman"/>
                    </w:rPr>
                    <w:t xml:space="preserve">dnia </w:t>
                  </w:r>
                  <w:r w:rsidR="002F3287">
                    <w:rPr>
                      <w:rFonts w:ascii="Times New Roman" w:hAnsi="Times New Roman"/>
                    </w:rPr>
                    <w:t>16 czerwca 2014 r.</w:t>
                  </w:r>
                </w:p>
                <w:p w:rsidR="00576FCC" w:rsidRPr="008A7C0E" w:rsidRDefault="00CB4D58" w:rsidP="00C41C0A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="00535EA2" w:rsidRPr="00576FCC">
        <w:rPr>
          <w:rFonts w:ascii="Times New Roman" w:hAnsi="Times New Roman"/>
          <w:b/>
          <w:spacing w:val="24"/>
          <w:sz w:val="20"/>
          <w:szCs w:val="20"/>
        </w:rPr>
        <w:t>BIURO</w:t>
      </w:r>
    </w:p>
    <w:p w:rsidR="00576FCC" w:rsidRDefault="00535EA2" w:rsidP="000C267E">
      <w:pPr>
        <w:spacing w:line="360" w:lineRule="auto"/>
        <w:ind w:right="5102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576FCC">
        <w:rPr>
          <w:rFonts w:ascii="Times New Roman" w:hAnsi="Times New Roman"/>
          <w:b/>
          <w:spacing w:val="24"/>
          <w:sz w:val="20"/>
          <w:szCs w:val="20"/>
        </w:rPr>
        <w:t>RZECZNIKA PRAW OBYWATELSKICH</w:t>
      </w:r>
    </w:p>
    <w:p w:rsidR="00576FCC" w:rsidRDefault="00535EA2" w:rsidP="000C267E">
      <w:pPr>
        <w:spacing w:line="360" w:lineRule="auto"/>
        <w:ind w:right="5102"/>
        <w:jc w:val="center"/>
        <w:rPr>
          <w:rFonts w:ascii="Times New Roman" w:hAnsi="Times New Roman"/>
          <w:b/>
        </w:rPr>
      </w:pPr>
      <w:r w:rsidRPr="00B15B39">
        <w:rPr>
          <w:rFonts w:ascii="Times New Roman" w:hAnsi="Times New Roman"/>
          <w:b/>
        </w:rPr>
        <w:t>Krajowy</w:t>
      </w:r>
      <w:r>
        <w:rPr>
          <w:rFonts w:ascii="Times New Roman" w:hAnsi="Times New Roman"/>
          <w:b/>
        </w:rPr>
        <w:t xml:space="preserve"> </w:t>
      </w:r>
      <w:r w:rsidRPr="00B15B39">
        <w:rPr>
          <w:rFonts w:ascii="Times New Roman" w:hAnsi="Times New Roman"/>
          <w:b/>
        </w:rPr>
        <w:t>Mechanizm</w:t>
      </w:r>
      <w:r>
        <w:rPr>
          <w:rFonts w:ascii="Times New Roman" w:hAnsi="Times New Roman"/>
          <w:b/>
        </w:rPr>
        <w:t xml:space="preserve"> </w:t>
      </w:r>
      <w:r w:rsidRPr="00B15B39">
        <w:rPr>
          <w:rFonts w:ascii="Times New Roman" w:hAnsi="Times New Roman"/>
          <w:b/>
        </w:rPr>
        <w:t>Prewencji</w:t>
      </w:r>
    </w:p>
    <w:p w:rsidR="00B96A6D" w:rsidRDefault="00535EA2" w:rsidP="000C267E">
      <w:pPr>
        <w:spacing w:before="600" w:after="3000" w:line="360" w:lineRule="auto"/>
        <w:ind w:firstLine="284"/>
        <w:rPr>
          <w:rFonts w:ascii="Times New Roman" w:hAnsi="Times New Roman"/>
          <w:b/>
        </w:rPr>
      </w:pPr>
      <w:bookmarkStart w:id="0" w:name="ezdSprawaZnak"/>
      <w:r>
        <w:rPr>
          <w:rFonts w:ascii="Times New Roman" w:hAnsi="Times New Roman"/>
          <w:b/>
        </w:rPr>
        <w:t>KMP.0721.1.2014</w:t>
      </w:r>
      <w:bookmarkEnd w:id="0"/>
      <w:r w:rsidR="009011C1">
        <w:rPr>
          <w:rFonts w:ascii="Times New Roman" w:hAnsi="Times New Roman"/>
          <w:b/>
        </w:rPr>
        <w:t>.MF</w:t>
      </w:r>
    </w:p>
    <w:p w:rsidR="000C267E" w:rsidRDefault="000C267E" w:rsidP="000C267E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03BBA">
        <w:rPr>
          <w:rFonts w:ascii="Times New Roman" w:hAnsi="Times New Roman"/>
          <w:b/>
          <w:sz w:val="24"/>
          <w:szCs w:val="24"/>
        </w:rPr>
        <w:t xml:space="preserve">Notatka Służbowa z przebiegu </w:t>
      </w:r>
    </w:p>
    <w:p w:rsidR="000C267E" w:rsidRDefault="000C267E" w:rsidP="000C267E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konferencji</w:t>
      </w:r>
      <w:r w:rsidRPr="00A03B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3BBA">
        <w:rPr>
          <w:rFonts w:ascii="Times New Roman" w:hAnsi="Times New Roman"/>
          <w:b/>
          <w:sz w:val="24"/>
          <w:szCs w:val="24"/>
        </w:rPr>
        <w:t>Ombudsmenów</w:t>
      </w:r>
      <w:proofErr w:type="spellEnd"/>
      <w:r w:rsidRPr="00A03BBA">
        <w:rPr>
          <w:rFonts w:ascii="Times New Roman" w:hAnsi="Times New Roman"/>
          <w:b/>
          <w:sz w:val="24"/>
          <w:szCs w:val="24"/>
        </w:rPr>
        <w:t xml:space="preserve"> krajów Nadbałtyckich i Nordyckich </w:t>
      </w:r>
    </w:p>
    <w:p w:rsidR="000C267E" w:rsidRDefault="000C267E" w:rsidP="000C267E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03BBA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A03BBA">
        <w:rPr>
          <w:rFonts w:ascii="Times New Roman" w:hAnsi="Times New Roman"/>
          <w:b/>
          <w:sz w:val="24"/>
          <w:szCs w:val="24"/>
        </w:rPr>
        <w:t>Baltic-Nordic</w:t>
      </w:r>
      <w:proofErr w:type="spellEnd"/>
      <w:r w:rsidRPr="00A03B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3BBA">
        <w:rPr>
          <w:rFonts w:ascii="Times New Roman" w:hAnsi="Times New Roman"/>
          <w:b/>
          <w:sz w:val="24"/>
          <w:szCs w:val="24"/>
        </w:rPr>
        <w:t>Ombudsmen</w:t>
      </w:r>
      <w:proofErr w:type="spellEnd"/>
      <w:r w:rsidRPr="00A03BBA">
        <w:rPr>
          <w:rFonts w:ascii="Times New Roman" w:hAnsi="Times New Roman"/>
          <w:b/>
          <w:sz w:val="24"/>
          <w:szCs w:val="24"/>
        </w:rPr>
        <w:t xml:space="preserve"> Conference)</w:t>
      </w:r>
    </w:p>
    <w:p w:rsidR="000C267E" w:rsidRPr="00A03BBA" w:rsidRDefault="000C267E" w:rsidP="000C267E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C267E" w:rsidRDefault="000C267E" w:rsidP="000C267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dniach 12-13 czerwca 2014 r. w Biurze </w:t>
      </w:r>
      <w:proofErr w:type="spellStart"/>
      <w:r>
        <w:rPr>
          <w:rFonts w:ascii="Times New Roman" w:hAnsi="Times New Roman"/>
          <w:sz w:val="24"/>
          <w:szCs w:val="24"/>
        </w:rPr>
        <w:t>Ombudsmen</w:t>
      </w:r>
      <w:proofErr w:type="spellEnd"/>
      <w:r>
        <w:rPr>
          <w:rFonts w:ascii="Times New Roman" w:hAnsi="Times New Roman"/>
          <w:sz w:val="24"/>
          <w:szCs w:val="24"/>
        </w:rPr>
        <w:t xml:space="preserve"> Republiki Litwy w Wilnie została zorganizowana konferencja </w:t>
      </w:r>
      <w:proofErr w:type="spellStart"/>
      <w:r>
        <w:rPr>
          <w:rFonts w:ascii="Times New Roman" w:hAnsi="Times New Roman"/>
          <w:sz w:val="24"/>
          <w:szCs w:val="24"/>
        </w:rPr>
        <w:t>Ombudsmenów</w:t>
      </w:r>
      <w:proofErr w:type="spellEnd"/>
      <w:r>
        <w:rPr>
          <w:rFonts w:ascii="Times New Roman" w:hAnsi="Times New Roman"/>
          <w:sz w:val="24"/>
          <w:szCs w:val="24"/>
        </w:rPr>
        <w:t xml:space="preserve"> krajów Nadbałtyckich i Nordyckich. Biuro Rzecznika Praw Obywatelskich reprezentowali Magdalena Filipiak – Radca w Zespole </w:t>
      </w:r>
      <w:r w:rsidRPr="003D3B8B">
        <w:rPr>
          <w:rFonts w:ascii="Times New Roman" w:hAnsi="Times New Roman"/>
          <w:i/>
          <w:sz w:val="24"/>
          <w:szCs w:val="24"/>
        </w:rPr>
        <w:t>Krajowy Mechanizm Prewencji</w:t>
      </w:r>
      <w:r>
        <w:rPr>
          <w:rFonts w:ascii="Times New Roman" w:hAnsi="Times New Roman"/>
          <w:sz w:val="24"/>
          <w:szCs w:val="24"/>
        </w:rPr>
        <w:t xml:space="preserve"> oraz Przemysław Możejko – Główny Specjalista w II Zespole Prawa Karnego.  </w:t>
      </w:r>
    </w:p>
    <w:p w:rsidR="000C267E" w:rsidRDefault="000C267E" w:rsidP="000C267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konferencji przewidywał, że p</w:t>
      </w:r>
      <w:r w:rsidR="00B26908">
        <w:rPr>
          <w:rFonts w:ascii="Times New Roman" w:hAnsi="Times New Roman"/>
          <w:sz w:val="24"/>
          <w:szCs w:val="24"/>
        </w:rPr>
        <w:t>ierwszego dnia konferencji odbędzie</w:t>
      </w:r>
      <w:r>
        <w:rPr>
          <w:rFonts w:ascii="Times New Roman" w:hAnsi="Times New Roman"/>
          <w:sz w:val="24"/>
          <w:szCs w:val="24"/>
        </w:rPr>
        <w:t xml:space="preserve"> się panel dyskusyjny, który składał się z trzech sesji tematycznych. Natomiast drugiego dnia zorganizowana została wizyta studyjna w wybranym przez uczestników miejscu pozbawienia wolności (istniała możliwość udania się do Aresztu Śledczego – Zakładu Karnego typu zamkniętego </w:t>
      </w:r>
      <w:proofErr w:type="spellStart"/>
      <w:r>
        <w:rPr>
          <w:rFonts w:ascii="Times New Roman" w:hAnsi="Times New Roman"/>
          <w:sz w:val="24"/>
          <w:szCs w:val="24"/>
        </w:rPr>
        <w:t>Lukiškės</w:t>
      </w:r>
      <w:proofErr w:type="spellEnd"/>
      <w:r>
        <w:rPr>
          <w:rFonts w:ascii="Times New Roman" w:hAnsi="Times New Roman"/>
          <w:sz w:val="24"/>
          <w:szCs w:val="24"/>
        </w:rPr>
        <w:t xml:space="preserve"> w Wilnie lub Zakładu Poprawczego w Wilnie) i podsumowanie wydarzenia.</w:t>
      </w:r>
    </w:p>
    <w:p w:rsidR="000C267E" w:rsidRDefault="000C267E" w:rsidP="000C267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Podczas pierwszej sesji tematycznej pt. </w:t>
      </w:r>
      <w:r w:rsidRPr="007F6127">
        <w:rPr>
          <w:rFonts w:ascii="Times New Roman" w:hAnsi="Times New Roman"/>
          <w:i/>
          <w:sz w:val="24"/>
          <w:szCs w:val="24"/>
        </w:rPr>
        <w:t>Perspektyw</w:t>
      </w:r>
      <w:r>
        <w:rPr>
          <w:rFonts w:ascii="Times New Roman" w:hAnsi="Times New Roman"/>
          <w:i/>
          <w:sz w:val="24"/>
          <w:szCs w:val="24"/>
        </w:rPr>
        <w:t>y i</w:t>
      </w:r>
      <w:r w:rsidRPr="007F6127">
        <w:rPr>
          <w:rFonts w:ascii="Times New Roman" w:hAnsi="Times New Roman"/>
          <w:i/>
          <w:sz w:val="24"/>
          <w:szCs w:val="24"/>
        </w:rPr>
        <w:t xml:space="preserve"> dobre praktyki w implementacji Protokołu fakultatywnego do Konwencji w sprawie zakazu stosowania tortur oraz innego okrutnego, nieludzkiego lub poniżającego traktowania albo karania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reprezentant gospodarzy zaprezentował program wdrażania działalności krajowego mechanizmu prewencji w miejscach detencji na terenie Litwy. Implementacja OPCAT stanowiła już od wielu lat strategiczny cel </w:t>
      </w:r>
      <w:proofErr w:type="spellStart"/>
      <w:r>
        <w:rPr>
          <w:rFonts w:ascii="Times New Roman" w:hAnsi="Times New Roman"/>
          <w:sz w:val="24"/>
          <w:szCs w:val="24"/>
        </w:rPr>
        <w:t>Ombudsmenów</w:t>
      </w:r>
      <w:proofErr w:type="spellEnd"/>
      <w:r>
        <w:rPr>
          <w:rFonts w:ascii="Times New Roman" w:hAnsi="Times New Roman"/>
          <w:sz w:val="24"/>
          <w:szCs w:val="24"/>
        </w:rPr>
        <w:t xml:space="preserve"> Litwy. Dzięki współpracy </w:t>
      </w:r>
      <w:proofErr w:type="spellStart"/>
      <w:r>
        <w:rPr>
          <w:rFonts w:ascii="Times New Roman" w:hAnsi="Times New Roman"/>
          <w:sz w:val="24"/>
          <w:szCs w:val="24"/>
        </w:rPr>
        <w:t>Ombudsmenów</w:t>
      </w:r>
      <w:proofErr w:type="spellEnd"/>
      <w:r>
        <w:rPr>
          <w:rFonts w:ascii="Times New Roman" w:hAnsi="Times New Roman"/>
          <w:sz w:val="24"/>
          <w:szCs w:val="24"/>
        </w:rPr>
        <w:t xml:space="preserve">, Parlamentarnej Komisji ds. Praw Człowieka oraz Ministrów Sprawiedliwości i Ministrów Spraw Zagranicznych udało się osiągnąć </w:t>
      </w:r>
      <w:r>
        <w:rPr>
          <w:rFonts w:ascii="Times New Roman" w:hAnsi="Times New Roman"/>
          <w:sz w:val="24"/>
          <w:szCs w:val="24"/>
        </w:rPr>
        <w:lastRenderedPageBreak/>
        <w:t xml:space="preserve">ten cel i w końcu w dniu 20 stycznia 2014 r. nastąpiła ratyfikacja OPCAT, na skutek czego wprowadzono odpowiednie zmiany w obowiązujących przepisach prawa, umożliwiających wykonywanie funkcji KMP przez Ombudsman Republiki Litwy. Prelegent omówił standardowe działania związane z wizytacją i jej przebiegiem, współpracą z ekspertami oraz rekomendacjami wydawanymi na skutek przeprowadzonych wizytacji. Zgodnie z założeniami, jakie przyświecają pracy litewskiego KMP, wizytacje placówek detencji kwalifikowanych do większych jednostek odbywają się średnio raz na trzy lata, natomiast mniejsze placówki mają być wizytowane raz w ciągu roku. Przedstawiono także dobre praktyki w ramach działalności KMP w postaci nawiązywania współpracy z </w:t>
      </w:r>
      <w:proofErr w:type="spellStart"/>
      <w:r>
        <w:rPr>
          <w:rFonts w:ascii="Times New Roman" w:hAnsi="Times New Roman"/>
          <w:sz w:val="24"/>
          <w:szCs w:val="24"/>
        </w:rPr>
        <w:t>NGO’s</w:t>
      </w:r>
      <w:proofErr w:type="spellEnd"/>
      <w:r>
        <w:rPr>
          <w:rFonts w:ascii="Times New Roman" w:hAnsi="Times New Roman"/>
          <w:sz w:val="24"/>
          <w:szCs w:val="24"/>
        </w:rPr>
        <w:t xml:space="preserve">, dzięki której można na bieżąco wymieniać się wiedzą i doświadczeniami przedstawicieli organizacji pozarządowych oraz pracowników Biura </w:t>
      </w:r>
      <w:proofErr w:type="spellStart"/>
      <w:r>
        <w:rPr>
          <w:rFonts w:ascii="Times New Roman" w:hAnsi="Times New Roman"/>
          <w:sz w:val="24"/>
          <w:szCs w:val="24"/>
        </w:rPr>
        <w:t>Obudsmenów</w:t>
      </w:r>
      <w:proofErr w:type="spellEnd"/>
      <w:r>
        <w:rPr>
          <w:rFonts w:ascii="Times New Roman" w:hAnsi="Times New Roman"/>
          <w:sz w:val="24"/>
          <w:szCs w:val="24"/>
        </w:rPr>
        <w:t xml:space="preserve"> wizytujących placówki detencji. Ponadto dla skuteczności litewskiego KMP szczególne znaczenie ma współpraca z CPT oraz SPT, a także w odpowiednimi władzami. Prelegent zwrócił uwagę na kanały informowania opinii publicznej, dzięki którym społeczeństwo dowiaduje się o działalności KMP (konferencje, </w:t>
      </w:r>
      <w:proofErr w:type="spellStart"/>
      <w:r>
        <w:rPr>
          <w:rFonts w:ascii="Times New Roman" w:hAnsi="Times New Roman"/>
          <w:sz w:val="24"/>
          <w:szCs w:val="24"/>
        </w:rPr>
        <w:t>eventy</w:t>
      </w:r>
      <w:proofErr w:type="spellEnd"/>
      <w:r>
        <w:rPr>
          <w:rFonts w:ascii="Times New Roman" w:hAnsi="Times New Roman"/>
          <w:sz w:val="24"/>
          <w:szCs w:val="24"/>
        </w:rPr>
        <w:t>, strona internetowa [</w:t>
      </w:r>
      <w:r w:rsidRPr="00C54119">
        <w:rPr>
          <w:rFonts w:ascii="Times New Roman" w:hAnsi="Times New Roman"/>
          <w:color w:val="0F243E"/>
          <w:sz w:val="24"/>
          <w:szCs w:val="24"/>
          <w:u w:val="single"/>
        </w:rPr>
        <w:t>www.lrski.lt</w:t>
      </w:r>
      <w:r>
        <w:rPr>
          <w:rFonts w:ascii="Times New Roman" w:hAnsi="Times New Roman"/>
          <w:sz w:val="24"/>
          <w:szCs w:val="24"/>
        </w:rPr>
        <w:t>]).</w:t>
      </w:r>
    </w:p>
    <w:p w:rsidR="000C267E" w:rsidRDefault="000C267E" w:rsidP="000C267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Podczas kolejnej prezentacji omówione zostały typy wizytacji, ich planowanie, dobieranie składu grupy wizytacyjnej oraz zaangażowanie ekspertów z punktu widzenia doświadczeń przedstawicieli KMP ze Szwecji. Od 1 lipca 2011 r. w Biurze </w:t>
      </w:r>
      <w:proofErr w:type="spellStart"/>
      <w:r>
        <w:rPr>
          <w:rFonts w:ascii="Times New Roman" w:hAnsi="Times New Roman"/>
          <w:sz w:val="24"/>
          <w:szCs w:val="24"/>
        </w:rPr>
        <w:t>Ombudsmenów</w:t>
      </w:r>
      <w:proofErr w:type="spellEnd"/>
      <w:r>
        <w:rPr>
          <w:rFonts w:ascii="Times New Roman" w:hAnsi="Times New Roman"/>
          <w:sz w:val="24"/>
          <w:szCs w:val="24"/>
        </w:rPr>
        <w:t xml:space="preserve"> Szwecji wyodrębniono Zespół realizujący zadanie monitorowania miejsc pozbawienia wolności w rozumieniu OPCAT. Zespół KMP w Szwecji składa się z 4 osób posiadających różnego rodzaju doświadczenia zawodowe (trzech prawników oraz jednej osoby będącej funkcjonariuszem Policji w stanie spoczynku). Współpraca z ekspertami opiera się na zaangażowaniu w działalność Szwedzkiego KMP lekarzy – ekspertów zewnętrznych. Zespół przeprowadza zarówno zapowiedziane, jak i niezapowiedziane wizytacje od 2011 r. i do chwili obecnej udało się wykonać 93 takie wizytacje. Co do zasady każda wizytacja przeprowadzana jest przez 2 pracowników Zespołu KMP.</w:t>
      </w:r>
    </w:p>
    <w:p w:rsidR="000C267E" w:rsidRDefault="000C267E" w:rsidP="000C26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0C267E" w:rsidRDefault="000C267E" w:rsidP="000C26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Opracowała: Magdalena Filipiak      </w:t>
      </w:r>
    </w:p>
    <w:p w:rsidR="000A1D1A" w:rsidRPr="008A7C0E" w:rsidRDefault="00CB4D58" w:rsidP="000C267E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0A1D1A" w:rsidRPr="008A7C0E" w:rsidSect="004A371B">
      <w:footerReference w:type="default" r:id="rId7"/>
      <w:headerReference w:type="first" r:id="rId8"/>
      <w:footerReference w:type="first" r:id="rId9"/>
      <w:pgSz w:w="11906" w:h="16838"/>
      <w:pgMar w:top="1418" w:right="1134" w:bottom="1418" w:left="1134" w:header="709" w:footer="5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D58" w:rsidRDefault="00CB4D58">
      <w:pPr>
        <w:spacing w:after="0" w:line="240" w:lineRule="auto"/>
      </w:pPr>
      <w:r>
        <w:separator/>
      </w:r>
    </w:p>
  </w:endnote>
  <w:endnote w:type="continuationSeparator" w:id="0">
    <w:p w:rsidR="00CB4D58" w:rsidRDefault="00CB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53E" w:rsidRPr="004A371B" w:rsidRDefault="00CB4D58" w:rsidP="004A371B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position:absolute;margin-left:198.3pt;margin-top:8.9pt;width:71.25pt;height:19.95pt;z-index:251660288;visibility:visible;mso-wrap-style:square;mso-width-percent:0;mso-height-percent:0;mso-wrap-distance-left:9pt;mso-wrap-distance-top:0;mso-wrap-distance-right:9pt;mso-wrap-distance-bottom:0;mso-width-percent:0;mso-height-percent:0;mso-width-relative:page;mso-height-relative:page;v-text-anchor:top" filled="f" stroked="f">
          <v:textbox>
            <w:txbxContent>
              <w:p w:rsidR="004A371B" w:rsidRPr="00C30C1A" w:rsidRDefault="00535EA2" w:rsidP="004A371B">
                <w:pPr>
                  <w:pStyle w:val="Stopka"/>
                  <w:jc w:val="center"/>
                  <w:rPr>
                    <w:rFonts w:ascii="Times New Roman" w:hAnsi="Times New Roman"/>
                    <w:color w:val="808080"/>
                  </w:rPr>
                </w:pPr>
                <w:r w:rsidRPr="00C30C1A">
                  <w:rPr>
                    <w:rFonts w:ascii="Times New Roman" w:hAnsi="Times New Roman"/>
                    <w:color w:val="808080"/>
                  </w:rPr>
                  <w:t xml:space="preserve">- </w:t>
                </w:r>
                <w:r w:rsidRPr="00C30C1A">
                  <w:rPr>
                    <w:rFonts w:ascii="Times New Roman" w:hAnsi="Times New Roman"/>
                    <w:color w:val="808080"/>
                  </w:rPr>
                  <w:fldChar w:fldCharType="begin"/>
                </w:r>
                <w:r w:rsidRPr="00C30C1A">
                  <w:rPr>
                    <w:rFonts w:ascii="Times New Roman" w:hAnsi="Times New Roman"/>
                    <w:color w:val="808080"/>
                  </w:rPr>
                  <w:instrText>PAGE   \* MERGEFORMAT</w:instrText>
                </w:r>
                <w:r w:rsidRPr="00C30C1A">
                  <w:rPr>
                    <w:rFonts w:ascii="Times New Roman" w:hAnsi="Times New Roman"/>
                    <w:color w:val="808080"/>
                  </w:rPr>
                  <w:fldChar w:fldCharType="separate"/>
                </w:r>
                <w:r w:rsidR="008941ED">
                  <w:rPr>
                    <w:rFonts w:ascii="Times New Roman" w:hAnsi="Times New Roman"/>
                    <w:noProof/>
                    <w:color w:val="808080"/>
                  </w:rPr>
                  <w:t>2</w:t>
                </w:r>
                <w:r w:rsidRPr="00C30C1A">
                  <w:rPr>
                    <w:rFonts w:ascii="Times New Roman" w:hAnsi="Times New Roman"/>
                    <w:color w:val="808080"/>
                  </w:rPr>
                  <w:fldChar w:fldCharType="end"/>
                </w:r>
                <w:r w:rsidRPr="00C30C1A">
                  <w:rPr>
                    <w:rFonts w:ascii="Times New Roman" w:hAnsi="Times New Roman"/>
                    <w:color w:val="808080"/>
                  </w:rPr>
                  <w:t xml:space="preserve"> 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588" w:rsidRPr="00A56197" w:rsidRDefault="00CB4D58" w:rsidP="00824588">
    <w:pPr>
      <w:pStyle w:val="Stopka"/>
      <w:spacing w:before="360" w:line="240" w:lineRule="atLeast"/>
      <w:rPr>
        <w:rFonts w:ascii="Times New Roman" w:hAnsi="Times New Roman"/>
        <w:color w:val="808080"/>
        <w:sz w:val="20"/>
        <w:szCs w:val="20"/>
      </w:rPr>
    </w:pPr>
    <w:r>
      <w:rPr>
        <w:rFonts w:ascii="Times New Roman" w:hAnsi="Times New Roman"/>
        <w:noProof/>
        <w:color w:val="808080"/>
        <w:sz w:val="20"/>
        <w:szCs w:val="20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1" type="#_x0000_t202" style="position:absolute;margin-left:319.8pt;margin-top:14pt;width:171.75pt;height:56.75pt;z-index:251658240;visibility:visible;mso-wrap-style:square;mso-width-percent:0;mso-height-percent:0;mso-wrap-distance-left:9pt;mso-wrap-distance-top:0;mso-wrap-distance-right:9pt;mso-wrap-distance-bottom:0;mso-width-percent:0;mso-height-percent:0;mso-width-relative:page;mso-height-relative:page;v-text-anchor:top" filled="f" stroked="f">
          <v:textbox>
            <w:txbxContent>
              <w:p w:rsidR="00824588" w:rsidRPr="00A56197" w:rsidRDefault="00535EA2" w:rsidP="00824588">
                <w:pPr>
                  <w:spacing w:after="0" w:line="240" w:lineRule="atLeast"/>
                  <w:jc w:val="right"/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</w:pPr>
                <w:r w:rsidRPr="00A56197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Tel. centr. (+48 22) 55 17 700</w:t>
                </w:r>
              </w:p>
              <w:p w:rsidR="00824588" w:rsidRDefault="00535EA2" w:rsidP="00824588">
                <w:pPr>
                  <w:spacing w:after="0" w:line="240" w:lineRule="atLeast"/>
                  <w:jc w:val="right"/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</w:pPr>
                <w:r w:rsidRPr="00A56197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Infolinia obywatelska 800 676</w:t>
                </w:r>
                <w:r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 </w:t>
                </w:r>
                <w:r w:rsidRPr="00A56197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676</w:t>
                </w:r>
              </w:p>
              <w:p w:rsidR="00867569" w:rsidRDefault="00535EA2" w:rsidP="00867569">
                <w:pPr>
                  <w:spacing w:after="0" w:line="240" w:lineRule="atLeast"/>
                  <w:jc w:val="right"/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</w:pPr>
                <w:r w:rsidRPr="00867569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biurorzecznika@brpo.gov.pl</w:t>
                </w:r>
              </w:p>
              <w:p w:rsidR="00867569" w:rsidRPr="00A56197" w:rsidRDefault="00535EA2" w:rsidP="00867569">
                <w:pPr>
                  <w:spacing w:after="0" w:line="240" w:lineRule="atLeast"/>
                  <w:jc w:val="right"/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www.rpo.gov.pl</w:t>
                </w:r>
              </w:p>
            </w:txbxContent>
          </v:textbox>
        </v:shape>
      </w:pict>
    </w:r>
    <w:r>
      <w:rPr>
        <w:rFonts w:ascii="Times New Roman" w:hAnsi="Times New Roman"/>
        <w:noProof/>
        <w:color w:val="808080"/>
        <w:sz w:val="20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2052" type="#_x0000_t32" style="position:absolute;margin-left:-1.2pt;margin-top:4.75pt;width:484.5pt;height:0;z-index:251659264;visibility:visible;mso-wrap-style:square;mso-width-percent:0;mso-height-percent:0;mso-wrap-distance-left:9pt;mso-wrap-distance-top:0;mso-wrap-distance-right:9pt;mso-wrap-distance-bottom:0;mso-width-percent:0;mso-height-percent:0;mso-width-relative:page;mso-height-relative:page" strokecolor="#7f7f7f"/>
      </w:pict>
    </w:r>
    <w:r w:rsidR="00535EA2" w:rsidRPr="00A56197">
      <w:rPr>
        <w:rFonts w:ascii="Times New Roman" w:hAnsi="Times New Roman"/>
        <w:color w:val="808080"/>
        <w:sz w:val="20"/>
        <w:szCs w:val="20"/>
      </w:rPr>
      <w:t>Biuro Rzecznika Praw Obywatelskich</w:t>
    </w:r>
  </w:p>
  <w:p w:rsidR="00824588" w:rsidRPr="00A56197" w:rsidRDefault="00535EA2" w:rsidP="00824588">
    <w:pPr>
      <w:pStyle w:val="Stopka"/>
      <w:tabs>
        <w:tab w:val="clear" w:pos="4536"/>
        <w:tab w:val="clear" w:pos="9072"/>
        <w:tab w:val="center" w:pos="4819"/>
      </w:tabs>
      <w:spacing w:line="240" w:lineRule="atLeast"/>
      <w:rPr>
        <w:rFonts w:ascii="Times New Roman" w:hAnsi="Times New Roman"/>
        <w:color w:val="808080"/>
        <w:sz w:val="20"/>
        <w:szCs w:val="20"/>
      </w:rPr>
    </w:pPr>
    <w:r w:rsidRPr="00A56197">
      <w:rPr>
        <w:rFonts w:ascii="Times New Roman" w:hAnsi="Times New Roman"/>
        <w:color w:val="808080"/>
        <w:sz w:val="20"/>
        <w:szCs w:val="20"/>
      </w:rPr>
      <w:t>Al. Solidarności 77</w:t>
    </w:r>
  </w:p>
  <w:p w:rsidR="00824588" w:rsidRPr="00A56197" w:rsidRDefault="00535EA2">
    <w:pPr>
      <w:pStyle w:val="Stopka"/>
    </w:pPr>
    <w:r w:rsidRPr="00A56197">
      <w:rPr>
        <w:rFonts w:ascii="Times New Roman" w:hAnsi="Times New Roman"/>
        <w:color w:val="808080"/>
        <w:sz w:val="20"/>
        <w:szCs w:val="20"/>
      </w:rPr>
      <w:t>00-090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D58" w:rsidRDefault="00CB4D58">
      <w:pPr>
        <w:spacing w:after="0" w:line="240" w:lineRule="auto"/>
      </w:pPr>
      <w:r>
        <w:separator/>
      </w:r>
    </w:p>
  </w:footnote>
  <w:footnote w:type="continuationSeparator" w:id="0">
    <w:p w:rsidR="00CB4D58" w:rsidRDefault="00CB4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BEC" w:rsidRDefault="00535EA2" w:rsidP="00F63BEC">
    <w:pPr>
      <w:pStyle w:val="Nagwek"/>
      <w:ind w:right="6944" w:firstLine="1701"/>
      <w:jc w:val="center"/>
    </w:pPr>
    <w:r>
      <w:object w:dxaOrig="829" w:dyaOrig="8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45pt;height:43.8pt" o:ole="" fillcolor="window">
          <v:imagedata r:id="rId1" o:title=""/>
        </v:shape>
        <o:OLEObject Type="Embed" ProgID="MSDraw" ShapeID="_x0000_i1025" DrawAspect="Content" ObjectID="_1489307247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267E"/>
    <w:rsid w:val="000C267E"/>
    <w:rsid w:val="002F3287"/>
    <w:rsid w:val="00495B7B"/>
    <w:rsid w:val="00535EA2"/>
    <w:rsid w:val="007F77D4"/>
    <w:rsid w:val="008941ED"/>
    <w:rsid w:val="009011C1"/>
    <w:rsid w:val="00B26908"/>
    <w:rsid w:val="00CB4D58"/>
    <w:rsid w:val="00D338A2"/>
    <w:rsid w:val="00ED3CFB"/>
    <w:rsid w:val="00F5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8AD"/>
  </w:style>
  <w:style w:type="paragraph" w:styleId="Stopka">
    <w:name w:val="footer"/>
    <w:basedOn w:val="Normalny"/>
    <w:link w:val="Stopka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8AD"/>
  </w:style>
  <w:style w:type="character" w:styleId="Hipercze">
    <w:name w:val="Hyperlink"/>
    <w:uiPriority w:val="99"/>
    <w:unhideWhenUsed/>
    <w:rsid w:val="008675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Krasnodębska</dc:creator>
  <cp:lastModifiedBy>Ntt</cp:lastModifiedBy>
  <cp:revision>9</cp:revision>
  <cp:lastPrinted>2013-11-18T12:02:00Z</cp:lastPrinted>
  <dcterms:created xsi:type="dcterms:W3CDTF">2014-01-13T15:20:00Z</dcterms:created>
  <dcterms:modified xsi:type="dcterms:W3CDTF">2015-03-31T09:41:00Z</dcterms:modified>
</cp:coreProperties>
</file>