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F6" w:rsidRPr="00EE75F6" w:rsidRDefault="00EE75F6" w:rsidP="00EE75F6">
      <w:pPr>
        <w:autoSpaceDE w:val="0"/>
        <w:autoSpaceDN w:val="0"/>
        <w:adjustRightInd w:val="0"/>
        <w:jc w:val="center"/>
        <w:rPr>
          <w:lang w:val="pl-PL"/>
        </w:rPr>
      </w:pPr>
      <w:r w:rsidRPr="00EE75F6">
        <w:rPr>
          <w:noProof/>
          <w:lang w:val="pl-PL" w:eastAsia="pl-PL"/>
        </w:rPr>
        <w:drawing>
          <wp:inline distT="0" distB="0" distL="0" distR="0" wp14:anchorId="2ED82DE7" wp14:editId="3665C9CA">
            <wp:extent cx="2962275" cy="1219200"/>
            <wp:effectExtent l="0" t="0" r="9525" b="0"/>
            <wp:docPr id="1" name="Obraz 1" descr="Opis: 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is: R:\1_Graphics&amp;Web\Court_Graphic_Charter\2013\ECHR_Stationery\Documents_and_Letters\Cover_Pages_And_Docs\White_600_dpi\ECHR_CoverpageCS61_ECHR_Coverpage_Header_Blac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r w:rsidRPr="00EE75F6">
        <w:rPr>
          <w:lang w:val="pl-PL"/>
        </w:rPr>
        <w:t>SEKCJA CZWARTA</w:t>
      </w: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b/>
          <w:bCs/>
          <w:lang w:val="pl-PL"/>
        </w:rPr>
      </w:pPr>
      <w:r w:rsidRPr="00EE75F6">
        <w:rPr>
          <w:b/>
          <w:bCs/>
          <w:lang w:val="pl-PL"/>
        </w:rPr>
        <w:t>SPRAWA GRABOWSKI przeciwko POLSCE</w:t>
      </w: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i/>
          <w:iCs/>
          <w:lang w:val="pl-PL"/>
        </w:rPr>
      </w:pPr>
      <w:r w:rsidRPr="00EE75F6">
        <w:rPr>
          <w:i/>
          <w:iCs/>
          <w:lang w:val="pl-PL"/>
        </w:rPr>
        <w:t>(Skarga nr 57722/12)</w:t>
      </w: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r w:rsidRPr="00EE75F6">
        <w:rPr>
          <w:lang w:val="pl-PL"/>
        </w:rPr>
        <w:t>WYROK</w:t>
      </w: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ind w:firstLine="284"/>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r w:rsidRPr="00EE75F6">
        <w:rPr>
          <w:lang w:val="pl-PL"/>
        </w:rPr>
        <w:t>STRASBURG</w:t>
      </w: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r w:rsidRPr="00EE75F6">
        <w:rPr>
          <w:lang w:val="pl-PL"/>
        </w:rPr>
        <w:t>30 czerwca 2015</w:t>
      </w: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jc w:val="center"/>
        <w:rPr>
          <w:lang w:val="pl-PL"/>
        </w:rPr>
      </w:pPr>
    </w:p>
    <w:p w:rsidR="00EE75F6" w:rsidRPr="00EE75F6" w:rsidRDefault="00EE75F6" w:rsidP="00EE75F6">
      <w:pPr>
        <w:autoSpaceDE w:val="0"/>
        <w:autoSpaceDN w:val="0"/>
        <w:adjustRightInd w:val="0"/>
        <w:rPr>
          <w:i/>
          <w:iCs/>
          <w:sz w:val="22"/>
          <w:lang w:val="pl-PL"/>
        </w:rPr>
      </w:pPr>
    </w:p>
    <w:p w:rsidR="00EE75F6" w:rsidRPr="00EE75F6" w:rsidRDefault="00EE75F6" w:rsidP="00EE75F6">
      <w:pPr>
        <w:autoSpaceDE w:val="0"/>
        <w:autoSpaceDN w:val="0"/>
        <w:adjustRightInd w:val="0"/>
        <w:rPr>
          <w:i/>
          <w:iCs/>
          <w:sz w:val="22"/>
          <w:lang w:val="pl-PL"/>
        </w:rPr>
      </w:pPr>
    </w:p>
    <w:p w:rsidR="00EE75F6" w:rsidRPr="00EE75F6" w:rsidRDefault="00EE75F6" w:rsidP="00EE75F6">
      <w:pPr>
        <w:autoSpaceDE w:val="0"/>
        <w:autoSpaceDN w:val="0"/>
        <w:adjustRightInd w:val="0"/>
        <w:rPr>
          <w:i/>
          <w:iCs/>
          <w:sz w:val="22"/>
          <w:lang w:val="pl-PL"/>
        </w:rPr>
      </w:pPr>
    </w:p>
    <w:p w:rsidR="00EE75F6" w:rsidRDefault="00EE75F6" w:rsidP="00EE75F6">
      <w:pPr>
        <w:autoSpaceDE w:val="0"/>
        <w:autoSpaceDN w:val="0"/>
        <w:adjustRightInd w:val="0"/>
        <w:rPr>
          <w:lang w:val="pl-PL"/>
        </w:rPr>
      </w:pPr>
      <w:r w:rsidRPr="00EE75F6">
        <w:rPr>
          <w:i/>
          <w:iCs/>
          <w:sz w:val="22"/>
          <w:lang w:val="pl-PL"/>
        </w:rPr>
        <w:t>Ten wyrok uprawomocni się na warunkach określonych w Artykule 44 pkt 2 Konwencji. Może podlegać korekcie wydawniczej.</w:t>
      </w:r>
    </w:p>
    <w:p w:rsidR="00EE75F6" w:rsidRDefault="00EE75F6" w:rsidP="00EE75F6">
      <w:pPr>
        <w:autoSpaceDE w:val="0"/>
        <w:autoSpaceDN w:val="0"/>
        <w:adjustRightInd w:val="0"/>
        <w:rPr>
          <w:lang w:val="pl-PL"/>
        </w:rPr>
      </w:pPr>
    </w:p>
    <w:p w:rsidR="00EE75F6" w:rsidRPr="00EE75F6" w:rsidRDefault="00EE75F6" w:rsidP="00EE75F6">
      <w:pPr>
        <w:autoSpaceDE w:val="0"/>
        <w:autoSpaceDN w:val="0"/>
        <w:adjustRightInd w:val="0"/>
        <w:ind w:firstLine="284"/>
        <w:rPr>
          <w:lang w:val="pl-PL"/>
        </w:rPr>
      </w:pPr>
      <w:r w:rsidRPr="00EE75F6">
        <w:rPr>
          <w:b/>
          <w:bCs/>
          <w:lang w:val="pl-PL"/>
        </w:rPr>
        <w:lastRenderedPageBreak/>
        <w:t>W sprawie Grabowski przeciwko Polsce,</w:t>
      </w:r>
    </w:p>
    <w:p w:rsidR="00EE75F6" w:rsidRPr="00EE75F6" w:rsidRDefault="00EE75F6" w:rsidP="00EE75F6">
      <w:pPr>
        <w:autoSpaceDE w:val="0"/>
        <w:autoSpaceDN w:val="0"/>
        <w:adjustRightInd w:val="0"/>
        <w:ind w:firstLine="284"/>
        <w:rPr>
          <w:lang w:val="pl-PL"/>
        </w:rPr>
      </w:pPr>
      <w:r w:rsidRPr="00EE75F6">
        <w:rPr>
          <w:lang w:val="pl-PL"/>
        </w:rPr>
        <w:t>Europejski Trybunał Praw Człowieka (Sekcja Czwarta), zasiadając jako Izba w składzie:</w:t>
      </w:r>
    </w:p>
    <w:p w:rsidR="00EE75F6" w:rsidRDefault="00EE75F6" w:rsidP="00EE75F6">
      <w:pPr>
        <w:tabs>
          <w:tab w:val="left" w:pos="567"/>
          <w:tab w:val="left" w:pos="1134"/>
        </w:tabs>
        <w:autoSpaceDE w:val="0"/>
        <w:autoSpaceDN w:val="0"/>
        <w:adjustRightInd w:val="0"/>
        <w:rPr>
          <w:lang w:val="pl-PL"/>
        </w:rPr>
      </w:pPr>
      <w:r>
        <w:rPr>
          <w:lang w:val="pl-PL"/>
        </w:rPr>
        <w:tab/>
        <w:t xml:space="preserve">Guido </w:t>
      </w:r>
      <w:proofErr w:type="spellStart"/>
      <w:r>
        <w:rPr>
          <w:lang w:val="pl-PL"/>
        </w:rPr>
        <w:t>Raimondi</w:t>
      </w:r>
      <w:proofErr w:type="spellEnd"/>
      <w:r>
        <w:rPr>
          <w:lang w:val="pl-PL"/>
        </w:rPr>
        <w:t xml:space="preserve">, </w:t>
      </w:r>
      <w:r w:rsidRPr="00EE75F6">
        <w:rPr>
          <w:i/>
          <w:lang w:val="pl-PL"/>
        </w:rPr>
        <w:t>Przewodniczący</w:t>
      </w:r>
    </w:p>
    <w:p w:rsidR="00EE75F6" w:rsidRDefault="00EE75F6" w:rsidP="00EE75F6">
      <w:pPr>
        <w:tabs>
          <w:tab w:val="left" w:pos="567"/>
          <w:tab w:val="left" w:pos="1134"/>
        </w:tabs>
        <w:autoSpaceDE w:val="0"/>
        <w:autoSpaceDN w:val="0"/>
        <w:adjustRightInd w:val="0"/>
        <w:rPr>
          <w:lang w:val="pl-PL"/>
        </w:rPr>
      </w:pPr>
      <w:r>
        <w:rPr>
          <w:lang w:val="pl-PL"/>
        </w:rPr>
        <w:tab/>
      </w:r>
      <w:proofErr w:type="spellStart"/>
      <w:r w:rsidRPr="00EE75F6">
        <w:rPr>
          <w:lang w:val="pl-PL"/>
        </w:rPr>
        <w:t>Päivi</w:t>
      </w:r>
      <w:proofErr w:type="spellEnd"/>
      <w:r w:rsidRPr="00EE75F6">
        <w:rPr>
          <w:lang w:val="pl-PL"/>
        </w:rPr>
        <w:t xml:space="preserve"> </w:t>
      </w:r>
      <w:proofErr w:type="spellStart"/>
      <w:r w:rsidRPr="00EE75F6">
        <w:rPr>
          <w:lang w:val="pl-PL"/>
        </w:rPr>
        <w:t>Hirvelä</w:t>
      </w:r>
      <w:proofErr w:type="spellEnd"/>
      <w:r>
        <w:rPr>
          <w:lang w:val="pl-PL"/>
        </w:rPr>
        <w:t>,</w:t>
      </w:r>
    </w:p>
    <w:p w:rsidR="00EE75F6" w:rsidRPr="00CA3BC3" w:rsidRDefault="00EE75F6" w:rsidP="00EE75F6">
      <w:pPr>
        <w:tabs>
          <w:tab w:val="left" w:pos="567"/>
          <w:tab w:val="left" w:pos="1134"/>
        </w:tabs>
        <w:autoSpaceDE w:val="0"/>
        <w:autoSpaceDN w:val="0"/>
        <w:adjustRightInd w:val="0"/>
        <w:rPr>
          <w:lang w:val="pl-PL"/>
        </w:rPr>
      </w:pPr>
      <w:r>
        <w:rPr>
          <w:lang w:val="pl-PL"/>
        </w:rPr>
        <w:tab/>
      </w:r>
      <w:r w:rsidRPr="00CA3BC3">
        <w:rPr>
          <w:lang w:val="pl-PL"/>
        </w:rPr>
        <w:t xml:space="preserve">George </w:t>
      </w:r>
      <w:proofErr w:type="spellStart"/>
      <w:r w:rsidRPr="00CA3BC3">
        <w:rPr>
          <w:lang w:val="pl-PL"/>
        </w:rPr>
        <w:t>Nicolaou</w:t>
      </w:r>
      <w:proofErr w:type="spellEnd"/>
      <w:r w:rsidRPr="00CA3BC3">
        <w:rPr>
          <w:lang w:val="pl-PL"/>
        </w:rPr>
        <w:t>,</w:t>
      </w:r>
    </w:p>
    <w:p w:rsidR="00EE75F6" w:rsidRPr="00EE75F6" w:rsidRDefault="00EE75F6" w:rsidP="00EE75F6">
      <w:pPr>
        <w:tabs>
          <w:tab w:val="left" w:pos="567"/>
          <w:tab w:val="left" w:pos="1134"/>
        </w:tabs>
        <w:autoSpaceDE w:val="0"/>
        <w:autoSpaceDN w:val="0"/>
        <w:adjustRightInd w:val="0"/>
        <w:rPr>
          <w:lang w:val="pl-PL"/>
        </w:rPr>
      </w:pPr>
      <w:r>
        <w:rPr>
          <w:lang w:val="pl-PL"/>
        </w:rPr>
        <w:tab/>
      </w:r>
      <w:r w:rsidRPr="00EE75F6">
        <w:rPr>
          <w:lang w:val="pl-PL"/>
        </w:rPr>
        <w:t xml:space="preserve">Nona </w:t>
      </w:r>
      <w:proofErr w:type="spellStart"/>
      <w:r w:rsidRPr="00EE75F6">
        <w:rPr>
          <w:lang w:val="pl-PL"/>
        </w:rPr>
        <w:t>Tsotsoria</w:t>
      </w:r>
      <w:proofErr w:type="spellEnd"/>
      <w:r w:rsidRPr="00EE75F6">
        <w:rPr>
          <w:lang w:val="pl-PL"/>
        </w:rPr>
        <w:t>,</w:t>
      </w:r>
    </w:p>
    <w:p w:rsidR="00EE75F6" w:rsidRDefault="00EE75F6" w:rsidP="00EE75F6">
      <w:pPr>
        <w:tabs>
          <w:tab w:val="left" w:pos="567"/>
          <w:tab w:val="left" w:pos="1134"/>
        </w:tabs>
        <w:autoSpaceDE w:val="0"/>
        <w:autoSpaceDN w:val="0"/>
        <w:adjustRightInd w:val="0"/>
        <w:rPr>
          <w:lang w:val="pl-PL"/>
        </w:rPr>
      </w:pPr>
      <w:r>
        <w:rPr>
          <w:lang w:val="pl-PL"/>
        </w:rPr>
        <w:tab/>
      </w:r>
      <w:r w:rsidRPr="00EE75F6">
        <w:rPr>
          <w:lang w:val="pl-PL"/>
        </w:rPr>
        <w:t xml:space="preserve">Krzysztof </w:t>
      </w:r>
      <w:proofErr w:type="spellStart"/>
      <w:r w:rsidRPr="00EE75F6">
        <w:rPr>
          <w:lang w:val="pl-PL"/>
        </w:rPr>
        <w:t>Wojtyczek</w:t>
      </w:r>
      <w:proofErr w:type="spellEnd"/>
      <w:r w:rsidRPr="00EE75F6">
        <w:rPr>
          <w:lang w:val="pl-PL"/>
        </w:rPr>
        <w:t>,</w:t>
      </w:r>
    </w:p>
    <w:p w:rsidR="00EE75F6" w:rsidRPr="00CA3BC3" w:rsidRDefault="00EE75F6" w:rsidP="00EE75F6">
      <w:pPr>
        <w:tabs>
          <w:tab w:val="left" w:pos="567"/>
          <w:tab w:val="left" w:pos="1134"/>
        </w:tabs>
        <w:autoSpaceDE w:val="0"/>
        <w:autoSpaceDN w:val="0"/>
        <w:adjustRightInd w:val="0"/>
        <w:rPr>
          <w:lang w:val="pl-PL"/>
        </w:rPr>
      </w:pPr>
      <w:r w:rsidRPr="00CA3BC3">
        <w:rPr>
          <w:lang w:val="pl-PL"/>
        </w:rPr>
        <w:tab/>
      </w:r>
      <w:proofErr w:type="spellStart"/>
      <w:r w:rsidRPr="00CA3BC3">
        <w:rPr>
          <w:lang w:val="pl-PL"/>
        </w:rPr>
        <w:t>Faris</w:t>
      </w:r>
      <w:proofErr w:type="spellEnd"/>
      <w:r w:rsidRPr="00CA3BC3">
        <w:rPr>
          <w:lang w:val="pl-PL"/>
        </w:rPr>
        <w:t xml:space="preserve"> </w:t>
      </w:r>
      <w:proofErr w:type="spellStart"/>
      <w:r w:rsidRPr="00CA3BC3">
        <w:rPr>
          <w:lang w:val="pl-PL"/>
        </w:rPr>
        <w:t>Vehabović</w:t>
      </w:r>
      <w:proofErr w:type="spellEnd"/>
      <w:r w:rsidRPr="00CA3BC3">
        <w:rPr>
          <w:lang w:val="pl-PL"/>
        </w:rPr>
        <w:t>,</w:t>
      </w:r>
    </w:p>
    <w:p w:rsidR="00EE75F6" w:rsidRDefault="00EE75F6" w:rsidP="00EE75F6">
      <w:pPr>
        <w:tabs>
          <w:tab w:val="left" w:pos="567"/>
          <w:tab w:val="left" w:pos="1134"/>
        </w:tabs>
        <w:autoSpaceDE w:val="0"/>
        <w:autoSpaceDN w:val="0"/>
        <w:adjustRightInd w:val="0"/>
        <w:ind w:left="284"/>
        <w:rPr>
          <w:i/>
          <w:iCs/>
          <w:lang w:val="pl-PL"/>
        </w:rPr>
      </w:pPr>
      <w:r>
        <w:rPr>
          <w:lang w:val="pl-PL"/>
        </w:rPr>
        <w:tab/>
      </w:r>
      <w:proofErr w:type="spellStart"/>
      <w:r w:rsidRPr="00EE75F6">
        <w:rPr>
          <w:lang w:val="pl-PL"/>
        </w:rPr>
        <w:t>Yonko</w:t>
      </w:r>
      <w:proofErr w:type="spellEnd"/>
      <w:r w:rsidRPr="00EE75F6">
        <w:rPr>
          <w:lang w:val="pl-PL"/>
        </w:rPr>
        <w:t xml:space="preserve"> </w:t>
      </w:r>
      <w:proofErr w:type="spellStart"/>
      <w:r w:rsidRPr="00EE75F6">
        <w:rPr>
          <w:lang w:val="pl-PL"/>
        </w:rPr>
        <w:t>Grozev</w:t>
      </w:r>
      <w:proofErr w:type="spellEnd"/>
      <w:r w:rsidRPr="00EE75F6">
        <w:rPr>
          <w:lang w:val="pl-PL"/>
        </w:rPr>
        <w:t>,</w:t>
      </w:r>
      <w:r w:rsidRPr="00EE75F6">
        <w:rPr>
          <w:i/>
          <w:iCs/>
          <w:lang w:val="pl-PL"/>
        </w:rPr>
        <w:t xml:space="preserve"> sędziowie</w:t>
      </w:r>
      <w:r>
        <w:rPr>
          <w:lang w:val="pl-PL"/>
        </w:rPr>
        <w:t xml:space="preserve"> </w:t>
      </w:r>
      <w:r w:rsidRPr="00EE75F6">
        <w:rPr>
          <w:lang w:val="pl-PL"/>
        </w:rPr>
        <w:tab/>
      </w:r>
    </w:p>
    <w:p w:rsidR="00EE75F6" w:rsidRPr="00EE75F6" w:rsidRDefault="00EE75F6" w:rsidP="00EE75F6">
      <w:pPr>
        <w:tabs>
          <w:tab w:val="left" w:pos="567"/>
          <w:tab w:val="left" w:pos="1134"/>
        </w:tabs>
        <w:autoSpaceDE w:val="0"/>
        <w:autoSpaceDN w:val="0"/>
        <w:adjustRightInd w:val="0"/>
        <w:rPr>
          <w:lang w:val="pl-PL"/>
        </w:rPr>
      </w:pPr>
      <w:r w:rsidRPr="00EE75F6">
        <w:rPr>
          <w:lang w:val="pl-PL"/>
        </w:rPr>
        <w:t xml:space="preserve">oraz </w:t>
      </w:r>
      <w:proofErr w:type="spellStart"/>
      <w:r w:rsidRPr="00EE75F6">
        <w:rPr>
          <w:lang w:val="pl-PL"/>
        </w:rPr>
        <w:t>Françoise</w:t>
      </w:r>
      <w:proofErr w:type="spellEnd"/>
      <w:r w:rsidRPr="00EE75F6">
        <w:rPr>
          <w:lang w:val="pl-PL"/>
        </w:rPr>
        <w:t xml:space="preserve"> </w:t>
      </w:r>
      <w:proofErr w:type="spellStart"/>
      <w:r w:rsidRPr="00EE75F6">
        <w:rPr>
          <w:lang w:val="pl-PL"/>
        </w:rPr>
        <w:t>Elens</w:t>
      </w:r>
      <w:proofErr w:type="spellEnd"/>
      <w:r w:rsidRPr="00EE75F6">
        <w:rPr>
          <w:lang w:val="pl-PL"/>
        </w:rPr>
        <w:t>-Passos,</w:t>
      </w:r>
      <w:r w:rsidRPr="00EE75F6">
        <w:rPr>
          <w:i/>
          <w:iCs/>
          <w:lang w:val="pl-PL"/>
        </w:rPr>
        <w:t xml:space="preserve"> Kanclerz Sekcji,</w:t>
      </w:r>
    </w:p>
    <w:p w:rsidR="00EE75F6" w:rsidRPr="00EE75F6" w:rsidRDefault="00EE75F6" w:rsidP="00EE75F6">
      <w:pPr>
        <w:autoSpaceDE w:val="0"/>
        <w:autoSpaceDN w:val="0"/>
        <w:adjustRightInd w:val="0"/>
        <w:ind w:firstLine="284"/>
        <w:rPr>
          <w:lang w:val="pl-PL"/>
        </w:rPr>
      </w:pPr>
      <w:r w:rsidRPr="00EE75F6">
        <w:rPr>
          <w:lang w:val="pl-PL"/>
        </w:rPr>
        <w:t>Obradując na posiedzeniu niejawnym w dniu 9 czerwca 2015 roku,</w:t>
      </w:r>
    </w:p>
    <w:p w:rsidR="00EE75F6" w:rsidRPr="00EE75F6" w:rsidRDefault="00EE75F6" w:rsidP="00EE75F6">
      <w:pPr>
        <w:autoSpaceDE w:val="0"/>
        <w:autoSpaceDN w:val="0"/>
        <w:adjustRightInd w:val="0"/>
        <w:spacing w:before="240"/>
        <w:ind w:firstLine="284"/>
        <w:rPr>
          <w:lang w:val="pl-PL"/>
        </w:rPr>
      </w:pPr>
      <w:r w:rsidRPr="00EE75F6">
        <w:rPr>
          <w:lang w:val="pl-PL"/>
        </w:rPr>
        <w:t>Wydaje następujący wyrok, który został przyjęty w tym dniu:</w:t>
      </w:r>
    </w:p>
    <w:p w:rsidR="00EE75F6" w:rsidRPr="00EE75F6" w:rsidRDefault="00EE75F6" w:rsidP="00EE75F6">
      <w:pPr>
        <w:spacing w:before="240"/>
        <w:rPr>
          <w:lang w:val="pl-PL"/>
        </w:rPr>
      </w:pPr>
    </w:p>
    <w:p w:rsidR="00EE75F6" w:rsidRPr="00EE75F6" w:rsidRDefault="00EE75F6" w:rsidP="00EE75F6">
      <w:pPr>
        <w:tabs>
          <w:tab w:val="left" w:pos="567"/>
          <w:tab w:val="left" w:pos="1134"/>
        </w:tabs>
        <w:autoSpaceDE w:val="0"/>
        <w:autoSpaceDN w:val="0"/>
        <w:adjustRightInd w:val="0"/>
        <w:spacing w:before="240"/>
        <w:rPr>
          <w:sz w:val="28"/>
          <w:szCs w:val="28"/>
          <w:lang w:val="pl-PL"/>
        </w:rPr>
      </w:pPr>
      <w:r w:rsidRPr="00EE75F6">
        <w:rPr>
          <w:sz w:val="28"/>
          <w:szCs w:val="28"/>
          <w:lang w:val="pl-PL"/>
        </w:rPr>
        <w:t xml:space="preserve">POSTĘPOWANIE </w:t>
      </w:r>
    </w:p>
    <w:p w:rsidR="00EE75F6" w:rsidRPr="00EE75F6" w:rsidRDefault="00EE75F6" w:rsidP="00EE75F6">
      <w:pPr>
        <w:tabs>
          <w:tab w:val="left" w:pos="567"/>
          <w:tab w:val="left" w:pos="1134"/>
        </w:tabs>
        <w:autoSpaceDE w:val="0"/>
        <w:autoSpaceDN w:val="0"/>
        <w:adjustRightInd w:val="0"/>
        <w:rPr>
          <w:sz w:val="28"/>
          <w:szCs w:val="28"/>
          <w:lang w:val="pl-PL"/>
        </w:rPr>
      </w:pPr>
    </w:p>
    <w:p w:rsidR="00EE75F6" w:rsidRPr="00EE75F6" w:rsidRDefault="00EE75F6" w:rsidP="00EE75F6">
      <w:pPr>
        <w:tabs>
          <w:tab w:val="left" w:pos="567"/>
          <w:tab w:val="left" w:pos="1134"/>
        </w:tabs>
        <w:autoSpaceDE w:val="0"/>
        <w:autoSpaceDN w:val="0"/>
        <w:adjustRightInd w:val="0"/>
        <w:ind w:firstLine="284"/>
        <w:rPr>
          <w:lang w:val="pl-PL"/>
        </w:rPr>
      </w:pPr>
      <w:r w:rsidRPr="00EE75F6">
        <w:rPr>
          <w:lang w:val="pl-PL"/>
        </w:rPr>
        <w:t xml:space="preserve">1.  Sprawa wywodzi się ze skargi (nr 57722/12) przeciwko Rzeczypospolitej Polskiej, wniesionej na podstawie art. 34 Konwencji o ochronie praw człowieka i podstawowych wolności („Konwencja”) przez obywatela Polski, Pana Maksymiliana Grabowskiego („skarżący”) w dniu 31 sierpnia 2012 r. </w:t>
      </w:r>
    </w:p>
    <w:p w:rsidR="00EE75F6" w:rsidRPr="00EE75F6" w:rsidRDefault="00EE75F6" w:rsidP="00EE75F6">
      <w:pPr>
        <w:autoSpaceDE w:val="0"/>
        <w:autoSpaceDN w:val="0"/>
        <w:adjustRightInd w:val="0"/>
        <w:ind w:firstLine="284"/>
        <w:rPr>
          <w:lang w:val="pl-PL"/>
        </w:rPr>
      </w:pPr>
      <w:r w:rsidRPr="00EE75F6">
        <w:rPr>
          <w:lang w:val="pl-PL"/>
        </w:rPr>
        <w:t>2. Skarżący reprezentowany był przez Pana M. Burdę, prawnika z praktyką w Krakowie. Rząd polski („Rząd”) reprezentowany był przez pełnomocnika, Panią J. Chrzanowską, z Ministerstwa Spraw Zagranicznych.</w:t>
      </w:r>
    </w:p>
    <w:p w:rsidR="00EE75F6" w:rsidRPr="00EE75F6" w:rsidRDefault="00EE75F6" w:rsidP="00EE75F6">
      <w:pPr>
        <w:autoSpaceDE w:val="0"/>
        <w:autoSpaceDN w:val="0"/>
        <w:adjustRightInd w:val="0"/>
        <w:ind w:firstLine="284"/>
        <w:rPr>
          <w:lang w:val="pl-PL"/>
        </w:rPr>
      </w:pPr>
      <w:r w:rsidRPr="00EE75F6">
        <w:rPr>
          <w:lang w:val="pl-PL"/>
        </w:rPr>
        <w:t xml:space="preserve">3. Skarżący zarzucił, na podstawie art. 5 ust. 1 Konwencji, że jego przedłużające się pozbawienie wolności  w schronisku dla nieletnich było niezgodne z prawem oraz, że nie mógł skorzystać ze środków odwoławczych umożliwiających ustalenie legalności pozbawienia wolności. </w:t>
      </w:r>
    </w:p>
    <w:p w:rsidR="00EE75F6" w:rsidRPr="00EE75F6" w:rsidRDefault="00EE75F6" w:rsidP="00EE75F6">
      <w:pPr>
        <w:autoSpaceDE w:val="0"/>
        <w:autoSpaceDN w:val="0"/>
        <w:adjustRightInd w:val="0"/>
        <w:ind w:firstLine="284"/>
        <w:rPr>
          <w:lang w:val="pl-PL"/>
        </w:rPr>
      </w:pPr>
      <w:r w:rsidRPr="00EE75F6">
        <w:rPr>
          <w:lang w:val="pl-PL"/>
        </w:rPr>
        <w:t xml:space="preserve">4. W dniu 30 stycznia 2013 r. skarga została zakomunikowana Rządowi. </w:t>
      </w:r>
    </w:p>
    <w:p w:rsidR="00EE75F6" w:rsidRPr="00EE75F6" w:rsidRDefault="00EE75F6" w:rsidP="00EE75F6">
      <w:pPr>
        <w:autoSpaceDE w:val="0"/>
        <w:autoSpaceDN w:val="0"/>
        <w:adjustRightInd w:val="0"/>
        <w:ind w:firstLine="284"/>
        <w:rPr>
          <w:lang w:val="pl-PL"/>
        </w:rPr>
      </w:pPr>
      <w:r w:rsidRPr="00EE75F6">
        <w:rPr>
          <w:lang w:val="pl-PL"/>
        </w:rPr>
        <w:t xml:space="preserve">5. Pisemne stanowisko w sprawie zostało wniesione przez Helsińską Fundację Ochrony Praw Człowieka z siedzibą w Warszawie. Przewodniczący zezwolił Fundacji na działanie w charakterze strony trzeciej (art. 36 pkt ust. 2 Konwencji oraz Reguła 44 pkt 2 Regulaminu Trybunału). </w:t>
      </w:r>
    </w:p>
    <w:p w:rsidR="00EE75F6" w:rsidRPr="00EE75F6" w:rsidRDefault="00EE75F6" w:rsidP="00EE75F6">
      <w:pPr>
        <w:autoSpaceDE w:val="0"/>
        <w:autoSpaceDN w:val="0"/>
        <w:adjustRightInd w:val="0"/>
        <w:ind w:firstLine="284"/>
        <w:rPr>
          <w:lang w:val="pl-PL"/>
        </w:rPr>
      </w:pPr>
      <w:r w:rsidRPr="00EE75F6">
        <w:rPr>
          <w:lang w:val="pl-PL"/>
        </w:rPr>
        <w:t xml:space="preserve">6. W skierowanym do Trybunału liście z dnia 18 września 2013 r., Rząd wniósł o skreślenie skargi z listy spraw na podstawie art. 37 Konwencji oraz załączył tekst jednostronnej deklaracji mającej na celu rozwiązanie kwestii podniesionych przez skarżącego. Skarżący odrzucił propozycję Rządu w swoim stanowisku z dnia 27 listopada 2013 r. W dniu 1 kwietnia 2014 r. Trybunał postanowił odrzucić wniosek Rządu o skreślenie skargi z listy </w:t>
      </w:r>
      <w:r w:rsidRPr="00EE75F6">
        <w:rPr>
          <w:lang w:val="pl-PL"/>
        </w:rPr>
        <w:lastRenderedPageBreak/>
        <w:t xml:space="preserve">spraw, z załączoną jednostronną deklaracją Rządu, oraz rozpoznać skargę co do meritum. </w:t>
      </w:r>
    </w:p>
    <w:p w:rsidR="00EE75F6" w:rsidRPr="00EE75F6" w:rsidRDefault="00EE75F6" w:rsidP="00EE75F6">
      <w:pPr>
        <w:keepNext/>
        <w:keepLines/>
        <w:tabs>
          <w:tab w:val="left" w:pos="426"/>
        </w:tabs>
        <w:autoSpaceDE w:val="0"/>
        <w:autoSpaceDN w:val="0"/>
        <w:adjustRightInd w:val="0"/>
        <w:spacing w:before="720" w:after="240"/>
        <w:rPr>
          <w:sz w:val="28"/>
          <w:szCs w:val="28"/>
          <w:lang w:val="pl-PL"/>
        </w:rPr>
      </w:pPr>
      <w:r w:rsidRPr="00EE75F6">
        <w:rPr>
          <w:sz w:val="28"/>
          <w:szCs w:val="28"/>
          <w:lang w:val="pl-PL"/>
        </w:rPr>
        <w:t>STAN FAKTYCZNY</w:t>
      </w:r>
    </w:p>
    <w:p w:rsidR="00EE75F6" w:rsidRPr="00EE75F6" w:rsidRDefault="00EE75F6" w:rsidP="00EE75F6">
      <w:pPr>
        <w:keepNext/>
        <w:keepLines/>
        <w:tabs>
          <w:tab w:val="left" w:pos="357"/>
          <w:tab w:val="left" w:pos="426"/>
        </w:tabs>
        <w:autoSpaceDE w:val="0"/>
        <w:autoSpaceDN w:val="0"/>
        <w:adjustRightInd w:val="0"/>
        <w:spacing w:before="360" w:after="240"/>
        <w:ind w:left="357" w:hanging="357"/>
        <w:rPr>
          <w:lang w:val="pl-PL"/>
        </w:rPr>
      </w:pPr>
      <w:r w:rsidRPr="00EE75F6">
        <w:rPr>
          <w:lang w:val="pl-PL"/>
        </w:rPr>
        <w:t>I.  OKOLICZNOŚCI SPRAWY</w:t>
      </w:r>
    </w:p>
    <w:p w:rsidR="00EE75F6" w:rsidRPr="00EE75F6" w:rsidRDefault="00EE75F6" w:rsidP="00EE75F6">
      <w:pPr>
        <w:ind w:firstLine="284"/>
        <w:rPr>
          <w:lang w:val="pl-PL"/>
        </w:rPr>
      </w:pPr>
      <w:r w:rsidRPr="00EE75F6">
        <w:rPr>
          <w:lang w:val="pl-PL"/>
        </w:rPr>
        <w:t xml:space="preserve">7. Skarżący urodził się w 1995 r. i mieszka w Krakowie. </w:t>
      </w:r>
    </w:p>
    <w:p w:rsidR="00EE75F6" w:rsidRPr="00EE75F6" w:rsidRDefault="00EE75F6" w:rsidP="00EE75F6">
      <w:pPr>
        <w:ind w:firstLine="284"/>
        <w:rPr>
          <w:lang w:val="pl-PL"/>
        </w:rPr>
      </w:pPr>
      <w:r w:rsidRPr="00EE75F6">
        <w:rPr>
          <w:lang w:val="pl-PL"/>
        </w:rPr>
        <w:t xml:space="preserve">8. W dniu 7 maja 2012 r. skarżący został aresztowany na podstawie podejrzenia popełnienia trzech przestępstw rozboju oraz usiłowania popełnienia innego przestępstwa rozboju z użyciem maczety w dniu 4 maja 2012 r. Skarżący początkowo został umieszczony w policyjnej izbie dziecka w Krakowie. </w:t>
      </w:r>
    </w:p>
    <w:p w:rsidR="00EE75F6" w:rsidRPr="00EE75F6" w:rsidRDefault="00EE75F6" w:rsidP="00EE75F6">
      <w:pPr>
        <w:ind w:firstLine="284"/>
        <w:rPr>
          <w:lang w:val="pl-PL"/>
        </w:rPr>
      </w:pPr>
      <w:r w:rsidRPr="00EE75F6">
        <w:rPr>
          <w:lang w:val="pl-PL"/>
        </w:rPr>
        <w:t xml:space="preserve">9. W dniu 7 maja 2012 r. Sąd Rejonowy dla Krakowa - </w:t>
      </w:r>
      <w:proofErr w:type="spellStart"/>
      <w:r w:rsidRPr="00EE75F6">
        <w:rPr>
          <w:lang w:val="pl-PL"/>
        </w:rPr>
        <w:t>Krowodrza</w:t>
      </w:r>
      <w:proofErr w:type="spellEnd"/>
      <w:r w:rsidRPr="00EE75F6">
        <w:rPr>
          <w:lang w:val="pl-PL"/>
        </w:rPr>
        <w:t xml:space="preserve"> (Wydział Rodzinny i Nieletnich) wszczął postępowanie wyjaśniające w celu ustalenia, czy skarżący popełnił zarzucane przestępstwa. </w:t>
      </w:r>
    </w:p>
    <w:p w:rsidR="00EE75F6" w:rsidRPr="00EE75F6" w:rsidRDefault="00EE75F6" w:rsidP="00EE75F6">
      <w:pPr>
        <w:ind w:firstLine="284"/>
        <w:rPr>
          <w:lang w:val="pl-PL"/>
        </w:rPr>
      </w:pPr>
      <w:r w:rsidRPr="00EE75F6">
        <w:rPr>
          <w:lang w:val="pl-PL"/>
        </w:rPr>
        <w:t xml:space="preserve">10. W tym samym dniu Sąd Rejonowy dla Krakowa - </w:t>
      </w:r>
      <w:proofErr w:type="spellStart"/>
      <w:r w:rsidRPr="00EE75F6">
        <w:rPr>
          <w:lang w:val="pl-PL"/>
        </w:rPr>
        <w:t>Krowodrza</w:t>
      </w:r>
      <w:proofErr w:type="spellEnd"/>
      <w:r w:rsidRPr="00EE75F6">
        <w:rPr>
          <w:lang w:val="pl-PL"/>
        </w:rPr>
        <w:t xml:space="preserve"> postanowił o umieszczeniu skarżącego w schronisku dla nieletnich na okres trzech miesięcy. Sąd uznał, że w świetle ujawnionych dowodów istnieje uzasadnione podejrzenie, iż skarżący popełnił trzy przestępstwa rozboju, usiłował popełnić kolejne przestępstwo rozboju, a nadto popełnił inne przestępstwa. Sąd zwrócił również uwagę, że skarżący jest osobą zdemoralizowaną, zaś charakter przestępstw, o które został oskarżony, przemawia za umieszczeniem go w zakładzie poprawczym. Sąd uznał nadto, że zachodzi obawa ukrycia się skarżącego oraz wywierania przez niego presji na świadków. </w:t>
      </w:r>
    </w:p>
    <w:p w:rsidR="00EE75F6" w:rsidRPr="00EE75F6" w:rsidRDefault="00EE75F6" w:rsidP="00EE75F6">
      <w:pPr>
        <w:ind w:firstLine="284"/>
        <w:rPr>
          <w:lang w:val="pl-PL"/>
        </w:rPr>
      </w:pPr>
      <w:r w:rsidRPr="00EE75F6">
        <w:rPr>
          <w:lang w:val="pl-PL"/>
        </w:rPr>
        <w:t>11. Skarżący wniósł zażalenie na postanowienie sądu. Zar</w:t>
      </w:r>
      <w:r w:rsidR="00EE2530">
        <w:rPr>
          <w:lang w:val="pl-PL"/>
        </w:rPr>
        <w:t>zucił on m.in., że nie istniała</w:t>
      </w:r>
      <w:r w:rsidRPr="00EE75F6">
        <w:rPr>
          <w:lang w:val="pl-PL"/>
        </w:rPr>
        <w:t xml:space="preserve"> obawa jego ucieczki ani wpływania przez niego na świadków. Ponadto sprzeciwił się umieszczeniu go w schronisku dla nieletnich, wskazując, że w przeszłości cierpiał na chorobę psychiczną oraz uczył się w szkole specjalnej. </w:t>
      </w:r>
    </w:p>
    <w:p w:rsidR="00EE75F6" w:rsidRPr="00EE75F6" w:rsidRDefault="00EE75F6" w:rsidP="00EE75F6">
      <w:pPr>
        <w:ind w:firstLine="284"/>
        <w:rPr>
          <w:lang w:val="pl-PL"/>
        </w:rPr>
      </w:pPr>
      <w:r w:rsidRPr="00EE75F6">
        <w:rPr>
          <w:lang w:val="pl-PL"/>
        </w:rPr>
        <w:t xml:space="preserve">12. W dniu 10 lipca 2012 r. Sąd Okręgowy w Krakowie </w:t>
      </w:r>
      <w:r w:rsidR="00FC3A26">
        <w:rPr>
          <w:lang w:val="pl-PL"/>
        </w:rPr>
        <w:t>utrzymał w mocy postanowienie</w:t>
      </w:r>
      <w:r w:rsidRPr="00EE75F6">
        <w:rPr>
          <w:lang w:val="pl-PL"/>
        </w:rPr>
        <w:t xml:space="preserve"> sądu niższej instancji. Sąd miał na uwadze powagę przestępstw, których popełnienie zarzucono skarżącemu, a także fakt, że nie można ich traktować jako odosobniony incydent. Sąd zwrócił również uwagę, że w przeszłości sąd rodzinny udzielił skarżącemu upomnienia, a także zastosował wobec niego dozór kuratora. W świetle tych okoliczności uznano za </w:t>
      </w:r>
      <w:r w:rsidR="00FC3A26">
        <w:rPr>
          <w:lang w:val="pl-PL"/>
        </w:rPr>
        <w:t>prawdopodobne</w:t>
      </w:r>
      <w:r w:rsidRPr="00EE75F6">
        <w:rPr>
          <w:lang w:val="pl-PL"/>
        </w:rPr>
        <w:t xml:space="preserve">, że skarżący </w:t>
      </w:r>
      <w:r w:rsidR="00FC3A26">
        <w:rPr>
          <w:lang w:val="pl-PL"/>
        </w:rPr>
        <w:t>zostanie</w:t>
      </w:r>
      <w:r w:rsidRPr="00EE75F6">
        <w:rPr>
          <w:lang w:val="pl-PL"/>
        </w:rPr>
        <w:t xml:space="preserve"> umieszczony w zakładzie poprawczym. Umieszczenie skarżącego w schronisku dla nieletnich było nadto uzasadnione faktem, że groził on jednej z ofiar rozboju. Odpowiadając na argumenty dotyczące zdrowia psychicznego skarżącego sąd zwrócił uwagę, że - pomijając odosobnienie skarżącego -  umieszczenie </w:t>
      </w:r>
      <w:r w:rsidRPr="00EE75F6">
        <w:rPr>
          <w:lang w:val="pl-PL"/>
        </w:rPr>
        <w:lastRenderedPageBreak/>
        <w:t>go pod pieczą wychowawczą nie może zostać uznane za wpływające negatywnie na  jego samopoczucie.</w:t>
      </w:r>
    </w:p>
    <w:p w:rsidR="00EE75F6" w:rsidRPr="00EE75F6" w:rsidRDefault="00EE75F6" w:rsidP="00EE75F6">
      <w:pPr>
        <w:ind w:firstLine="284"/>
        <w:rPr>
          <w:lang w:val="pl-PL"/>
        </w:rPr>
      </w:pPr>
      <w:r w:rsidRPr="00EE75F6">
        <w:rPr>
          <w:lang w:val="pl-PL"/>
        </w:rPr>
        <w:t xml:space="preserve">13. W dniu 27 lipca 2012 r. Sąd Rejonowy dla Krakowa - </w:t>
      </w:r>
      <w:proofErr w:type="spellStart"/>
      <w:r w:rsidRPr="00EE75F6">
        <w:rPr>
          <w:lang w:val="pl-PL"/>
        </w:rPr>
        <w:t>Krowodrza</w:t>
      </w:r>
      <w:proofErr w:type="spellEnd"/>
      <w:r w:rsidRPr="00EE75F6">
        <w:rPr>
          <w:lang w:val="pl-PL"/>
        </w:rPr>
        <w:t xml:space="preserve"> </w:t>
      </w:r>
      <w:r w:rsidR="008501C9">
        <w:rPr>
          <w:lang w:val="pl-PL"/>
        </w:rPr>
        <w:t xml:space="preserve">postanowił o </w:t>
      </w:r>
      <w:r w:rsidRPr="00EE75F6">
        <w:rPr>
          <w:lang w:val="pl-PL"/>
        </w:rPr>
        <w:t xml:space="preserve">rozpoznaniu sprawy skarżącego w postępowaniu poprawczym. </w:t>
      </w:r>
    </w:p>
    <w:p w:rsidR="00EE75F6" w:rsidRPr="00EE75F6" w:rsidRDefault="00EE75F6" w:rsidP="00EE75F6">
      <w:pPr>
        <w:ind w:firstLine="284"/>
        <w:rPr>
          <w:lang w:val="pl-PL"/>
        </w:rPr>
      </w:pPr>
      <w:r w:rsidRPr="00EE75F6">
        <w:rPr>
          <w:lang w:val="pl-PL"/>
        </w:rPr>
        <w:t xml:space="preserve">14. W dniu 9 sierpnia 2012 r. obrońca skarżącego wniósł do Sądu Rejonowego dla Karkowa - </w:t>
      </w:r>
      <w:proofErr w:type="spellStart"/>
      <w:r w:rsidRPr="00EE75F6">
        <w:rPr>
          <w:lang w:val="pl-PL"/>
        </w:rPr>
        <w:t>Krowodrza</w:t>
      </w:r>
      <w:proofErr w:type="spellEnd"/>
      <w:r w:rsidRPr="00EE75F6">
        <w:rPr>
          <w:lang w:val="pl-PL"/>
        </w:rPr>
        <w:t xml:space="preserve"> o zarządzenie natychmiastowego zwolnienia skarżącego. Wskazał on, że okres trzech miesięcy, na który orzeczono ten środek, upłynął w dniu 7 sierpnia 2012 r., oraz, że nie wydano postanowienia o przedłużeniu jego stosowania. Zarzucił on, że zgodnie z art. 27 § 4 i 5 ustawy o postępowaniu w sprawach nieletnich, postanowienie o przedłużeniu pobytu nieletniego w schronisku dla nieletnich może zostać wydane wyłącznie przez sąd po uprzednim zawiadomieniu stron i obrońcy nieletniego o terminie posiedzenia, na którym ma zapaść rozstrzygnięcie w tym przedmiocie. W sekretariacie sądu obrońca skarżącego otrzymał informację, że w praktyce takie postanowienia nie są wydawane, oraz, że wystarczające jest wydanie przez sąd postanowienia o rozpoznaniu sprawy w postępowaniu poprawczym. Obrońca skarżącego wyraził sprzeciw wobec takiej praktyki, uznając ją za niezgodną z prawem. </w:t>
      </w:r>
    </w:p>
    <w:p w:rsidR="00EE75F6" w:rsidRPr="00EE75F6" w:rsidRDefault="00EE75F6" w:rsidP="00EE75F6">
      <w:pPr>
        <w:ind w:firstLine="284"/>
        <w:rPr>
          <w:lang w:val="pl-PL"/>
        </w:rPr>
      </w:pPr>
      <w:r w:rsidRPr="00EE75F6">
        <w:rPr>
          <w:lang w:val="pl-PL"/>
        </w:rPr>
        <w:t xml:space="preserve">15. W dniu 9 sierpnia 2012 r. Sąd Rejonowy dla Krakowa - </w:t>
      </w:r>
      <w:proofErr w:type="spellStart"/>
      <w:r w:rsidRPr="00EE75F6">
        <w:rPr>
          <w:lang w:val="pl-PL"/>
        </w:rPr>
        <w:t>Krowodrza</w:t>
      </w:r>
      <w:proofErr w:type="spellEnd"/>
      <w:r w:rsidRPr="00EE75F6">
        <w:rPr>
          <w:lang w:val="pl-PL"/>
        </w:rPr>
        <w:t xml:space="preserve"> oddalił wniosek skarżącego o zwolnienie ze schroniska dla nieletnich, wskazując następujące powody: </w:t>
      </w:r>
    </w:p>
    <w:p w:rsidR="00EE75F6" w:rsidRPr="00EE75F6" w:rsidRDefault="00EE75F6" w:rsidP="00EE75F6">
      <w:pPr>
        <w:ind w:firstLine="180"/>
        <w:rPr>
          <w:lang w:val="pl-PL"/>
        </w:rPr>
      </w:pPr>
    </w:p>
    <w:p w:rsidR="00EE75F6" w:rsidRPr="00EE75F6" w:rsidRDefault="00EE75F6" w:rsidP="00EE75F6">
      <w:pPr>
        <w:tabs>
          <w:tab w:val="left" w:pos="360"/>
        </w:tabs>
        <w:ind w:left="540" w:firstLine="180"/>
        <w:rPr>
          <w:sz w:val="20"/>
          <w:szCs w:val="20"/>
          <w:lang w:val="pl-PL"/>
        </w:rPr>
      </w:pPr>
      <w:r w:rsidRPr="00EE75F6">
        <w:rPr>
          <w:sz w:val="20"/>
          <w:szCs w:val="20"/>
          <w:lang w:val="pl-PL"/>
        </w:rPr>
        <w:t xml:space="preserve">”Nieletni Maksymilian Grabowski jest oskarżony o popełnienie czynów zabronionych z użyciem niebezpiecznego narzędzia. </w:t>
      </w:r>
    </w:p>
    <w:p w:rsidR="00EE75F6" w:rsidRPr="00EE75F6" w:rsidRDefault="00EE75F6" w:rsidP="00EE75F6">
      <w:pPr>
        <w:ind w:firstLine="720"/>
        <w:rPr>
          <w:sz w:val="20"/>
          <w:szCs w:val="20"/>
          <w:lang w:val="pl-PL"/>
        </w:rPr>
      </w:pPr>
    </w:p>
    <w:p w:rsidR="00EE75F6" w:rsidRPr="00EE75F6" w:rsidRDefault="00EE75F6" w:rsidP="00EE75F6">
      <w:pPr>
        <w:ind w:left="540" w:firstLine="180"/>
        <w:rPr>
          <w:sz w:val="20"/>
          <w:szCs w:val="20"/>
          <w:lang w:val="pl-PL"/>
        </w:rPr>
      </w:pPr>
      <w:r w:rsidRPr="00EE75F6">
        <w:rPr>
          <w:sz w:val="20"/>
          <w:szCs w:val="20"/>
          <w:lang w:val="pl-PL"/>
        </w:rPr>
        <w:t xml:space="preserve">Okoliczności powyższe wyłączają możliwość zastosowania w stosunku do nieletniego innego środka zabezpieczającego. </w:t>
      </w:r>
    </w:p>
    <w:p w:rsidR="00EE75F6" w:rsidRPr="00EE75F6" w:rsidRDefault="00EE75F6" w:rsidP="00EE75F6">
      <w:pPr>
        <w:ind w:firstLine="720"/>
        <w:rPr>
          <w:sz w:val="20"/>
          <w:szCs w:val="20"/>
          <w:lang w:val="pl-PL"/>
        </w:rPr>
      </w:pPr>
    </w:p>
    <w:p w:rsidR="00EE75F6" w:rsidRPr="00EE75F6" w:rsidRDefault="00EE75F6" w:rsidP="00EE75F6">
      <w:pPr>
        <w:ind w:firstLine="720"/>
        <w:rPr>
          <w:sz w:val="20"/>
          <w:szCs w:val="20"/>
          <w:lang w:val="pl-PL"/>
        </w:rPr>
      </w:pPr>
      <w:r w:rsidRPr="00EE75F6">
        <w:rPr>
          <w:sz w:val="20"/>
          <w:szCs w:val="20"/>
          <w:lang w:val="pl-PL"/>
        </w:rPr>
        <w:t xml:space="preserve">Obecnie stan zdrowia nieletniego jest normalny. </w:t>
      </w:r>
    </w:p>
    <w:p w:rsidR="00EE75F6" w:rsidRPr="00EE75F6" w:rsidRDefault="00EE75F6" w:rsidP="00EE75F6">
      <w:pPr>
        <w:ind w:firstLine="720"/>
        <w:rPr>
          <w:sz w:val="20"/>
          <w:szCs w:val="20"/>
          <w:lang w:val="pl-PL"/>
        </w:rPr>
      </w:pPr>
    </w:p>
    <w:p w:rsidR="00EE75F6" w:rsidRPr="00EE75F6" w:rsidRDefault="00EE75F6" w:rsidP="00EE75F6">
      <w:pPr>
        <w:ind w:left="540" w:firstLine="180"/>
        <w:rPr>
          <w:sz w:val="20"/>
          <w:szCs w:val="20"/>
          <w:lang w:val="pl-PL"/>
        </w:rPr>
      </w:pPr>
      <w:r w:rsidRPr="00EE75F6">
        <w:rPr>
          <w:sz w:val="20"/>
          <w:szCs w:val="20"/>
          <w:lang w:val="pl-PL"/>
        </w:rPr>
        <w:t xml:space="preserve">Wobec braku powodów, które uzasadniałyby uchylenie środka zabezpieczającego w stosunku do nieletniego, postanowiono jak wyżej na podstawie art. 20 i 27 ustawy o postępowaniu w sprawach nieletnich". </w:t>
      </w:r>
    </w:p>
    <w:p w:rsidR="00EE75F6" w:rsidRPr="00EE75F6" w:rsidRDefault="00EE75F6" w:rsidP="00EE75F6">
      <w:pPr>
        <w:ind w:left="540" w:firstLine="180"/>
        <w:rPr>
          <w:sz w:val="20"/>
          <w:szCs w:val="20"/>
          <w:lang w:val="pl-PL"/>
        </w:rPr>
      </w:pPr>
    </w:p>
    <w:p w:rsidR="00EE75F6" w:rsidRPr="00EE75F6" w:rsidRDefault="00EE75F6" w:rsidP="00EE75F6">
      <w:pPr>
        <w:ind w:left="540" w:firstLine="180"/>
        <w:rPr>
          <w:sz w:val="20"/>
          <w:szCs w:val="20"/>
          <w:lang w:val="pl-PL"/>
        </w:rPr>
      </w:pPr>
    </w:p>
    <w:p w:rsidR="00EE75F6" w:rsidRPr="00EE75F6" w:rsidRDefault="00EE75F6" w:rsidP="00EE75F6">
      <w:pPr>
        <w:ind w:firstLine="284"/>
        <w:rPr>
          <w:lang w:val="pl-PL"/>
        </w:rPr>
      </w:pPr>
      <w:r w:rsidRPr="00EE75F6">
        <w:rPr>
          <w:lang w:val="pl-PL"/>
        </w:rPr>
        <w:t xml:space="preserve">16. W dniu 9 sierpnia 2012 r. obrońca skarżącego zwrócił się do Dyrektora Schroniska dla Nieletnich w Gackach, wnosząc o zwolnienie skarżącego z ośrodka. </w:t>
      </w:r>
    </w:p>
    <w:p w:rsidR="00EE75F6" w:rsidRPr="00EE75F6" w:rsidRDefault="00EE75F6" w:rsidP="00EE75F6">
      <w:pPr>
        <w:ind w:firstLine="284"/>
        <w:rPr>
          <w:lang w:val="pl-PL"/>
        </w:rPr>
      </w:pPr>
      <w:r w:rsidRPr="00EE75F6">
        <w:rPr>
          <w:lang w:val="pl-PL"/>
        </w:rPr>
        <w:t xml:space="preserve">17. W liście z dnia 16 sierpnia 2012 r. Sąd Rejonowy dla Krakowa - </w:t>
      </w:r>
      <w:proofErr w:type="spellStart"/>
      <w:r w:rsidRPr="00EE75F6">
        <w:rPr>
          <w:lang w:val="pl-PL"/>
        </w:rPr>
        <w:t>Krowodrza</w:t>
      </w:r>
      <w:proofErr w:type="spellEnd"/>
      <w:r w:rsidRPr="00EE75F6">
        <w:rPr>
          <w:lang w:val="pl-PL"/>
        </w:rPr>
        <w:t xml:space="preserve"> poinformował obrońcę skarżącego, że sąd, po wydaniu postanowienia o rozpoznaniu sprawy skarżącego w postępowaniu poprawczym w dniu 27 lipca 2012 r., nie postanowił o przedłużeniu pobytu skarżącego w schronisku dla nieletnich na podstawie art. 27 § 3 ustawy o postępowaniu w sprawach nieletnich. </w:t>
      </w:r>
    </w:p>
    <w:p w:rsidR="00EE75F6" w:rsidRPr="00EE75F6" w:rsidRDefault="00EE75F6" w:rsidP="00EE75F6">
      <w:pPr>
        <w:ind w:firstLine="284"/>
        <w:rPr>
          <w:lang w:val="pl-PL"/>
        </w:rPr>
      </w:pPr>
      <w:r w:rsidRPr="00EE75F6">
        <w:rPr>
          <w:lang w:val="pl-PL"/>
        </w:rPr>
        <w:lastRenderedPageBreak/>
        <w:t xml:space="preserve">18. Sąd Rejonowy dla Krakowa - </w:t>
      </w:r>
      <w:proofErr w:type="spellStart"/>
      <w:r w:rsidRPr="00EE75F6">
        <w:rPr>
          <w:lang w:val="pl-PL"/>
        </w:rPr>
        <w:t>Krowodrza</w:t>
      </w:r>
      <w:proofErr w:type="spellEnd"/>
      <w:r w:rsidRPr="00EE75F6">
        <w:rPr>
          <w:lang w:val="pl-PL"/>
        </w:rPr>
        <w:t xml:space="preserve"> przeprowadził rozprawy w sprawie skarżącego w dniach 21 listopada 2012 r. oraz 9 stycznia 2013 r. W tym samym dniu sąd orzekł, że skarżący popełnił zarzucane mu przestępstwa. Sąd orzekł umieszczenie skarżącego w zakładzie poprawczym, jednakże zawiesił zastosowanie tego środka na okres próby w wymiarze 2 lat. Ponadto, sąd ustanowił nadzór kuratora sądowego nad skarżącym w okresie próby. </w:t>
      </w:r>
    </w:p>
    <w:p w:rsidR="00EE75F6" w:rsidRPr="00EE75F6" w:rsidRDefault="00EE75F6" w:rsidP="00EE75F6">
      <w:pPr>
        <w:ind w:firstLine="284"/>
        <w:rPr>
          <w:lang w:val="pl-PL"/>
        </w:rPr>
      </w:pPr>
      <w:r w:rsidRPr="00EE75F6">
        <w:rPr>
          <w:lang w:val="pl-PL"/>
        </w:rPr>
        <w:t xml:space="preserve">19. W związku z powyższym wyrokiem, w dniu 9 stycznia 2013 r. Sąd Rejonowy dla Krakowa - </w:t>
      </w:r>
      <w:proofErr w:type="spellStart"/>
      <w:r w:rsidRPr="00EE75F6">
        <w:rPr>
          <w:lang w:val="pl-PL"/>
        </w:rPr>
        <w:t>Krowodrza</w:t>
      </w:r>
      <w:proofErr w:type="spellEnd"/>
      <w:r w:rsidRPr="00EE75F6">
        <w:rPr>
          <w:lang w:val="pl-PL"/>
        </w:rPr>
        <w:t xml:space="preserve"> uchylił środek w postaci umieszczenia skarżącego w schronisku dla nieletnich. Skarżący został zwolniony ze schroniska dla nieletnich tego samego dnia. </w:t>
      </w:r>
    </w:p>
    <w:p w:rsidR="00EE75F6" w:rsidRPr="00EE75F6" w:rsidRDefault="00EE75F6" w:rsidP="00EE75F6">
      <w:pPr>
        <w:ind w:firstLine="284"/>
        <w:rPr>
          <w:lang w:val="pl-PL"/>
        </w:rPr>
      </w:pPr>
      <w:r w:rsidRPr="00EE75F6">
        <w:rPr>
          <w:lang w:val="pl-PL"/>
        </w:rPr>
        <w:t xml:space="preserve">20. Orzeczenie z dnia 9 stycznia 2013 r. nie zostało zaskarżone, w związku z czym  uprawomocniło się ono w dniu 14 lutego 2013 r. </w:t>
      </w:r>
    </w:p>
    <w:p w:rsidR="00EE75F6" w:rsidRPr="00EE75F6" w:rsidRDefault="00EE75F6" w:rsidP="00EE75F6">
      <w:pPr>
        <w:ind w:firstLine="180"/>
        <w:rPr>
          <w:lang w:val="pl-PL"/>
        </w:rPr>
      </w:pPr>
    </w:p>
    <w:p w:rsidR="00EE75F6" w:rsidRPr="00EE75F6" w:rsidRDefault="00EE75F6" w:rsidP="00EE75F6">
      <w:pPr>
        <w:ind w:firstLine="180"/>
        <w:rPr>
          <w:lang w:val="pl-PL"/>
        </w:rPr>
      </w:pPr>
    </w:p>
    <w:p w:rsidR="00EE75F6" w:rsidRPr="00EE75F6" w:rsidRDefault="00EE75F6" w:rsidP="00EE75F6">
      <w:pPr>
        <w:tabs>
          <w:tab w:val="left" w:pos="426"/>
        </w:tabs>
        <w:autoSpaceDE w:val="0"/>
        <w:autoSpaceDN w:val="0"/>
        <w:adjustRightInd w:val="0"/>
        <w:spacing w:line="276" w:lineRule="auto"/>
        <w:rPr>
          <w:highlight w:val="white"/>
          <w:lang w:val="pl-PL"/>
        </w:rPr>
      </w:pPr>
      <w:r w:rsidRPr="00EE75F6">
        <w:rPr>
          <w:highlight w:val="white"/>
          <w:lang w:val="pl-PL"/>
        </w:rPr>
        <w:t xml:space="preserve">II. WŁAŚCIWE PRAWO KRAJOWE I MIĘDZYNARODOWE  </w:t>
      </w:r>
    </w:p>
    <w:p w:rsidR="00EE75F6" w:rsidRPr="00EE75F6" w:rsidRDefault="00EE75F6" w:rsidP="00EE75F6">
      <w:pPr>
        <w:tabs>
          <w:tab w:val="left" w:pos="426"/>
        </w:tabs>
        <w:autoSpaceDE w:val="0"/>
        <w:autoSpaceDN w:val="0"/>
        <w:adjustRightInd w:val="0"/>
        <w:spacing w:line="276" w:lineRule="auto"/>
        <w:rPr>
          <w:highlight w:val="white"/>
          <w:lang w:val="pl-PL"/>
        </w:rPr>
      </w:pPr>
    </w:p>
    <w:p w:rsidR="00EE75F6" w:rsidRPr="00EE75F6" w:rsidRDefault="00EE75F6" w:rsidP="00EE75F6">
      <w:pPr>
        <w:tabs>
          <w:tab w:val="left" w:pos="426"/>
        </w:tabs>
        <w:autoSpaceDE w:val="0"/>
        <w:autoSpaceDN w:val="0"/>
        <w:adjustRightInd w:val="0"/>
        <w:spacing w:line="276" w:lineRule="auto"/>
        <w:rPr>
          <w:b/>
          <w:bCs/>
          <w:highlight w:val="white"/>
          <w:lang w:val="pl-PL"/>
        </w:rPr>
      </w:pPr>
      <w:r w:rsidRPr="00EE75F6">
        <w:rPr>
          <w:b/>
          <w:bCs/>
          <w:highlight w:val="white"/>
          <w:lang w:val="pl-PL"/>
        </w:rPr>
        <w:tab/>
        <w:t xml:space="preserve">A. Właściwe krajowe i praktyka </w:t>
      </w:r>
    </w:p>
    <w:p w:rsidR="00EE75F6" w:rsidRPr="00EE75F6" w:rsidRDefault="00EE75F6" w:rsidP="00EE75F6">
      <w:pPr>
        <w:tabs>
          <w:tab w:val="left" w:pos="426"/>
        </w:tabs>
        <w:autoSpaceDE w:val="0"/>
        <w:autoSpaceDN w:val="0"/>
        <w:adjustRightInd w:val="0"/>
        <w:spacing w:line="276" w:lineRule="auto"/>
        <w:rPr>
          <w:b/>
          <w:bCs/>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left="851" w:hanging="311"/>
        <w:rPr>
          <w:bCs/>
          <w:i/>
          <w:highlight w:val="white"/>
          <w:lang w:val="pl-PL"/>
        </w:rPr>
      </w:pPr>
      <w:r w:rsidRPr="00EE75F6">
        <w:rPr>
          <w:b/>
          <w:bCs/>
          <w:highlight w:val="white"/>
          <w:lang w:val="pl-PL"/>
        </w:rPr>
        <w:tab/>
      </w:r>
      <w:r w:rsidRPr="00EE75F6">
        <w:rPr>
          <w:bCs/>
          <w:i/>
          <w:highlight w:val="white"/>
          <w:lang w:val="pl-PL"/>
        </w:rPr>
        <w:t>1. Właściwe postanowienia Konstytucji</w:t>
      </w:r>
    </w:p>
    <w:p w:rsidR="00EE75F6" w:rsidRPr="00EE75F6" w:rsidRDefault="00EE75F6" w:rsidP="00EE75F6">
      <w:pPr>
        <w:tabs>
          <w:tab w:val="left" w:pos="426"/>
          <w:tab w:val="left" w:pos="720"/>
        </w:tabs>
        <w:autoSpaceDE w:val="0"/>
        <w:autoSpaceDN w:val="0"/>
        <w:adjustRightInd w:val="0"/>
        <w:spacing w:line="276" w:lineRule="auto"/>
        <w:ind w:firstLine="540"/>
        <w:rPr>
          <w:bCs/>
          <w:i/>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firstLine="284"/>
        <w:rPr>
          <w:bCs/>
          <w:highlight w:val="white"/>
          <w:lang w:val="pl-PL"/>
        </w:rPr>
      </w:pPr>
      <w:r w:rsidRPr="00EE75F6">
        <w:rPr>
          <w:bCs/>
          <w:highlight w:val="white"/>
          <w:lang w:val="pl-PL"/>
        </w:rPr>
        <w:t xml:space="preserve">21. Art. 41 ust. 1 i 2 Konstytucji stanowi, w odpowiednim zakresie: </w:t>
      </w:r>
    </w:p>
    <w:p w:rsidR="00EE75F6" w:rsidRPr="00EE75F6" w:rsidRDefault="00EE75F6" w:rsidP="00EE75F6">
      <w:pPr>
        <w:tabs>
          <w:tab w:val="left" w:pos="426"/>
          <w:tab w:val="left" w:pos="720"/>
        </w:tabs>
        <w:autoSpaceDE w:val="0"/>
        <w:autoSpaceDN w:val="0"/>
        <w:adjustRightInd w:val="0"/>
        <w:spacing w:line="276" w:lineRule="auto"/>
        <w:ind w:firstLine="180"/>
        <w:rPr>
          <w:bCs/>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left="426" w:firstLine="141"/>
        <w:rPr>
          <w:bCs/>
          <w:sz w:val="20"/>
          <w:szCs w:val="20"/>
          <w:highlight w:val="white"/>
          <w:lang w:val="pl-PL"/>
        </w:rPr>
      </w:pPr>
      <w:r w:rsidRPr="00EE75F6">
        <w:rPr>
          <w:bCs/>
          <w:sz w:val="20"/>
          <w:szCs w:val="20"/>
          <w:highlight w:val="white"/>
          <w:lang w:val="pl-PL"/>
        </w:rPr>
        <w:t xml:space="preserve">"1. Każdemu zapewnia się wolność osobistą i nietykalność osobistą. Pozbawienie lub ograniczenie wolności może nastąpić tylko na zasadach i w trybie określonych w ustawach. </w:t>
      </w:r>
    </w:p>
    <w:p w:rsidR="00EE75F6" w:rsidRPr="00EE75F6" w:rsidRDefault="00EE75F6" w:rsidP="00EE75F6">
      <w:pPr>
        <w:tabs>
          <w:tab w:val="left" w:pos="426"/>
          <w:tab w:val="left" w:pos="720"/>
        </w:tabs>
        <w:autoSpaceDE w:val="0"/>
        <w:autoSpaceDN w:val="0"/>
        <w:adjustRightInd w:val="0"/>
        <w:spacing w:line="276" w:lineRule="auto"/>
        <w:ind w:firstLine="180"/>
        <w:rPr>
          <w:bCs/>
          <w:sz w:val="20"/>
          <w:szCs w:val="20"/>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left="426" w:firstLine="141"/>
        <w:rPr>
          <w:bCs/>
          <w:sz w:val="20"/>
          <w:szCs w:val="20"/>
          <w:highlight w:val="white"/>
          <w:lang w:val="pl-PL"/>
        </w:rPr>
      </w:pPr>
      <w:r w:rsidRPr="00EE75F6">
        <w:rPr>
          <w:bCs/>
          <w:sz w:val="20"/>
          <w:szCs w:val="20"/>
          <w:highlight w:val="white"/>
          <w:lang w:val="pl-PL"/>
        </w:rPr>
        <w:t xml:space="preserve">2. Każdy pozbawiony wolności nie na podstawie wyroku sądowego ma prawo odwołania się do sądu w celu niezwłocznego ustalenia legalności tego pozbawienia. (...)." </w:t>
      </w:r>
    </w:p>
    <w:p w:rsidR="00EE75F6" w:rsidRPr="00EE75F6" w:rsidRDefault="00EE75F6" w:rsidP="00EE75F6">
      <w:pPr>
        <w:tabs>
          <w:tab w:val="left" w:pos="426"/>
          <w:tab w:val="left" w:pos="720"/>
        </w:tabs>
        <w:autoSpaceDE w:val="0"/>
        <w:autoSpaceDN w:val="0"/>
        <w:adjustRightInd w:val="0"/>
        <w:spacing w:line="276" w:lineRule="auto"/>
        <w:ind w:firstLine="180"/>
        <w:rPr>
          <w:bCs/>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left="993" w:hanging="284"/>
        <w:rPr>
          <w:bCs/>
          <w:i/>
          <w:highlight w:val="white"/>
          <w:lang w:val="pl-PL"/>
        </w:rPr>
      </w:pPr>
      <w:r w:rsidRPr="00EE75F6">
        <w:rPr>
          <w:bCs/>
          <w:i/>
          <w:highlight w:val="white"/>
          <w:lang w:val="pl-PL"/>
        </w:rPr>
        <w:t>2. Ustawa o postępowaniu w sprawach nieletnich</w:t>
      </w:r>
    </w:p>
    <w:p w:rsidR="00EE75F6" w:rsidRPr="00EE75F6" w:rsidRDefault="00EE75F6" w:rsidP="00EE75F6">
      <w:pPr>
        <w:tabs>
          <w:tab w:val="left" w:pos="426"/>
          <w:tab w:val="left" w:pos="720"/>
        </w:tabs>
        <w:autoSpaceDE w:val="0"/>
        <w:autoSpaceDN w:val="0"/>
        <w:adjustRightInd w:val="0"/>
        <w:spacing w:line="276" w:lineRule="auto"/>
        <w:ind w:firstLine="180"/>
        <w:rPr>
          <w:bCs/>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firstLine="284"/>
        <w:rPr>
          <w:bCs/>
          <w:highlight w:val="white"/>
          <w:lang w:val="pl-PL"/>
        </w:rPr>
      </w:pPr>
      <w:r w:rsidRPr="00EE75F6">
        <w:rPr>
          <w:bCs/>
          <w:highlight w:val="white"/>
          <w:lang w:val="pl-PL"/>
        </w:rPr>
        <w:t xml:space="preserve">22. Ustawa z dnia 26 października 1982 r. o postępowaniu w sprawach nieletnich (ustawa o postępowaniu w sprawach nieletnich, "ustawa o nieletnich"), określa, między innymi, procedury stosowane w stosunku do nieletnich, którzy popełnili przestępstwa między </w:t>
      </w:r>
      <w:smartTag w:uri="urn:schemas-microsoft-com:office:smarttags" w:element="metricconverter">
        <w:smartTagPr>
          <w:attr w:name="ProductID" w:val="13 a"/>
        </w:smartTagPr>
        <w:r w:rsidRPr="00EE75F6">
          <w:rPr>
            <w:bCs/>
            <w:highlight w:val="white"/>
            <w:lang w:val="pl-PL"/>
          </w:rPr>
          <w:t>13 a</w:t>
        </w:r>
      </w:smartTag>
      <w:r w:rsidRPr="00EE75F6">
        <w:rPr>
          <w:bCs/>
          <w:highlight w:val="white"/>
          <w:lang w:val="pl-PL"/>
        </w:rPr>
        <w:t xml:space="preserve"> 17 rokiem życia. Postępowanie zwykle prowadzone jest przez sąd rodzinny. </w:t>
      </w:r>
    </w:p>
    <w:p w:rsidR="00EE75F6" w:rsidRPr="00EE75F6" w:rsidRDefault="00EE75F6" w:rsidP="00EE75F6">
      <w:pPr>
        <w:tabs>
          <w:tab w:val="left" w:pos="426"/>
          <w:tab w:val="left" w:pos="720"/>
        </w:tabs>
        <w:autoSpaceDE w:val="0"/>
        <w:autoSpaceDN w:val="0"/>
        <w:adjustRightInd w:val="0"/>
        <w:spacing w:line="276" w:lineRule="auto"/>
        <w:ind w:firstLine="284"/>
        <w:rPr>
          <w:bCs/>
          <w:highlight w:val="white"/>
          <w:lang w:val="pl-PL"/>
        </w:rPr>
      </w:pPr>
      <w:r w:rsidRPr="00EE75F6">
        <w:rPr>
          <w:bCs/>
          <w:highlight w:val="white"/>
          <w:lang w:val="pl-PL"/>
        </w:rPr>
        <w:t xml:space="preserve">23. Podstawowe właściwości ustawy o postępowaniu w sprawach nieletnich zostały wskazane w wyroku Trybunału w sprawie </w:t>
      </w:r>
      <w:r w:rsidRPr="00EE75F6">
        <w:rPr>
          <w:bCs/>
          <w:i/>
          <w:highlight w:val="white"/>
          <w:lang w:val="pl-PL"/>
        </w:rPr>
        <w:t>Adamkiewicz przeciwko Polsce</w:t>
      </w:r>
      <w:r w:rsidRPr="00EE75F6">
        <w:rPr>
          <w:bCs/>
          <w:highlight w:val="white"/>
          <w:lang w:val="pl-PL"/>
        </w:rPr>
        <w:t xml:space="preserve"> (skarga nr 54729/00, pkt 51 - 62, 2 marca 2010 r.). </w:t>
      </w:r>
    </w:p>
    <w:p w:rsidR="00EE75F6" w:rsidRPr="00EE75F6" w:rsidRDefault="00EE75F6" w:rsidP="00EE75F6">
      <w:pPr>
        <w:tabs>
          <w:tab w:val="left" w:pos="426"/>
          <w:tab w:val="left" w:pos="720"/>
        </w:tabs>
        <w:autoSpaceDE w:val="0"/>
        <w:autoSpaceDN w:val="0"/>
        <w:adjustRightInd w:val="0"/>
        <w:spacing w:line="276" w:lineRule="auto"/>
        <w:ind w:firstLine="284"/>
        <w:rPr>
          <w:bCs/>
          <w:highlight w:val="white"/>
          <w:lang w:val="pl-PL"/>
        </w:rPr>
      </w:pPr>
      <w:r w:rsidRPr="00EE75F6">
        <w:rPr>
          <w:bCs/>
          <w:highlight w:val="white"/>
          <w:lang w:val="pl-PL"/>
        </w:rPr>
        <w:lastRenderedPageBreak/>
        <w:t xml:space="preserve">24. Art. 27 ustawy o postępowaniu w sprawach nieletnich stanowi </w:t>
      </w:r>
      <w:r w:rsidR="008501C9">
        <w:rPr>
          <w:bCs/>
          <w:highlight w:val="white"/>
          <w:lang w:val="pl-PL"/>
        </w:rPr>
        <w:t>o umieszczeniu</w:t>
      </w:r>
      <w:r w:rsidRPr="00EE75F6">
        <w:rPr>
          <w:bCs/>
          <w:highlight w:val="white"/>
          <w:lang w:val="pl-PL"/>
        </w:rPr>
        <w:t xml:space="preserve"> nieletniego w schronisku dla nieletnich. </w:t>
      </w:r>
      <w:r w:rsidR="008501C9">
        <w:rPr>
          <w:bCs/>
          <w:highlight w:val="white"/>
          <w:lang w:val="pl-PL"/>
        </w:rPr>
        <w:t>Przewiduje</w:t>
      </w:r>
      <w:r w:rsidRPr="00EE75F6">
        <w:rPr>
          <w:bCs/>
          <w:highlight w:val="white"/>
          <w:lang w:val="pl-PL"/>
        </w:rPr>
        <w:t xml:space="preserve"> on, w istotnym zakresie: </w:t>
      </w:r>
    </w:p>
    <w:p w:rsidR="00EE75F6" w:rsidRPr="00EE75F6" w:rsidRDefault="00EE75F6" w:rsidP="00EE75F6">
      <w:pPr>
        <w:tabs>
          <w:tab w:val="left" w:pos="426"/>
          <w:tab w:val="left" w:pos="720"/>
        </w:tabs>
        <w:autoSpaceDE w:val="0"/>
        <w:autoSpaceDN w:val="0"/>
        <w:adjustRightInd w:val="0"/>
        <w:spacing w:line="276" w:lineRule="auto"/>
        <w:ind w:firstLine="180"/>
        <w:rPr>
          <w:bCs/>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left="426" w:firstLine="141"/>
        <w:rPr>
          <w:sz w:val="20"/>
          <w:szCs w:val="20"/>
          <w:lang w:val="pl-PL"/>
        </w:rPr>
      </w:pPr>
      <w:r w:rsidRPr="00EE75F6">
        <w:rPr>
          <w:sz w:val="20"/>
          <w:szCs w:val="20"/>
          <w:lang w:val="pl-PL"/>
        </w:rPr>
        <w:t xml:space="preserve">§1. Nieletniego można umieścić w schronisku dla nieletnich, jeżeli zostaną ujawnione okoliczności przemawiające za umieszczeniem go w zakładzie poprawczym, a zachodzi uzasadniona obawa ukrycia się nieletniego lub zatarcia śladów czynu karalnego, albo jeżeli nie można ustalić tożsamości nieletniego. </w:t>
      </w:r>
    </w:p>
    <w:p w:rsidR="00EE75F6" w:rsidRPr="00EE75F6" w:rsidRDefault="00EE75F6" w:rsidP="00EE75F6">
      <w:pPr>
        <w:tabs>
          <w:tab w:val="left" w:pos="426"/>
          <w:tab w:val="left" w:pos="720"/>
        </w:tabs>
        <w:autoSpaceDE w:val="0"/>
        <w:autoSpaceDN w:val="0"/>
        <w:adjustRightInd w:val="0"/>
        <w:spacing w:line="276" w:lineRule="auto"/>
        <w:ind w:left="426" w:firstLine="141"/>
        <w:rPr>
          <w:sz w:val="20"/>
          <w:szCs w:val="20"/>
          <w:lang w:val="pl-PL"/>
        </w:rPr>
      </w:pPr>
    </w:p>
    <w:p w:rsidR="00EE75F6" w:rsidRPr="00EE75F6" w:rsidRDefault="00EE75F6" w:rsidP="00EE75F6">
      <w:pPr>
        <w:tabs>
          <w:tab w:val="left" w:pos="426"/>
          <w:tab w:val="left" w:pos="720"/>
        </w:tabs>
        <w:autoSpaceDE w:val="0"/>
        <w:autoSpaceDN w:val="0"/>
        <w:adjustRightInd w:val="0"/>
        <w:spacing w:line="276" w:lineRule="auto"/>
        <w:ind w:firstLine="180"/>
        <w:rPr>
          <w:sz w:val="20"/>
          <w:szCs w:val="20"/>
          <w:lang w:val="pl-PL"/>
        </w:rPr>
      </w:pPr>
      <w:r w:rsidRPr="00EE75F6">
        <w:rPr>
          <w:sz w:val="20"/>
          <w:szCs w:val="20"/>
          <w:lang w:val="pl-PL"/>
        </w:rPr>
        <w:tab/>
        <w:t>...</w:t>
      </w:r>
    </w:p>
    <w:p w:rsidR="00EE75F6" w:rsidRPr="00EE75F6" w:rsidRDefault="00EE75F6" w:rsidP="00EE75F6">
      <w:pPr>
        <w:tabs>
          <w:tab w:val="left" w:pos="426"/>
          <w:tab w:val="left" w:pos="720"/>
        </w:tabs>
        <w:autoSpaceDE w:val="0"/>
        <w:autoSpaceDN w:val="0"/>
        <w:adjustRightInd w:val="0"/>
        <w:spacing w:line="276" w:lineRule="auto"/>
        <w:ind w:firstLine="180"/>
        <w:rPr>
          <w:sz w:val="20"/>
          <w:szCs w:val="20"/>
          <w:lang w:val="pl-PL"/>
        </w:rPr>
      </w:pPr>
    </w:p>
    <w:p w:rsidR="00EE75F6" w:rsidRPr="00EE75F6" w:rsidRDefault="00EE75F6" w:rsidP="00EE75F6">
      <w:pPr>
        <w:tabs>
          <w:tab w:val="left" w:pos="284"/>
          <w:tab w:val="left" w:pos="720"/>
        </w:tabs>
        <w:autoSpaceDE w:val="0"/>
        <w:autoSpaceDN w:val="0"/>
        <w:adjustRightInd w:val="0"/>
        <w:spacing w:line="276" w:lineRule="auto"/>
        <w:ind w:left="426" w:firstLine="141"/>
        <w:rPr>
          <w:sz w:val="20"/>
          <w:szCs w:val="20"/>
          <w:lang w:val="pl-PL"/>
        </w:rPr>
      </w:pPr>
      <w:r w:rsidRPr="00EE75F6">
        <w:rPr>
          <w:sz w:val="20"/>
          <w:szCs w:val="20"/>
          <w:lang w:val="pl-PL"/>
        </w:rPr>
        <w:t xml:space="preserve">§3. Okres pobytu nieletniego w schronisku dla nieletnich przed skierowaniem sprawy na rozprawę nie może trwać dłużej niż 3 miesiące; okres pobytu należy określić w postanowieniu o umieszczeniu nieletniego w schronisku. </w:t>
      </w:r>
    </w:p>
    <w:p w:rsidR="00EE75F6" w:rsidRPr="00EE75F6" w:rsidRDefault="00EE75F6" w:rsidP="00EE75F6">
      <w:pPr>
        <w:tabs>
          <w:tab w:val="left" w:pos="426"/>
          <w:tab w:val="left" w:pos="720"/>
        </w:tabs>
        <w:autoSpaceDE w:val="0"/>
        <w:autoSpaceDN w:val="0"/>
        <w:adjustRightInd w:val="0"/>
        <w:spacing w:line="276" w:lineRule="auto"/>
        <w:ind w:firstLine="180"/>
        <w:rPr>
          <w:sz w:val="20"/>
          <w:szCs w:val="20"/>
          <w:lang w:val="pl-PL"/>
        </w:rPr>
      </w:pPr>
    </w:p>
    <w:p w:rsidR="00EE75F6" w:rsidRPr="00EE75F6" w:rsidRDefault="00EE75F6" w:rsidP="00EE75F6">
      <w:pPr>
        <w:tabs>
          <w:tab w:val="left" w:pos="426"/>
          <w:tab w:val="left" w:pos="720"/>
        </w:tabs>
        <w:autoSpaceDE w:val="0"/>
        <w:autoSpaceDN w:val="0"/>
        <w:adjustRightInd w:val="0"/>
        <w:spacing w:line="276" w:lineRule="auto"/>
        <w:ind w:left="426" w:firstLine="141"/>
        <w:rPr>
          <w:sz w:val="20"/>
          <w:szCs w:val="20"/>
          <w:lang w:val="pl-PL"/>
        </w:rPr>
      </w:pPr>
      <w:r w:rsidRPr="00EE75F6">
        <w:rPr>
          <w:sz w:val="20"/>
          <w:szCs w:val="20"/>
          <w:lang w:val="pl-PL"/>
        </w:rPr>
        <w:t xml:space="preserve">§4. Jeżeli, ze względu na szczególne okoliczności sprawy, zachodzi konieczność przedłużenia pobytu nieletniego w schronisku dla nieletnich, można ten pobyt przedłużyć na okres nieprzekraczający dalszych 3 miesięcy. </w:t>
      </w:r>
    </w:p>
    <w:p w:rsidR="00EE75F6" w:rsidRPr="00EE75F6" w:rsidRDefault="00EE75F6" w:rsidP="00EE75F6">
      <w:pPr>
        <w:tabs>
          <w:tab w:val="left" w:pos="426"/>
          <w:tab w:val="left" w:pos="720"/>
        </w:tabs>
        <w:autoSpaceDE w:val="0"/>
        <w:autoSpaceDN w:val="0"/>
        <w:adjustRightInd w:val="0"/>
        <w:spacing w:line="276" w:lineRule="auto"/>
        <w:ind w:firstLine="180"/>
        <w:rPr>
          <w:sz w:val="20"/>
          <w:szCs w:val="20"/>
          <w:lang w:val="pl-PL"/>
        </w:rPr>
      </w:pPr>
    </w:p>
    <w:p w:rsidR="00EE75F6" w:rsidRPr="00EE75F6" w:rsidRDefault="00EE75F6" w:rsidP="00EE75F6">
      <w:pPr>
        <w:tabs>
          <w:tab w:val="left" w:pos="426"/>
          <w:tab w:val="left" w:pos="720"/>
        </w:tabs>
        <w:autoSpaceDE w:val="0"/>
        <w:autoSpaceDN w:val="0"/>
        <w:adjustRightInd w:val="0"/>
        <w:spacing w:line="276" w:lineRule="auto"/>
        <w:ind w:left="426" w:firstLine="141"/>
        <w:rPr>
          <w:sz w:val="20"/>
          <w:szCs w:val="20"/>
          <w:lang w:val="pl-PL"/>
        </w:rPr>
      </w:pPr>
      <w:r w:rsidRPr="00EE75F6">
        <w:rPr>
          <w:sz w:val="20"/>
          <w:szCs w:val="20"/>
          <w:lang w:val="pl-PL"/>
        </w:rPr>
        <w:t xml:space="preserve">§5. O przedłużeniu pobytu nieletniego w schronisku dla nieletnich sąd rodzinny orzeka na posiedzeniu. O terminie posiedzenia zawiadamia się strony i obrońcę nieletniego. </w:t>
      </w:r>
    </w:p>
    <w:p w:rsidR="00EE75F6" w:rsidRPr="00EE75F6" w:rsidRDefault="00EE75F6" w:rsidP="00EE75F6">
      <w:pPr>
        <w:tabs>
          <w:tab w:val="left" w:pos="426"/>
          <w:tab w:val="left" w:pos="720"/>
        </w:tabs>
        <w:autoSpaceDE w:val="0"/>
        <w:autoSpaceDN w:val="0"/>
        <w:adjustRightInd w:val="0"/>
        <w:spacing w:line="276" w:lineRule="auto"/>
        <w:ind w:firstLine="180"/>
        <w:rPr>
          <w:sz w:val="20"/>
          <w:szCs w:val="20"/>
          <w:lang w:val="pl-PL"/>
        </w:rPr>
      </w:pPr>
    </w:p>
    <w:p w:rsidR="00EE75F6" w:rsidRPr="00EE75F6" w:rsidRDefault="00EE75F6" w:rsidP="00EE75F6">
      <w:pPr>
        <w:tabs>
          <w:tab w:val="left" w:pos="426"/>
          <w:tab w:val="left" w:pos="720"/>
        </w:tabs>
        <w:autoSpaceDE w:val="0"/>
        <w:autoSpaceDN w:val="0"/>
        <w:adjustRightInd w:val="0"/>
        <w:spacing w:line="276" w:lineRule="auto"/>
        <w:ind w:left="426" w:firstLine="141"/>
        <w:rPr>
          <w:sz w:val="20"/>
          <w:szCs w:val="20"/>
          <w:lang w:val="pl-PL"/>
        </w:rPr>
      </w:pPr>
      <w:r w:rsidRPr="00EE75F6">
        <w:rPr>
          <w:sz w:val="20"/>
          <w:szCs w:val="20"/>
          <w:lang w:val="pl-PL"/>
        </w:rPr>
        <w:t xml:space="preserve">§6. Łączny pobyt nieletniego w schronisku dla nieletnich, do chwili wydania przez sąd pierwszej instancji postanowienia, o którym mowa w art. 32r, nie może być dłuższy niż rok. Do okresu tego nie wlicza się nieusprawiedliwionej nieobecności nieletniego w schronisku dla nieletnich trwającej dłużej niż 3 dni oraz okresu obserwacji psychiatrycznej. </w:t>
      </w:r>
    </w:p>
    <w:p w:rsidR="00EE75F6" w:rsidRPr="00EE75F6" w:rsidRDefault="00EE75F6" w:rsidP="00EE75F6">
      <w:pPr>
        <w:tabs>
          <w:tab w:val="left" w:pos="426"/>
          <w:tab w:val="left" w:pos="720"/>
        </w:tabs>
        <w:autoSpaceDE w:val="0"/>
        <w:autoSpaceDN w:val="0"/>
        <w:adjustRightInd w:val="0"/>
        <w:spacing w:line="276" w:lineRule="auto"/>
        <w:ind w:firstLine="180"/>
        <w:rPr>
          <w:sz w:val="20"/>
          <w:szCs w:val="20"/>
          <w:lang w:val="pl-PL"/>
        </w:rPr>
      </w:pPr>
    </w:p>
    <w:p w:rsidR="00EE75F6" w:rsidRPr="00EE75F6" w:rsidRDefault="00EE75F6" w:rsidP="00EE75F6">
      <w:pPr>
        <w:tabs>
          <w:tab w:val="left" w:pos="426"/>
          <w:tab w:val="left" w:pos="720"/>
        </w:tabs>
        <w:autoSpaceDE w:val="0"/>
        <w:autoSpaceDN w:val="0"/>
        <w:adjustRightInd w:val="0"/>
        <w:spacing w:line="276" w:lineRule="auto"/>
        <w:ind w:left="426" w:firstLine="141"/>
        <w:rPr>
          <w:b/>
          <w:bCs/>
          <w:sz w:val="20"/>
          <w:szCs w:val="20"/>
          <w:highlight w:val="white"/>
          <w:lang w:val="pl-PL"/>
        </w:rPr>
      </w:pPr>
      <w:r w:rsidRPr="00EE75F6">
        <w:rPr>
          <w:sz w:val="20"/>
          <w:szCs w:val="20"/>
          <w:lang w:val="pl-PL"/>
        </w:rPr>
        <w:t>§7. W szczególnie uzasadnionych przypadkach, na wniosek sądu prowadzącego sprawę, sąd okręgowy, w którego okręgu toczy się postępowanie, może przedłużyć okres pobytu nieletniego w schronisku dla nieletnich, o którym mowa w § 6, na czas oznaczony</w:t>
      </w:r>
      <w:r w:rsidRPr="00EE75F6">
        <w:rPr>
          <w:b/>
          <w:bCs/>
          <w:sz w:val="20"/>
          <w:szCs w:val="20"/>
          <w:highlight w:val="white"/>
          <w:lang w:val="pl-PL"/>
        </w:rPr>
        <w:t xml:space="preserve">. </w:t>
      </w:r>
    </w:p>
    <w:p w:rsidR="00EE75F6" w:rsidRPr="00EE75F6" w:rsidRDefault="00EE75F6" w:rsidP="00EE75F6">
      <w:pPr>
        <w:tabs>
          <w:tab w:val="left" w:pos="426"/>
          <w:tab w:val="left" w:pos="720"/>
        </w:tabs>
        <w:autoSpaceDE w:val="0"/>
        <w:autoSpaceDN w:val="0"/>
        <w:adjustRightInd w:val="0"/>
        <w:spacing w:line="276" w:lineRule="auto"/>
        <w:ind w:firstLine="180"/>
        <w:rPr>
          <w:b/>
          <w:bCs/>
          <w:sz w:val="20"/>
          <w:szCs w:val="20"/>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firstLine="284"/>
        <w:rPr>
          <w:bCs/>
          <w:highlight w:val="white"/>
          <w:lang w:val="pl-PL"/>
        </w:rPr>
      </w:pPr>
      <w:r w:rsidRPr="00EE75F6">
        <w:rPr>
          <w:bCs/>
          <w:highlight w:val="white"/>
          <w:lang w:val="pl-PL"/>
        </w:rPr>
        <w:t xml:space="preserve">25. Zgodnie z ustawą o postępowaniu w sprawach nieletnich, postępowanie było podzielone na dwa stadia: postępowanie wyjaśniające oraz postępowanie rozpoznawcze. Postępowanie przed sądem mogło być prowadzone bądź jako postępowanie opiekuńczo-wychowawcze, podczas którego sąd rodzinny mógł zastosować środki wychowawcze lub lecznicze, bądź jako postępowanie poprawcze, w którym sąd mógł orzec o umieszczeniu nieletniego w zakładzie poprawczym. </w:t>
      </w:r>
    </w:p>
    <w:p w:rsidR="00EE75F6" w:rsidRPr="00EE75F6" w:rsidRDefault="00EE75F6" w:rsidP="00EE75F6">
      <w:pPr>
        <w:tabs>
          <w:tab w:val="left" w:pos="426"/>
          <w:tab w:val="left" w:pos="720"/>
        </w:tabs>
        <w:autoSpaceDE w:val="0"/>
        <w:autoSpaceDN w:val="0"/>
        <w:adjustRightInd w:val="0"/>
        <w:spacing w:line="276" w:lineRule="auto"/>
        <w:ind w:firstLine="284"/>
        <w:rPr>
          <w:bCs/>
          <w:highlight w:val="white"/>
          <w:lang w:val="pl-PL"/>
        </w:rPr>
      </w:pPr>
      <w:r w:rsidRPr="00EE75F6">
        <w:rPr>
          <w:bCs/>
          <w:highlight w:val="white"/>
          <w:lang w:val="pl-PL"/>
        </w:rPr>
        <w:t xml:space="preserve">26. Zgodnie z art. 42 § 2 ustawy o postępowaniu w sprawach nieletnich, sędzia rodzinny wydaje postanowienie o rozpoznaniu sprawy w </w:t>
      </w:r>
      <w:r w:rsidRPr="00EE75F6">
        <w:rPr>
          <w:bCs/>
          <w:highlight w:val="white"/>
          <w:lang w:val="pl-PL"/>
        </w:rPr>
        <w:lastRenderedPageBreak/>
        <w:t xml:space="preserve">postępowaniu poprawczym, jeżeli uzna, że zachodzą warunki do umieszczenia nieletniego w zakładzie poprawczym. Zgodnie z art. 43 § 4 ustawy, postanowienie o rozpoznaniu sprawy w postępowaniu poprawczym zastępuje akt oskarżenia. </w:t>
      </w:r>
    </w:p>
    <w:p w:rsidR="00EE75F6" w:rsidRPr="00EE75F6" w:rsidRDefault="00EE75F6" w:rsidP="00EE75F6">
      <w:pPr>
        <w:tabs>
          <w:tab w:val="left" w:pos="426"/>
          <w:tab w:val="left" w:pos="720"/>
        </w:tabs>
        <w:autoSpaceDE w:val="0"/>
        <w:autoSpaceDN w:val="0"/>
        <w:adjustRightInd w:val="0"/>
        <w:spacing w:line="276" w:lineRule="auto"/>
        <w:ind w:firstLine="180"/>
        <w:rPr>
          <w:bCs/>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firstLine="567"/>
        <w:rPr>
          <w:bCs/>
          <w:i/>
          <w:highlight w:val="white"/>
          <w:lang w:val="pl-PL"/>
        </w:rPr>
      </w:pPr>
      <w:r w:rsidRPr="00EE75F6">
        <w:rPr>
          <w:bCs/>
          <w:i/>
          <w:highlight w:val="white"/>
          <w:lang w:val="pl-PL"/>
        </w:rPr>
        <w:t xml:space="preserve">3. Nowelizacja ustawy o postępowaniu w sprawach nieletnich </w:t>
      </w:r>
      <w:r w:rsidR="00CA3BC3">
        <w:rPr>
          <w:bCs/>
          <w:i/>
          <w:highlight w:val="white"/>
          <w:lang w:val="pl-PL"/>
        </w:rPr>
        <w:t xml:space="preserve">               </w:t>
      </w:r>
      <w:r w:rsidRPr="00EE75F6">
        <w:rPr>
          <w:bCs/>
          <w:i/>
          <w:highlight w:val="white"/>
          <w:lang w:val="pl-PL"/>
        </w:rPr>
        <w:t>z 2014</w:t>
      </w:r>
      <w:r w:rsidR="00CA3BC3">
        <w:rPr>
          <w:bCs/>
          <w:i/>
          <w:highlight w:val="white"/>
          <w:lang w:val="pl-PL"/>
        </w:rPr>
        <w:t xml:space="preserve"> </w:t>
      </w:r>
      <w:r w:rsidRPr="00EE75F6">
        <w:rPr>
          <w:bCs/>
          <w:i/>
          <w:highlight w:val="white"/>
          <w:lang w:val="pl-PL"/>
        </w:rPr>
        <w:t xml:space="preserve">r. </w:t>
      </w:r>
    </w:p>
    <w:p w:rsidR="00EE75F6" w:rsidRPr="00EE75F6" w:rsidRDefault="00EE75F6" w:rsidP="00EE75F6">
      <w:pPr>
        <w:tabs>
          <w:tab w:val="left" w:pos="426"/>
          <w:tab w:val="left" w:pos="720"/>
        </w:tabs>
        <w:autoSpaceDE w:val="0"/>
        <w:autoSpaceDN w:val="0"/>
        <w:adjustRightInd w:val="0"/>
        <w:spacing w:line="276" w:lineRule="auto"/>
        <w:ind w:firstLine="180"/>
        <w:rPr>
          <w:bCs/>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firstLine="284"/>
        <w:rPr>
          <w:bCs/>
          <w:highlight w:val="white"/>
          <w:lang w:val="pl-PL"/>
        </w:rPr>
      </w:pPr>
      <w:r w:rsidRPr="00EE75F6">
        <w:rPr>
          <w:bCs/>
          <w:highlight w:val="white"/>
          <w:lang w:val="pl-PL"/>
        </w:rPr>
        <w:t xml:space="preserve">27. Przepisy ustawy o postępowaniu w sprawach nieletnich zostały znowelizowane na podstawie ustawy z dnia 30 sierpnia 2013 r. o zmianie ustawy o postępowaniu w sprawach nieletnich oraz niektórych innych ustaw (Dz. U. z 2013 r., poz. 1165). Ustawa ta wprowadziła jednolite postępowanie w sprawach nieletnich, toczące się przed sądem rodzinnym. W konsekwencji, sąd nie jest już obowiązany wydawać postanowienia o rozpoznaniu sprawy w postępowaniu opiekuńczo-wychowawczym albo w postępowaniu poprawczym. Art. 42 ustawy o postępowaniu w sprawach nieletnich został uchylony. </w:t>
      </w:r>
    </w:p>
    <w:p w:rsidR="00EE75F6" w:rsidRPr="00EE75F6" w:rsidRDefault="00EE75F6" w:rsidP="00EE75F6">
      <w:pPr>
        <w:tabs>
          <w:tab w:val="left" w:pos="426"/>
          <w:tab w:val="left" w:pos="720"/>
        </w:tabs>
        <w:autoSpaceDE w:val="0"/>
        <w:autoSpaceDN w:val="0"/>
        <w:adjustRightInd w:val="0"/>
        <w:spacing w:line="276" w:lineRule="auto"/>
        <w:ind w:firstLine="180"/>
        <w:rPr>
          <w:bCs/>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firstLine="567"/>
        <w:rPr>
          <w:bCs/>
          <w:i/>
          <w:highlight w:val="white"/>
          <w:lang w:val="pl-PL"/>
        </w:rPr>
      </w:pPr>
      <w:r w:rsidRPr="00EE75F6">
        <w:rPr>
          <w:bCs/>
          <w:i/>
          <w:highlight w:val="white"/>
          <w:lang w:val="pl-PL"/>
        </w:rPr>
        <w:t xml:space="preserve">4. Poruszenie problemu przez Rzecznika Praw Obywatelskich </w:t>
      </w:r>
    </w:p>
    <w:p w:rsidR="00EE75F6" w:rsidRPr="00EE75F6" w:rsidRDefault="00EE75F6" w:rsidP="00EE75F6">
      <w:pPr>
        <w:tabs>
          <w:tab w:val="left" w:pos="426"/>
          <w:tab w:val="left" w:pos="720"/>
        </w:tabs>
        <w:autoSpaceDE w:val="0"/>
        <w:autoSpaceDN w:val="0"/>
        <w:adjustRightInd w:val="0"/>
        <w:spacing w:line="276" w:lineRule="auto"/>
        <w:ind w:firstLine="180"/>
        <w:rPr>
          <w:bCs/>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firstLine="284"/>
        <w:rPr>
          <w:bCs/>
          <w:highlight w:val="white"/>
          <w:lang w:val="pl-PL"/>
        </w:rPr>
      </w:pPr>
      <w:r w:rsidRPr="00EE75F6">
        <w:rPr>
          <w:bCs/>
          <w:highlight w:val="white"/>
          <w:lang w:val="pl-PL"/>
        </w:rPr>
        <w:t>28. W liście do Ministra Sprawiedliwości z dni</w:t>
      </w:r>
      <w:r w:rsidR="00A032B5">
        <w:rPr>
          <w:bCs/>
          <w:highlight w:val="white"/>
          <w:lang w:val="pl-PL"/>
        </w:rPr>
        <w:t>a 24 czerwca 2013 r., Rzecznik P</w:t>
      </w:r>
      <w:r w:rsidRPr="00EE75F6">
        <w:rPr>
          <w:bCs/>
          <w:highlight w:val="white"/>
          <w:lang w:val="pl-PL"/>
        </w:rPr>
        <w:t xml:space="preserve">raw Obywatelskich podniosła kwestię niespójności interpretacji art. 27 ustawy o postępowaniu w sprawach nieletnich. Na podstawie napływających skarg, Rzecznik Praw Obywatelskich poinformowała Ministra Sprawiedliwości, że sądy rodzinne, opierając się na art. 27 § 3 lub art. 27 § 6 w związku z art. 27 § 3 ustawy o postępowaniu w sprawach nieletnich, przyjmują, że samo skierowanie sprawy do rozpoznania w postępowaniu poprawczym stanowi podstawę do przedłużenia pobytu nieletniego w schronisku dla nieletnich. </w:t>
      </w:r>
    </w:p>
    <w:p w:rsidR="00EE75F6" w:rsidRPr="00EE75F6" w:rsidRDefault="00EE75F6" w:rsidP="00EE75F6">
      <w:pPr>
        <w:tabs>
          <w:tab w:val="left" w:pos="426"/>
          <w:tab w:val="left" w:pos="720"/>
        </w:tabs>
        <w:autoSpaceDE w:val="0"/>
        <w:autoSpaceDN w:val="0"/>
        <w:adjustRightInd w:val="0"/>
        <w:spacing w:line="276" w:lineRule="auto"/>
        <w:ind w:firstLine="284"/>
        <w:rPr>
          <w:bCs/>
          <w:highlight w:val="white"/>
          <w:lang w:val="pl-PL"/>
        </w:rPr>
      </w:pPr>
      <w:r w:rsidRPr="00EE75F6">
        <w:rPr>
          <w:bCs/>
          <w:highlight w:val="white"/>
          <w:lang w:val="pl-PL"/>
        </w:rPr>
        <w:t>29. Rzecznik Praw Obywatelskich zwróciła się do Sądów Okręgowych w Warszawie, Krakowie</w:t>
      </w:r>
      <w:r w:rsidR="00FD2669">
        <w:rPr>
          <w:bCs/>
          <w:highlight w:val="white"/>
          <w:lang w:val="pl-PL"/>
        </w:rPr>
        <w:t xml:space="preserve"> i Gdańsku z prośbą o informacje</w:t>
      </w:r>
      <w:r w:rsidRPr="00EE75F6">
        <w:rPr>
          <w:bCs/>
          <w:highlight w:val="white"/>
          <w:lang w:val="pl-PL"/>
        </w:rPr>
        <w:t xml:space="preserve"> na temat praktyki orzeczniczej sądów rodzinnych w tym zakresie. Uzyskane informacje wskazywały, że zgodnie z powszechnie przyjętą  interpretacją art. 27 § 3 ustawy, do przedłużenia pobytu nieletniego w schronisku dla nieletnich nie było konieczne wydanie odrębnego postanowieni</w:t>
      </w:r>
      <w:r w:rsidR="00A032B5">
        <w:rPr>
          <w:bCs/>
          <w:highlight w:val="white"/>
          <w:lang w:val="pl-PL"/>
        </w:rPr>
        <w:t>a w tym przedmiocie. Rzecznik P</w:t>
      </w:r>
      <w:r w:rsidRPr="00EE75F6">
        <w:rPr>
          <w:bCs/>
          <w:highlight w:val="white"/>
          <w:lang w:val="pl-PL"/>
        </w:rPr>
        <w:t xml:space="preserve">raw Obywatelskich uznała, że praktyka taka ma daleko idące konsekwencje w odniesieniu do nieletnich, których dotyczy. Przede wszystkim, brak wydania przez sąd postanowienia o przedłużeniu pobytu </w:t>
      </w:r>
      <w:r w:rsidRPr="00EE75F6">
        <w:rPr>
          <w:bCs/>
          <w:highlight w:val="white"/>
          <w:lang w:val="pl-PL"/>
        </w:rPr>
        <w:lastRenderedPageBreak/>
        <w:t xml:space="preserve">nieletniego w schronisku, po skierowaniu sprawy na rozprawę do rozpoznania w postępowaniu naprawczym skutkował tym, że takie przedłużenie nie podlegało zaskarżeniu. Ponadto, postanowienie sądu o skierowaniu sprawy na rozprawę nie określało długości pobytu nieletniego w schronisku dla nieletnich. </w:t>
      </w:r>
    </w:p>
    <w:p w:rsidR="00EE75F6" w:rsidRPr="00EE75F6" w:rsidRDefault="00A032B5" w:rsidP="00EE75F6">
      <w:pPr>
        <w:tabs>
          <w:tab w:val="left" w:pos="426"/>
          <w:tab w:val="left" w:pos="720"/>
        </w:tabs>
        <w:autoSpaceDE w:val="0"/>
        <w:autoSpaceDN w:val="0"/>
        <w:adjustRightInd w:val="0"/>
        <w:spacing w:line="276" w:lineRule="auto"/>
        <w:ind w:firstLine="284"/>
        <w:rPr>
          <w:bCs/>
          <w:highlight w:val="white"/>
          <w:lang w:val="pl-PL"/>
        </w:rPr>
      </w:pPr>
      <w:r>
        <w:rPr>
          <w:bCs/>
          <w:highlight w:val="white"/>
          <w:lang w:val="pl-PL"/>
        </w:rPr>
        <w:t>30. Rzecznik P</w:t>
      </w:r>
      <w:r w:rsidR="00EE75F6" w:rsidRPr="00EE75F6">
        <w:rPr>
          <w:bCs/>
          <w:highlight w:val="white"/>
          <w:lang w:val="pl-PL"/>
        </w:rPr>
        <w:t xml:space="preserve">raw Obywatelskich podkreśliła, że umieszczenie nieletniego w schronisku dla nieletnich polega na pozbawieniu wolności. Wskazała także, że brak precyzyjnych przepisów na gruncie ustawy o postępowaniu w sprawach nieletnich, prowadzący do rozbieżnej wykładni przez sądy, nie może pozbawiać nieletnich ochrony praw przysługujących im na </w:t>
      </w:r>
      <w:r>
        <w:rPr>
          <w:bCs/>
          <w:highlight w:val="white"/>
          <w:lang w:val="pl-PL"/>
        </w:rPr>
        <w:t>gruncie Konstytucji. Rzecznik P</w:t>
      </w:r>
      <w:r w:rsidR="00EE75F6" w:rsidRPr="00EE75F6">
        <w:rPr>
          <w:bCs/>
          <w:highlight w:val="white"/>
          <w:lang w:val="pl-PL"/>
        </w:rPr>
        <w:t xml:space="preserve">raw Obywatelskich wniosła do Ministra o rozważenie dokonania nowelizacji przepisu art. 27 ustawy o postępowaniu w sprawach nieletnich, która mogłaby rozwiązać sygnalizowany problem. </w:t>
      </w:r>
    </w:p>
    <w:p w:rsidR="00EE75F6" w:rsidRPr="00EE75F6" w:rsidRDefault="00EE75F6" w:rsidP="00EE75F6">
      <w:pPr>
        <w:tabs>
          <w:tab w:val="left" w:pos="426"/>
          <w:tab w:val="left" w:pos="720"/>
        </w:tabs>
        <w:autoSpaceDE w:val="0"/>
        <w:autoSpaceDN w:val="0"/>
        <w:adjustRightInd w:val="0"/>
        <w:spacing w:line="276" w:lineRule="auto"/>
        <w:ind w:firstLine="284"/>
        <w:rPr>
          <w:bCs/>
          <w:highlight w:val="white"/>
          <w:lang w:val="pl-PL"/>
        </w:rPr>
      </w:pPr>
      <w:r w:rsidRPr="00EE75F6">
        <w:rPr>
          <w:bCs/>
          <w:highlight w:val="white"/>
          <w:lang w:val="pl-PL"/>
        </w:rPr>
        <w:t>31. W odpowiedzi z dnia 22 lipca 2013 r. Minister Sprawiedliwości zgodził się z poglądem Rzecznika Praw Obywatelskich, że art. 27 ustawy o postępowaniu w sprawach nieletnich w swoim obecnym brzmieniu nie chroni w wystarczającym stopniu praw nieletniego przed arbitralnym działaniem sądu w sytuacji skierowania sprawy nieletniego do rozpoznania w postępowaniu poprawczym. Umieszczenie w schronisku dla nieletnich jest pozbawieniem wolności. Każdorazowe przedłużenie okresu pobytu ponad okres wynikający z postanowienia o jego zastosowaniu powinno być przedmiotem orzeczenia sądu rodzinnego. Minister poinformował Rzecznika, że podejmie prace legislacyjne w celu rozwiązania poruszonego problemu</w:t>
      </w:r>
      <w:r w:rsidRPr="00EE75F6">
        <w:rPr>
          <w:rStyle w:val="Odwoanieprzypisudolnego"/>
          <w:bCs/>
          <w:highlight w:val="white"/>
          <w:lang w:val="pl-PL"/>
        </w:rPr>
        <w:footnoteReference w:id="1"/>
      </w:r>
      <w:r w:rsidRPr="00EE75F6">
        <w:rPr>
          <w:bCs/>
          <w:highlight w:val="white"/>
          <w:lang w:val="pl-PL"/>
        </w:rPr>
        <w:t xml:space="preserve">. </w:t>
      </w:r>
    </w:p>
    <w:p w:rsidR="00EE75F6" w:rsidRPr="00EE75F6" w:rsidRDefault="00EE75F6" w:rsidP="00EE75F6">
      <w:pPr>
        <w:tabs>
          <w:tab w:val="left" w:pos="426"/>
          <w:tab w:val="left" w:pos="720"/>
        </w:tabs>
        <w:autoSpaceDE w:val="0"/>
        <w:autoSpaceDN w:val="0"/>
        <w:adjustRightInd w:val="0"/>
        <w:spacing w:line="276" w:lineRule="auto"/>
        <w:ind w:firstLine="180"/>
        <w:rPr>
          <w:bCs/>
          <w:highlight w:val="white"/>
          <w:lang w:val="pl-PL"/>
        </w:rPr>
      </w:pPr>
    </w:p>
    <w:p w:rsidR="00EE75F6" w:rsidRPr="00EE75F6" w:rsidRDefault="00EE75F6" w:rsidP="00EE75F6">
      <w:pPr>
        <w:tabs>
          <w:tab w:val="left" w:pos="426"/>
          <w:tab w:val="left" w:pos="720"/>
        </w:tabs>
        <w:autoSpaceDE w:val="0"/>
        <w:autoSpaceDN w:val="0"/>
        <w:adjustRightInd w:val="0"/>
        <w:spacing w:line="276" w:lineRule="auto"/>
        <w:ind w:firstLine="180"/>
        <w:rPr>
          <w:bCs/>
          <w:highlight w:val="white"/>
          <w:lang w:val="pl-PL"/>
        </w:rPr>
      </w:pPr>
    </w:p>
    <w:p w:rsidR="00EE75F6" w:rsidRPr="00EE75F6" w:rsidRDefault="00EE75F6" w:rsidP="00EE75F6">
      <w:pPr>
        <w:tabs>
          <w:tab w:val="left" w:pos="426"/>
        </w:tabs>
        <w:autoSpaceDE w:val="0"/>
        <w:autoSpaceDN w:val="0"/>
        <w:adjustRightInd w:val="0"/>
        <w:spacing w:line="276" w:lineRule="auto"/>
        <w:rPr>
          <w:b/>
          <w:bCs/>
          <w:highlight w:val="white"/>
          <w:lang w:val="pl-PL"/>
        </w:rPr>
      </w:pPr>
      <w:r w:rsidRPr="00EE75F6">
        <w:rPr>
          <w:b/>
          <w:bCs/>
          <w:highlight w:val="white"/>
          <w:lang w:val="pl-PL"/>
        </w:rPr>
        <w:t xml:space="preserve">B. Konwencja o prawach dziecka </w:t>
      </w:r>
    </w:p>
    <w:p w:rsidR="00EE75F6" w:rsidRPr="00EE75F6" w:rsidRDefault="00EE75F6" w:rsidP="00EE75F6">
      <w:pPr>
        <w:tabs>
          <w:tab w:val="left" w:pos="426"/>
        </w:tabs>
        <w:autoSpaceDE w:val="0"/>
        <w:autoSpaceDN w:val="0"/>
        <w:adjustRightInd w:val="0"/>
        <w:spacing w:line="276" w:lineRule="auto"/>
        <w:rPr>
          <w:b/>
          <w:bCs/>
          <w:highlight w:val="white"/>
          <w:lang w:val="pl-PL"/>
        </w:rPr>
      </w:pPr>
    </w:p>
    <w:p w:rsidR="00EE75F6" w:rsidRPr="00EE75F6" w:rsidRDefault="00EE75F6" w:rsidP="00EE75F6">
      <w:pPr>
        <w:tabs>
          <w:tab w:val="left" w:pos="426"/>
        </w:tabs>
        <w:autoSpaceDE w:val="0"/>
        <w:autoSpaceDN w:val="0"/>
        <w:adjustRightInd w:val="0"/>
        <w:spacing w:line="276" w:lineRule="auto"/>
        <w:ind w:firstLine="284"/>
        <w:rPr>
          <w:bCs/>
          <w:highlight w:val="white"/>
          <w:lang w:val="pl-PL"/>
        </w:rPr>
      </w:pPr>
      <w:r w:rsidRPr="00EE75F6">
        <w:rPr>
          <w:bCs/>
          <w:highlight w:val="white"/>
          <w:lang w:val="pl-PL"/>
        </w:rPr>
        <w:t xml:space="preserve">32. Art. 37 Konwencji o prawach dziecka, w istotnym zakresie, stanowi, co następuje: </w:t>
      </w:r>
    </w:p>
    <w:p w:rsidR="00EE75F6" w:rsidRPr="00EE75F6" w:rsidRDefault="00EE75F6" w:rsidP="00EE75F6">
      <w:pPr>
        <w:tabs>
          <w:tab w:val="left" w:pos="426"/>
        </w:tabs>
        <w:autoSpaceDE w:val="0"/>
        <w:autoSpaceDN w:val="0"/>
        <w:adjustRightInd w:val="0"/>
        <w:spacing w:line="276" w:lineRule="auto"/>
        <w:ind w:firstLine="180"/>
        <w:rPr>
          <w:bCs/>
          <w:highlight w:val="white"/>
          <w:lang w:val="pl-PL"/>
        </w:rPr>
      </w:pPr>
    </w:p>
    <w:p w:rsidR="00EE75F6" w:rsidRPr="00EE75F6" w:rsidRDefault="00EE75F6" w:rsidP="00EE75F6">
      <w:pPr>
        <w:tabs>
          <w:tab w:val="left" w:pos="426"/>
        </w:tabs>
        <w:autoSpaceDE w:val="0"/>
        <w:autoSpaceDN w:val="0"/>
        <w:adjustRightInd w:val="0"/>
        <w:spacing w:line="276" w:lineRule="auto"/>
        <w:ind w:firstLine="180"/>
        <w:rPr>
          <w:sz w:val="20"/>
          <w:szCs w:val="20"/>
          <w:shd w:val="clear" w:color="auto" w:fill="FFFFFF"/>
          <w:lang w:val="pl-PL"/>
        </w:rPr>
      </w:pPr>
      <w:r w:rsidRPr="00EE75F6">
        <w:rPr>
          <w:color w:val="333333"/>
          <w:sz w:val="20"/>
          <w:szCs w:val="20"/>
          <w:shd w:val="clear" w:color="auto" w:fill="FFFFFF"/>
          <w:lang w:val="pl-PL"/>
        </w:rPr>
        <w:tab/>
      </w:r>
      <w:r w:rsidRPr="00EE75F6">
        <w:rPr>
          <w:color w:val="333333"/>
          <w:sz w:val="20"/>
          <w:szCs w:val="20"/>
          <w:shd w:val="clear" w:color="auto" w:fill="FFFFFF"/>
          <w:lang w:val="pl-PL"/>
        </w:rPr>
        <w:tab/>
      </w:r>
      <w:r w:rsidRPr="00EE75F6">
        <w:rPr>
          <w:sz w:val="20"/>
          <w:szCs w:val="20"/>
          <w:shd w:val="clear" w:color="auto" w:fill="FFFFFF"/>
          <w:lang w:val="pl-PL"/>
        </w:rPr>
        <w:t>"Państwa-Strony zapewnią, aby</w:t>
      </w:r>
    </w:p>
    <w:p w:rsidR="00EE75F6" w:rsidRPr="00EE75F6" w:rsidRDefault="00EE75F6" w:rsidP="00016468">
      <w:pPr>
        <w:shd w:val="clear" w:color="auto" w:fill="FFFFFF"/>
        <w:spacing w:before="100" w:beforeAutospacing="1" w:after="100" w:afterAutospacing="1" w:line="300" w:lineRule="atLeast"/>
        <w:ind w:left="426" w:firstLine="141"/>
        <w:rPr>
          <w:sz w:val="20"/>
          <w:szCs w:val="20"/>
          <w:lang w:val="pl-PL"/>
        </w:rPr>
      </w:pPr>
      <w:r w:rsidRPr="00EE75F6">
        <w:rPr>
          <w:sz w:val="20"/>
          <w:szCs w:val="20"/>
          <w:lang w:val="pl-PL"/>
        </w:rPr>
        <w:t xml:space="preserve">(b) żadne dziecko nie zostało pozbawione wolności w sposób bezprawny lub arbitralny. Aresztowanie, zatrzymanie lub uwięzienie dziecka powinno być zgodne z </w:t>
      </w:r>
      <w:r w:rsidRPr="00EE75F6">
        <w:rPr>
          <w:sz w:val="20"/>
          <w:szCs w:val="20"/>
          <w:lang w:val="pl-PL"/>
        </w:rPr>
        <w:lastRenderedPageBreak/>
        <w:t>prawem i może być zastosowane jedynie jako środek ostateczny i na możliwie najkrótszy czas;</w:t>
      </w:r>
    </w:p>
    <w:p w:rsidR="00EE75F6" w:rsidRPr="00EE75F6" w:rsidRDefault="00EE75F6" w:rsidP="00EE75F6">
      <w:pPr>
        <w:shd w:val="clear" w:color="auto" w:fill="FFFFFF"/>
        <w:spacing w:before="100" w:beforeAutospacing="1" w:after="100" w:afterAutospacing="1" w:line="300" w:lineRule="atLeast"/>
        <w:ind w:left="15"/>
        <w:rPr>
          <w:sz w:val="20"/>
          <w:szCs w:val="20"/>
          <w:lang w:val="pl-PL"/>
        </w:rPr>
      </w:pPr>
      <w:r w:rsidRPr="00EE75F6">
        <w:rPr>
          <w:sz w:val="20"/>
          <w:szCs w:val="20"/>
          <w:lang w:val="pl-PL"/>
        </w:rPr>
        <w:tab/>
        <w:t>...</w:t>
      </w:r>
    </w:p>
    <w:p w:rsidR="00EE75F6" w:rsidRPr="00EE75F6" w:rsidRDefault="00EE75F6" w:rsidP="00016468">
      <w:pPr>
        <w:shd w:val="clear" w:color="auto" w:fill="FFFFFF"/>
        <w:spacing w:before="100" w:beforeAutospacing="1" w:after="100" w:afterAutospacing="1" w:line="300" w:lineRule="atLeast"/>
        <w:ind w:left="426" w:firstLine="141"/>
        <w:rPr>
          <w:color w:val="333333"/>
          <w:sz w:val="20"/>
          <w:szCs w:val="20"/>
          <w:shd w:val="clear" w:color="auto" w:fill="FFFFFF"/>
          <w:lang w:val="pl-PL"/>
        </w:rPr>
      </w:pPr>
      <w:r w:rsidRPr="00EE75F6">
        <w:rPr>
          <w:sz w:val="20"/>
          <w:szCs w:val="20"/>
          <w:shd w:val="clear" w:color="auto" w:fill="FFFFFF"/>
          <w:lang w:val="pl-PL"/>
        </w:rPr>
        <w:tab/>
        <w:t xml:space="preserve">(d) każde dziecko pozbawione wolności miało prawo do uzyskania niezwłocznego dostępu do </w:t>
      </w:r>
      <w:r w:rsidRPr="00EE75F6">
        <w:rPr>
          <w:sz w:val="20"/>
          <w:szCs w:val="20"/>
          <w:shd w:val="clear" w:color="auto" w:fill="FFFFFF"/>
          <w:lang w:val="pl-PL"/>
        </w:rPr>
        <w:tab/>
        <w:t>prawnej lub innej odpowiedzialnej pomocy, jak również praw</w:t>
      </w:r>
      <w:r w:rsidR="002E3C5D">
        <w:rPr>
          <w:sz w:val="20"/>
          <w:szCs w:val="20"/>
          <w:shd w:val="clear" w:color="auto" w:fill="FFFFFF"/>
          <w:lang w:val="pl-PL"/>
        </w:rPr>
        <w:t xml:space="preserve">o do kwestionowania legalności </w:t>
      </w:r>
      <w:r w:rsidRPr="00EE75F6">
        <w:rPr>
          <w:sz w:val="20"/>
          <w:szCs w:val="20"/>
          <w:shd w:val="clear" w:color="auto" w:fill="FFFFFF"/>
          <w:lang w:val="pl-PL"/>
        </w:rPr>
        <w:t>pozbawienia go wolności przed sądem lub inną kompetentną, niezawisłą i bezstronn</w:t>
      </w:r>
      <w:r w:rsidR="002E3C5D">
        <w:rPr>
          <w:sz w:val="20"/>
          <w:szCs w:val="20"/>
          <w:shd w:val="clear" w:color="auto" w:fill="FFFFFF"/>
          <w:lang w:val="pl-PL"/>
        </w:rPr>
        <w:t xml:space="preserve">ą władzą oraz </w:t>
      </w:r>
      <w:r w:rsidRPr="00EE75F6">
        <w:rPr>
          <w:sz w:val="20"/>
          <w:szCs w:val="20"/>
          <w:shd w:val="clear" w:color="auto" w:fill="FFFFFF"/>
          <w:lang w:val="pl-PL"/>
        </w:rPr>
        <w:t>domagania się uzyskania szybkiej decyzji w tej</w:t>
      </w:r>
      <w:r w:rsidRPr="00EE75F6">
        <w:rPr>
          <w:color w:val="333333"/>
          <w:sz w:val="20"/>
          <w:szCs w:val="20"/>
          <w:shd w:val="clear" w:color="auto" w:fill="FFFFFF"/>
          <w:lang w:val="pl-PL"/>
        </w:rPr>
        <w:t xml:space="preserve"> sprawie."</w:t>
      </w:r>
    </w:p>
    <w:p w:rsidR="00EE75F6" w:rsidRPr="00EE75F6" w:rsidRDefault="00EE75F6" w:rsidP="00EE75F6">
      <w:pPr>
        <w:shd w:val="clear" w:color="auto" w:fill="FFFFFF"/>
        <w:spacing w:before="100" w:beforeAutospacing="1" w:after="100" w:afterAutospacing="1" w:line="300" w:lineRule="atLeast"/>
        <w:ind w:left="15"/>
        <w:rPr>
          <w:color w:val="333333"/>
          <w:sz w:val="20"/>
          <w:szCs w:val="20"/>
          <w:lang w:val="pl-PL"/>
        </w:rPr>
      </w:pPr>
    </w:p>
    <w:p w:rsidR="00EE75F6" w:rsidRPr="00EE75F6" w:rsidRDefault="00EE75F6" w:rsidP="00EE75F6">
      <w:pPr>
        <w:tabs>
          <w:tab w:val="left" w:pos="284"/>
        </w:tabs>
        <w:autoSpaceDE w:val="0"/>
        <w:autoSpaceDN w:val="0"/>
        <w:adjustRightInd w:val="0"/>
        <w:spacing w:line="276" w:lineRule="auto"/>
        <w:rPr>
          <w:bCs/>
          <w:sz w:val="28"/>
          <w:szCs w:val="28"/>
          <w:lang w:val="pl-PL"/>
        </w:rPr>
      </w:pPr>
      <w:r w:rsidRPr="00EE75F6">
        <w:rPr>
          <w:bCs/>
          <w:sz w:val="28"/>
          <w:szCs w:val="28"/>
          <w:lang w:val="pl-PL"/>
        </w:rPr>
        <w:t xml:space="preserve">PRAWO </w:t>
      </w:r>
    </w:p>
    <w:p w:rsidR="00EE75F6" w:rsidRPr="00EE75F6" w:rsidRDefault="00EE75F6" w:rsidP="00EE75F6">
      <w:pPr>
        <w:tabs>
          <w:tab w:val="right" w:pos="284"/>
          <w:tab w:val="left" w:pos="426"/>
        </w:tabs>
        <w:autoSpaceDE w:val="0"/>
        <w:autoSpaceDN w:val="0"/>
        <w:adjustRightInd w:val="0"/>
        <w:spacing w:line="276" w:lineRule="auto"/>
        <w:ind w:left="408" w:firstLine="18"/>
        <w:rPr>
          <w:lang w:val="pl-PL"/>
        </w:rPr>
      </w:pPr>
    </w:p>
    <w:p w:rsidR="00EE75F6" w:rsidRPr="00EE75F6" w:rsidRDefault="00EE75F6" w:rsidP="00EE75F6">
      <w:pPr>
        <w:tabs>
          <w:tab w:val="left" w:pos="0"/>
          <w:tab w:val="right" w:pos="284"/>
        </w:tabs>
        <w:autoSpaceDE w:val="0"/>
        <w:autoSpaceDN w:val="0"/>
        <w:adjustRightInd w:val="0"/>
        <w:spacing w:line="276" w:lineRule="auto"/>
        <w:rPr>
          <w:lang w:val="pl-PL"/>
        </w:rPr>
      </w:pPr>
      <w:r w:rsidRPr="00EE75F6">
        <w:rPr>
          <w:lang w:val="pl-PL"/>
        </w:rPr>
        <w:t xml:space="preserve">I. ZARZUT NARUSZENIA ART. 5 UST. 1 KONWENCJI </w:t>
      </w:r>
    </w:p>
    <w:p w:rsidR="00EE75F6" w:rsidRPr="00EE75F6" w:rsidRDefault="00EE75F6" w:rsidP="00EE75F6">
      <w:pPr>
        <w:shd w:val="clear" w:color="auto" w:fill="FFFFFF"/>
        <w:spacing w:before="100" w:beforeAutospacing="1" w:after="100" w:afterAutospacing="1" w:line="300" w:lineRule="atLeast"/>
        <w:ind w:left="15" w:firstLine="269"/>
        <w:rPr>
          <w:color w:val="333333"/>
          <w:lang w:val="pl-PL"/>
        </w:rPr>
      </w:pPr>
      <w:r w:rsidRPr="00EE75F6">
        <w:rPr>
          <w:color w:val="333333"/>
          <w:lang w:val="pl-PL"/>
        </w:rPr>
        <w:t xml:space="preserve">33. Skarżący zarzucił, że w okresie po 7 sierpnia 2012 r. był pozbawiony wolności nie na podstawie wyroku sądu. Skargę oparł na art. 5 ust. 1 pkt d) Konwencji, który stanowi, co następuje: </w:t>
      </w:r>
    </w:p>
    <w:p w:rsidR="00EE75F6" w:rsidRPr="00EE75F6" w:rsidRDefault="00EE75F6" w:rsidP="00016468">
      <w:pPr>
        <w:shd w:val="clear" w:color="auto" w:fill="FFFFFF"/>
        <w:spacing w:before="100" w:beforeAutospacing="1" w:after="100" w:afterAutospacing="1" w:line="300" w:lineRule="atLeast"/>
        <w:ind w:left="426" w:firstLine="141"/>
        <w:rPr>
          <w:sz w:val="20"/>
          <w:szCs w:val="20"/>
          <w:lang w:val="pl-PL"/>
        </w:rPr>
      </w:pPr>
      <w:r w:rsidRPr="00EE75F6">
        <w:rPr>
          <w:color w:val="333333"/>
          <w:sz w:val="20"/>
          <w:szCs w:val="20"/>
          <w:lang w:val="pl-PL"/>
        </w:rPr>
        <w:t xml:space="preserve">"1. </w:t>
      </w:r>
      <w:r w:rsidRPr="00EE75F6">
        <w:rPr>
          <w:sz w:val="20"/>
          <w:szCs w:val="20"/>
          <w:lang w:val="pl-PL"/>
        </w:rPr>
        <w:t xml:space="preserve">Każdy ma prawo do wolności i bezpieczeństwa osobistego. Nikt nie może być pozbawiony wolności, z wyjątkiem następujących przypadków i w trybie ustalonym przez prawo: </w:t>
      </w:r>
    </w:p>
    <w:p w:rsidR="00EE75F6" w:rsidRPr="00EE75F6" w:rsidRDefault="00EE75F6" w:rsidP="00EE75F6">
      <w:pPr>
        <w:shd w:val="clear" w:color="auto" w:fill="FFFFFF"/>
        <w:spacing w:before="100" w:beforeAutospacing="1" w:after="100" w:afterAutospacing="1" w:line="300" w:lineRule="atLeast"/>
        <w:ind w:left="15" w:firstLine="525"/>
        <w:rPr>
          <w:sz w:val="20"/>
          <w:szCs w:val="20"/>
          <w:lang w:val="pl-PL"/>
        </w:rPr>
      </w:pPr>
      <w:r w:rsidRPr="00EE75F6">
        <w:rPr>
          <w:sz w:val="20"/>
          <w:szCs w:val="20"/>
          <w:lang w:val="pl-PL"/>
        </w:rPr>
        <w:t>...</w:t>
      </w:r>
    </w:p>
    <w:p w:rsidR="00EE75F6" w:rsidRPr="00EE75F6" w:rsidRDefault="00EE75F6" w:rsidP="00016468">
      <w:pPr>
        <w:shd w:val="clear" w:color="auto" w:fill="FFFFFF"/>
        <w:spacing w:before="100" w:beforeAutospacing="1" w:after="100" w:afterAutospacing="1" w:line="300" w:lineRule="atLeast"/>
        <w:ind w:left="426" w:firstLine="141"/>
        <w:rPr>
          <w:sz w:val="20"/>
          <w:szCs w:val="20"/>
          <w:lang w:val="pl-PL"/>
        </w:rPr>
      </w:pPr>
      <w:r w:rsidRPr="00EE75F6">
        <w:rPr>
          <w:sz w:val="20"/>
          <w:szCs w:val="20"/>
          <w:lang w:val="pl-PL"/>
        </w:rPr>
        <w:t>d) pozbawienia nieletniego wolności na podstawie zgodnego z prawem orzeczenia w celu ustanowienia nadzoru wychowawczego lub zgodnego z prawem pozbawienia nieletniego wolności w celu postawienia go przed właściwym organem;"</w:t>
      </w:r>
    </w:p>
    <w:p w:rsidR="00EE75F6" w:rsidRPr="00EE75F6" w:rsidRDefault="00EE75F6" w:rsidP="00EE75F6">
      <w:pPr>
        <w:tabs>
          <w:tab w:val="left" w:pos="0"/>
          <w:tab w:val="right" w:pos="284"/>
        </w:tabs>
        <w:autoSpaceDE w:val="0"/>
        <w:autoSpaceDN w:val="0"/>
        <w:adjustRightInd w:val="0"/>
        <w:spacing w:line="276" w:lineRule="auto"/>
        <w:rPr>
          <w:b/>
          <w:bCs/>
          <w:lang w:val="pl-PL"/>
        </w:rPr>
      </w:pPr>
      <w:r w:rsidRPr="00EE75F6">
        <w:rPr>
          <w:b/>
          <w:bCs/>
          <w:lang w:val="pl-PL"/>
        </w:rPr>
        <w:t xml:space="preserve">A. Dopuszczalność </w:t>
      </w:r>
    </w:p>
    <w:p w:rsidR="00EE75F6" w:rsidRPr="00EE75F6" w:rsidRDefault="00EE75F6" w:rsidP="00EE75F6">
      <w:pPr>
        <w:shd w:val="clear" w:color="auto" w:fill="FFFFFF"/>
        <w:spacing w:before="100" w:beforeAutospacing="1" w:after="100" w:afterAutospacing="1" w:line="300" w:lineRule="atLeast"/>
        <w:ind w:firstLine="284"/>
        <w:rPr>
          <w:lang w:val="pl-PL"/>
        </w:rPr>
      </w:pPr>
      <w:r w:rsidRPr="00EE75F6">
        <w:rPr>
          <w:lang w:val="pl-PL"/>
        </w:rPr>
        <w:t>34. Trybunał stwierdza, że skarga nie jest w sposób oczywisty nieuzasadniona w rozumieniu art. 35 ust. 3 lit. a) Konwencji, nie jest również niedopuszczalna z innych przyczyn. W związku z powyższym musi zostać uznana za dopuszczalną.</w:t>
      </w:r>
    </w:p>
    <w:p w:rsidR="00EE75F6" w:rsidRPr="00EE75F6" w:rsidRDefault="00EE75F6" w:rsidP="00EE75F6">
      <w:pPr>
        <w:tabs>
          <w:tab w:val="left" w:pos="0"/>
          <w:tab w:val="right" w:pos="284"/>
        </w:tabs>
        <w:autoSpaceDE w:val="0"/>
        <w:autoSpaceDN w:val="0"/>
        <w:adjustRightInd w:val="0"/>
        <w:spacing w:line="276" w:lineRule="auto"/>
        <w:rPr>
          <w:b/>
          <w:lang w:val="pl-PL"/>
        </w:rPr>
      </w:pPr>
      <w:r w:rsidRPr="00EE75F6">
        <w:rPr>
          <w:b/>
          <w:lang w:val="pl-PL"/>
        </w:rPr>
        <w:t xml:space="preserve">B. Meritum skargi </w:t>
      </w:r>
    </w:p>
    <w:p w:rsidR="00EE75F6" w:rsidRPr="00EE75F6" w:rsidRDefault="00EE75F6" w:rsidP="00EE75F6">
      <w:pPr>
        <w:tabs>
          <w:tab w:val="left" w:pos="0"/>
          <w:tab w:val="right" w:pos="284"/>
        </w:tabs>
        <w:autoSpaceDE w:val="0"/>
        <w:autoSpaceDN w:val="0"/>
        <w:adjustRightInd w:val="0"/>
        <w:spacing w:line="276" w:lineRule="auto"/>
        <w:rPr>
          <w:b/>
          <w:lang w:val="pl-PL"/>
        </w:rPr>
      </w:pPr>
    </w:p>
    <w:p w:rsidR="00EE75F6" w:rsidRPr="00EE75F6" w:rsidRDefault="00EE75F6" w:rsidP="00EE75F6">
      <w:pPr>
        <w:tabs>
          <w:tab w:val="left" w:pos="0"/>
          <w:tab w:val="right" w:pos="284"/>
        </w:tabs>
        <w:autoSpaceDE w:val="0"/>
        <w:autoSpaceDN w:val="0"/>
        <w:adjustRightInd w:val="0"/>
        <w:spacing w:line="276" w:lineRule="auto"/>
        <w:rPr>
          <w:i/>
          <w:lang w:val="pl-PL"/>
        </w:rPr>
      </w:pPr>
      <w:r w:rsidRPr="00EE75F6">
        <w:rPr>
          <w:i/>
          <w:lang w:val="pl-PL"/>
        </w:rPr>
        <w:tab/>
      </w:r>
      <w:r w:rsidRPr="00EE75F6">
        <w:rPr>
          <w:i/>
          <w:lang w:val="pl-PL"/>
        </w:rPr>
        <w:tab/>
        <w:t xml:space="preserve">1. Stanowiska stron </w:t>
      </w:r>
    </w:p>
    <w:p w:rsidR="00EE75F6" w:rsidRPr="00EE75F6" w:rsidRDefault="00EE75F6" w:rsidP="00EE75F6">
      <w:pPr>
        <w:tabs>
          <w:tab w:val="left" w:pos="0"/>
          <w:tab w:val="right" w:pos="284"/>
        </w:tabs>
        <w:autoSpaceDE w:val="0"/>
        <w:autoSpaceDN w:val="0"/>
        <w:adjustRightInd w:val="0"/>
        <w:spacing w:line="276" w:lineRule="auto"/>
        <w:rPr>
          <w:b/>
          <w:lang w:val="pl-PL"/>
        </w:rPr>
      </w:pP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lang w:val="pl-PL"/>
        </w:rPr>
        <w:t xml:space="preserve">35. Skarżący podtrzymał swoją skargę. </w:t>
      </w: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lang w:val="pl-PL"/>
        </w:rPr>
        <w:t xml:space="preserve">36. Rząd, po zapoznaniu się ze stanem faktycznym i prawnym wskazanym w skardze, postanowił nie zajmować stanowiska odnośnie meritum skargi, mając na uwadze orzecznictwo Trybunału w sprawach odnoszących się do art. 5 Konwencji. </w:t>
      </w:r>
    </w:p>
    <w:p w:rsidR="00EE75F6" w:rsidRPr="00EE75F6" w:rsidRDefault="00EE75F6" w:rsidP="00EE75F6">
      <w:pPr>
        <w:tabs>
          <w:tab w:val="left" w:pos="0"/>
          <w:tab w:val="right" w:pos="284"/>
        </w:tabs>
        <w:autoSpaceDE w:val="0"/>
        <w:autoSpaceDN w:val="0"/>
        <w:adjustRightInd w:val="0"/>
        <w:spacing w:line="276" w:lineRule="auto"/>
        <w:ind w:firstLine="180"/>
        <w:rPr>
          <w:lang w:val="pl-PL"/>
        </w:rPr>
      </w:pPr>
    </w:p>
    <w:p w:rsidR="00EE75F6" w:rsidRPr="00EE75F6" w:rsidRDefault="00EE75F6" w:rsidP="00EE75F6">
      <w:pPr>
        <w:tabs>
          <w:tab w:val="left" w:pos="0"/>
          <w:tab w:val="right" w:pos="284"/>
        </w:tabs>
        <w:autoSpaceDE w:val="0"/>
        <w:autoSpaceDN w:val="0"/>
        <w:adjustRightInd w:val="0"/>
        <w:spacing w:line="276" w:lineRule="auto"/>
        <w:ind w:firstLine="180"/>
        <w:rPr>
          <w:i/>
          <w:lang w:val="pl-PL"/>
        </w:rPr>
      </w:pPr>
      <w:r w:rsidRPr="00EE75F6">
        <w:rPr>
          <w:i/>
          <w:lang w:val="pl-PL"/>
        </w:rPr>
        <w:tab/>
      </w:r>
      <w:r w:rsidRPr="00EE75F6">
        <w:rPr>
          <w:i/>
          <w:lang w:val="pl-PL"/>
        </w:rPr>
        <w:tab/>
        <w:t xml:space="preserve">2. Uwagi </w:t>
      </w:r>
      <w:r w:rsidR="00465662">
        <w:rPr>
          <w:i/>
          <w:lang w:val="pl-PL"/>
        </w:rPr>
        <w:t>pisemne</w:t>
      </w:r>
      <w:r w:rsidRPr="00EE75F6">
        <w:rPr>
          <w:i/>
          <w:lang w:val="pl-PL"/>
        </w:rPr>
        <w:t xml:space="preserve"> strony trzeciej </w:t>
      </w:r>
    </w:p>
    <w:p w:rsidR="00EE75F6" w:rsidRPr="00EE75F6" w:rsidRDefault="00EE75F6" w:rsidP="00EE75F6">
      <w:pPr>
        <w:tabs>
          <w:tab w:val="left" w:pos="0"/>
          <w:tab w:val="right" w:pos="284"/>
        </w:tabs>
        <w:autoSpaceDE w:val="0"/>
        <w:autoSpaceDN w:val="0"/>
        <w:adjustRightInd w:val="0"/>
        <w:spacing w:line="276" w:lineRule="auto"/>
        <w:ind w:firstLine="180"/>
        <w:rPr>
          <w:lang w:val="pl-PL"/>
        </w:rPr>
      </w:pP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lang w:val="pl-PL"/>
        </w:rPr>
        <w:t xml:space="preserve">37. W pierwszej kolejności, Helsińska Fundacja Praw Człowieka odwołała się </w:t>
      </w:r>
      <w:r w:rsidR="002E3C5D">
        <w:rPr>
          <w:lang w:val="pl-PL"/>
        </w:rPr>
        <w:t xml:space="preserve">do </w:t>
      </w:r>
      <w:r w:rsidRPr="00EE75F6">
        <w:rPr>
          <w:lang w:val="pl-PL"/>
        </w:rPr>
        <w:t xml:space="preserve">standardów międzynarodowych. Zwróciła ona uwagę, że zgodnie z art. 37 Konwencji o prawach dziecka, żadne dziecko nie może zostać pozbawione wolności w sposób bezprawny lub arbitralny. Ponadto, każde dziecko pozbawione wolności ma </w:t>
      </w:r>
      <w:r w:rsidRPr="00EE75F6">
        <w:rPr>
          <w:shd w:val="clear" w:color="auto" w:fill="FFFFFF"/>
          <w:lang w:val="pl-PL"/>
        </w:rPr>
        <w:t xml:space="preserve">prawo do podważenia legalności </w:t>
      </w:r>
      <w:r w:rsidRPr="00EE75F6">
        <w:rPr>
          <w:shd w:val="clear" w:color="auto" w:fill="FFFFFF"/>
          <w:lang w:val="pl-PL"/>
        </w:rPr>
        <w:tab/>
        <w:t>pozbawienia go wolności przed sądem lub innym organem. Zgodnie z uwagami końcowymi w stosunku do Polski, przyjętymi przez Komitet Praw Dziecka w 2002 r., Komitet zalecił  m.in., by Polska zapewniła pełną implementację standardów wymiaru sprawiedliwości w sprawach nieletnich, w szczególności w zakresie art. 37, 40 oraz 39 Konwencji, jak również Podstawowych Reguł Minimalnych Narodów Zjednoczonych dla Wymiaru Sprawiedliwości w Sprawach Nieletnich (</w:t>
      </w:r>
      <w:r w:rsidRPr="00EE75F6">
        <w:rPr>
          <w:i/>
          <w:lang w:val="pl-PL"/>
        </w:rPr>
        <w:t xml:space="preserve">United Nations Standard Minimum </w:t>
      </w:r>
      <w:proofErr w:type="spellStart"/>
      <w:r w:rsidRPr="00EE75F6">
        <w:rPr>
          <w:i/>
          <w:lang w:val="pl-PL"/>
        </w:rPr>
        <w:t>Rules</w:t>
      </w:r>
      <w:proofErr w:type="spellEnd"/>
      <w:r w:rsidRPr="00EE75F6">
        <w:rPr>
          <w:i/>
          <w:lang w:val="pl-PL"/>
        </w:rPr>
        <w:t xml:space="preserve"> for the Administration of </w:t>
      </w:r>
      <w:proofErr w:type="spellStart"/>
      <w:r w:rsidRPr="00EE75F6">
        <w:rPr>
          <w:i/>
          <w:lang w:val="pl-PL"/>
        </w:rPr>
        <w:t>Juvenile</w:t>
      </w:r>
      <w:proofErr w:type="spellEnd"/>
      <w:r w:rsidRPr="00EE75F6">
        <w:rPr>
          <w:i/>
          <w:lang w:val="pl-PL"/>
        </w:rPr>
        <w:t xml:space="preserve"> </w:t>
      </w:r>
      <w:proofErr w:type="spellStart"/>
      <w:r w:rsidRPr="00EE75F6">
        <w:rPr>
          <w:i/>
          <w:lang w:val="pl-PL"/>
        </w:rPr>
        <w:t>Justice</w:t>
      </w:r>
      <w:proofErr w:type="spellEnd"/>
      <w:r w:rsidRPr="00EE75F6">
        <w:rPr>
          <w:lang w:val="pl-PL"/>
        </w:rPr>
        <w:t xml:space="preserve">, Reguły Pekińskie). </w:t>
      </w: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lang w:val="pl-PL"/>
        </w:rPr>
        <w:t xml:space="preserve">38. Strona trzecia odwołała się również do Zalecenia </w:t>
      </w:r>
      <w:proofErr w:type="spellStart"/>
      <w:r w:rsidRPr="00EE75F6">
        <w:rPr>
          <w:lang w:val="pl-PL"/>
        </w:rPr>
        <w:t>Rec</w:t>
      </w:r>
      <w:proofErr w:type="spellEnd"/>
      <w:r w:rsidRPr="00EE75F6">
        <w:rPr>
          <w:lang w:val="pl-PL"/>
        </w:rPr>
        <w:t xml:space="preserve"> 2003 (20) Komitetu Ministrów Rady Europy dot. nowych sposobów postępowania odnośnie przestępczości wśród nieletnich oraz roli wymiaru sprawiedliwości w sprawach nieletnich. Zalecenie przewiduje, że okres pozbawienia wolności podejrzanych nieletnich przed rozpoczęciem przewodu sądowego nie powinien przekraczać 6 miesięcy, a jego przedłużenie powinno być możliwe jedynie w szczególnych przypadkach. Tam, gdzie jest to możliwe, w stosunku do nieletnich powinno stosować się środki alternatywne do pozbawienia wolności. </w:t>
      </w: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lang w:val="pl-PL"/>
        </w:rPr>
        <w:t xml:space="preserve">39. Strona trzecia odniosła się również do polskich standardów konstytucyjnych w zakresie pozbawienia wolności, w szczególności do art. 41 [Konstytucji], zawierającemu gwarancję </w:t>
      </w:r>
      <w:proofErr w:type="spellStart"/>
      <w:r w:rsidRPr="00EE75F6">
        <w:rPr>
          <w:i/>
          <w:lang w:val="pl-PL"/>
        </w:rPr>
        <w:t>habeas</w:t>
      </w:r>
      <w:proofErr w:type="spellEnd"/>
      <w:r w:rsidRPr="00EE75F6">
        <w:rPr>
          <w:i/>
          <w:lang w:val="pl-PL"/>
        </w:rPr>
        <w:t xml:space="preserve"> </w:t>
      </w:r>
      <w:proofErr w:type="spellStart"/>
      <w:r w:rsidRPr="00EE75F6">
        <w:rPr>
          <w:i/>
          <w:lang w:val="pl-PL"/>
        </w:rPr>
        <w:t>corpus</w:t>
      </w:r>
      <w:proofErr w:type="spellEnd"/>
      <w:r w:rsidRPr="00EE75F6">
        <w:rPr>
          <w:lang w:val="pl-PL"/>
        </w:rPr>
        <w:t xml:space="preserve">. </w:t>
      </w: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lang w:val="pl-PL"/>
        </w:rPr>
        <w:t xml:space="preserve">40. Strona trzecia dokonała opisu podstawowych właściwości ustawy o postępowaniu w sprawach nieletnich z 1982 r. Wskazała na opinie niektórych ekspertów, z których wynikało, że ustawa nie spełnia założonych </w:t>
      </w:r>
      <w:r w:rsidRPr="00EE75F6">
        <w:rPr>
          <w:lang w:val="pl-PL"/>
        </w:rPr>
        <w:lastRenderedPageBreak/>
        <w:t xml:space="preserve">celów i powinna zostać całkowicie znowelizowana. W odniesieniu do kwestii poruszonych w przedmiotowej sprawie, strona trzecia zwróciła uwagę, że w marcu 2013 r. Rzecznik Praw Dziecka </w:t>
      </w:r>
      <w:r w:rsidR="00BB48D2">
        <w:rPr>
          <w:lang w:val="pl-PL"/>
        </w:rPr>
        <w:t>zwrócił się</w:t>
      </w:r>
      <w:r w:rsidRPr="00EE75F6">
        <w:rPr>
          <w:lang w:val="pl-PL"/>
        </w:rPr>
        <w:t xml:space="preserve"> do Rzecznika Praw Obywatelskich o rozważenie wystąpienia z wnioskiem o zbadanie zgodności z Konstytucją art. 27 § 3 ustawy o postępowaniu w sprawach nieletnich. Rzecznik Praw Obywatelskich, po zapoznaniu się z praktyką sądową w tym zakresie, wystąpił</w:t>
      </w:r>
      <w:r w:rsidR="00BB48D2">
        <w:rPr>
          <w:lang w:val="pl-PL"/>
        </w:rPr>
        <w:t>a</w:t>
      </w:r>
      <w:r w:rsidRPr="00EE75F6">
        <w:rPr>
          <w:lang w:val="pl-PL"/>
        </w:rPr>
        <w:t xml:space="preserve"> do Ministra Sprawiedliwości o rozwiązanie problemu wynikłego w związku z niespójnością wykładni art. 27. </w:t>
      </w: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lang w:val="pl-PL"/>
        </w:rPr>
        <w:t xml:space="preserve">41. Strona trzecia podkreśliła, że umieszczenie nieletniego w schronisku </w:t>
      </w:r>
      <w:r w:rsidR="00F468E9">
        <w:rPr>
          <w:lang w:val="pl-PL"/>
        </w:rPr>
        <w:t xml:space="preserve">dla nieletnich </w:t>
      </w:r>
      <w:r w:rsidRPr="00EE75F6">
        <w:rPr>
          <w:lang w:val="pl-PL"/>
        </w:rPr>
        <w:t xml:space="preserve">było równoznaczne z pozbawieniem wolności przed wszczęciem postępowania sądowego. Pomimo to, ustawa o postępowaniu w sprawach nieletnich nie przewidywała takich gwarancji w stosunku do nieletnich, jakie przysługują oskarżonemu na gruncie Kodeksu postępowania karnego. Szczególnym mankamentem w zakresie stosowania art. 27 § 3 ustawy o postępowaniu w sprawach nieletnich było automatyczne przedłużanie pobytu w schronisku dla nieletnich przy jednoczesnym braku odrębnego orzeczenia sądu w tej kwestii, jak również brak wskazania konkretnego terminu, na który takie pozbawienie wolności następowało. Strona trzecia podniosła, że przypadek skarżącego nie był odosobniony. Zgodnie z danymi Ministerstwa Sprawiedliwości (wg stanu na dzień 27 grudnia 2012 r.), 340 nieletnich umieszczonych w schroniskach dla nieletnich mogło zostać potraktowanych w sposób podobny do tego, w jaki został potraktowany skarżący. W skali roku sądy wszczynały 830 postępowań poprawczych. Strona trzecia podkreśliła, że średni czas trwania postępowania poprawczego wynosił 3,89 miesiąca, jednak przed niektórymi sądami rejonowymi postępowania takie trwały nawet 8 lub 10 miesięcy. </w:t>
      </w:r>
    </w:p>
    <w:p w:rsidR="00EE75F6" w:rsidRPr="00EE75F6" w:rsidRDefault="00EE75F6" w:rsidP="00EE75F6">
      <w:pPr>
        <w:tabs>
          <w:tab w:val="left" w:pos="0"/>
          <w:tab w:val="right" w:pos="284"/>
        </w:tabs>
        <w:autoSpaceDE w:val="0"/>
        <w:autoSpaceDN w:val="0"/>
        <w:adjustRightInd w:val="0"/>
        <w:spacing w:line="276" w:lineRule="auto"/>
        <w:ind w:firstLine="180"/>
        <w:rPr>
          <w:lang w:val="pl-PL"/>
        </w:rPr>
      </w:pPr>
    </w:p>
    <w:p w:rsidR="00EE75F6" w:rsidRPr="00EE75F6" w:rsidRDefault="00EE75F6" w:rsidP="00EE75F6">
      <w:pPr>
        <w:tabs>
          <w:tab w:val="left" w:pos="0"/>
          <w:tab w:val="right" w:pos="284"/>
        </w:tabs>
        <w:autoSpaceDE w:val="0"/>
        <w:autoSpaceDN w:val="0"/>
        <w:adjustRightInd w:val="0"/>
        <w:spacing w:line="276" w:lineRule="auto"/>
        <w:ind w:firstLine="180"/>
        <w:rPr>
          <w:i/>
          <w:lang w:val="pl-PL"/>
        </w:rPr>
      </w:pPr>
      <w:r w:rsidRPr="00EE75F6">
        <w:rPr>
          <w:i/>
          <w:lang w:val="pl-PL"/>
        </w:rPr>
        <w:tab/>
      </w:r>
      <w:r w:rsidRPr="00EE75F6">
        <w:rPr>
          <w:i/>
          <w:lang w:val="pl-PL"/>
        </w:rPr>
        <w:tab/>
        <w:t xml:space="preserve">3. Ocena Trybunału </w:t>
      </w:r>
    </w:p>
    <w:p w:rsidR="00EE75F6" w:rsidRPr="00EE75F6" w:rsidRDefault="00EE75F6" w:rsidP="00EE75F6">
      <w:pPr>
        <w:tabs>
          <w:tab w:val="left" w:pos="0"/>
          <w:tab w:val="right" w:pos="284"/>
        </w:tabs>
        <w:autoSpaceDE w:val="0"/>
        <w:autoSpaceDN w:val="0"/>
        <w:adjustRightInd w:val="0"/>
        <w:spacing w:line="276" w:lineRule="auto"/>
        <w:ind w:firstLine="180"/>
        <w:rPr>
          <w:lang w:val="pl-PL"/>
        </w:rPr>
      </w:pPr>
    </w:p>
    <w:p w:rsidR="00EE75F6" w:rsidRPr="00EE75F6" w:rsidRDefault="00EE75F6" w:rsidP="00EE75F6">
      <w:pPr>
        <w:tabs>
          <w:tab w:val="left" w:pos="0"/>
          <w:tab w:val="right" w:pos="284"/>
        </w:tabs>
        <w:autoSpaceDE w:val="0"/>
        <w:autoSpaceDN w:val="0"/>
        <w:adjustRightInd w:val="0"/>
        <w:spacing w:line="276" w:lineRule="auto"/>
        <w:ind w:firstLine="284"/>
        <w:rPr>
          <w:iCs/>
          <w:spacing w:val="-2"/>
          <w:lang w:val="pl-PL"/>
        </w:rPr>
      </w:pPr>
      <w:r w:rsidRPr="00EE75F6">
        <w:rPr>
          <w:lang w:val="pl-PL"/>
        </w:rPr>
        <w:t xml:space="preserve">42. Trybunał stale podkreśla, że art. 5 Konwencji gwarantuje fundamentalne prawo do wolności i bezpieczeństwa osobistego. Prawo to ma szczególne znaczenie w "społeczeństwie demokratycznym" w rozumieniu Konwencji (zob. m.in. </w:t>
      </w:r>
      <w:proofErr w:type="spellStart"/>
      <w:r w:rsidRPr="00EE75F6">
        <w:rPr>
          <w:i/>
          <w:iCs/>
          <w:spacing w:val="-2"/>
          <w:lang w:val="pl-PL"/>
        </w:rPr>
        <w:t>Winterwerp</w:t>
      </w:r>
      <w:proofErr w:type="spellEnd"/>
      <w:r w:rsidRPr="00EE75F6">
        <w:rPr>
          <w:i/>
          <w:iCs/>
          <w:spacing w:val="-2"/>
          <w:lang w:val="pl-PL"/>
        </w:rPr>
        <w:t xml:space="preserve"> przeciwko Niderlandom</w:t>
      </w:r>
      <w:r w:rsidRPr="00EE75F6">
        <w:rPr>
          <w:iCs/>
          <w:spacing w:val="-2"/>
          <w:lang w:val="pl-PL"/>
        </w:rPr>
        <w:t xml:space="preserve">, 24 października 1979 r., pkt 37, Series A no. 33)). Jego podstawowym celem jest zapobieganie arbitralnemu lub bezpodstawnemu pozbawieniu wolności (zob. </w:t>
      </w:r>
      <w:proofErr w:type="spellStart"/>
      <w:r w:rsidRPr="00EE75F6">
        <w:rPr>
          <w:i/>
          <w:iCs/>
          <w:spacing w:val="-2"/>
          <w:lang w:val="pl-PL"/>
        </w:rPr>
        <w:t>McKay</w:t>
      </w:r>
      <w:proofErr w:type="spellEnd"/>
      <w:r w:rsidRPr="00EE75F6">
        <w:rPr>
          <w:i/>
          <w:iCs/>
          <w:spacing w:val="-2"/>
          <w:lang w:val="pl-PL"/>
        </w:rPr>
        <w:t xml:space="preserve"> przeciwko Wielkiej Brytanii</w:t>
      </w:r>
      <w:r w:rsidRPr="00EE75F6">
        <w:rPr>
          <w:iCs/>
          <w:spacing w:val="-2"/>
          <w:lang w:val="pl-PL"/>
        </w:rPr>
        <w:t xml:space="preserve"> [Wielka Izba], skarga nr 543/03, pkt 30, ECHR 006X). </w:t>
      </w: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iCs/>
          <w:spacing w:val="-2"/>
          <w:lang w:val="pl-PL"/>
        </w:rPr>
        <w:lastRenderedPageBreak/>
        <w:t xml:space="preserve">43. Każdy może korzystać z ochrony tego prawa, tzn. [ma prawo] nie być pozbawionym wolności lub nie doświadczać przedłużającego się pozbawienia wolności (zob. </w:t>
      </w:r>
      <w:proofErr w:type="spellStart"/>
      <w:r w:rsidRPr="00EE75F6">
        <w:rPr>
          <w:i/>
          <w:iCs/>
          <w:spacing w:val="-2"/>
          <w:lang w:val="pl-PL"/>
        </w:rPr>
        <w:t>Weeks</w:t>
      </w:r>
      <w:proofErr w:type="spellEnd"/>
      <w:r w:rsidRPr="00EE75F6">
        <w:rPr>
          <w:i/>
          <w:iCs/>
          <w:spacing w:val="-2"/>
          <w:lang w:val="pl-PL"/>
        </w:rPr>
        <w:t xml:space="preserve"> przeciwko Wielkiej Brytanii</w:t>
      </w:r>
      <w:r w:rsidRPr="00EE75F6">
        <w:rPr>
          <w:iCs/>
          <w:spacing w:val="-2"/>
          <w:lang w:val="pl-PL"/>
        </w:rPr>
        <w:t xml:space="preserve">, 2 marca 1987 r., pkt 40, </w:t>
      </w:r>
      <w:r w:rsidRPr="00EE75F6">
        <w:rPr>
          <w:color w:val="000000"/>
          <w:lang w:val="pl-PL"/>
        </w:rPr>
        <w:t xml:space="preserve">Series A no. 114) </w:t>
      </w:r>
      <w:r w:rsidRPr="00EE75F6">
        <w:rPr>
          <w:iCs/>
          <w:spacing w:val="-2"/>
          <w:lang w:val="pl-PL"/>
        </w:rPr>
        <w:t xml:space="preserve">z wyłączeniem warunków określonych w art. 5 ust. 1 Konwencji. Lista wyjątków z art. 5 ust. 1 ma charakter wyczerpujący i jedynie ich ścisła interpretacja jest zgodna z celem tego przepisu, a mianowicie z zapewnieniem, że nikt nie będzie pozbawiony wolności w sposób arbitralny (zob. </w:t>
      </w:r>
      <w:proofErr w:type="spellStart"/>
      <w:r w:rsidRPr="00EE75F6">
        <w:rPr>
          <w:i/>
          <w:iCs/>
          <w:spacing w:val="-2"/>
          <w:lang w:val="pl-PL"/>
        </w:rPr>
        <w:t>Amuur</w:t>
      </w:r>
      <w:proofErr w:type="spellEnd"/>
      <w:r w:rsidRPr="00EE75F6">
        <w:rPr>
          <w:i/>
          <w:iCs/>
          <w:spacing w:val="-2"/>
          <w:lang w:val="pl-PL"/>
        </w:rPr>
        <w:t xml:space="preserve"> przeciwko Francji</w:t>
      </w:r>
      <w:r w:rsidRPr="00EE75F6">
        <w:rPr>
          <w:iCs/>
          <w:spacing w:val="-2"/>
          <w:lang w:val="pl-PL"/>
        </w:rPr>
        <w:t xml:space="preserve">, 25 czerwca 1996 r., pkt 42,  </w:t>
      </w:r>
      <w:proofErr w:type="spellStart"/>
      <w:r w:rsidRPr="00EE75F6">
        <w:rPr>
          <w:i/>
          <w:iCs/>
          <w:spacing w:val="-2"/>
          <w:lang w:val="pl-PL"/>
        </w:rPr>
        <w:t>Reports</w:t>
      </w:r>
      <w:proofErr w:type="spellEnd"/>
      <w:r w:rsidRPr="00EE75F6">
        <w:rPr>
          <w:iCs/>
          <w:spacing w:val="-2"/>
          <w:lang w:val="pl-PL"/>
        </w:rPr>
        <w:t xml:space="preserve"> </w:t>
      </w:r>
      <w:r w:rsidRPr="00EE75F6">
        <w:rPr>
          <w:color w:val="000000"/>
          <w:lang w:val="pl-PL"/>
        </w:rPr>
        <w:t xml:space="preserve">1996-III; </w:t>
      </w:r>
      <w:proofErr w:type="spellStart"/>
      <w:r w:rsidRPr="00EE75F6">
        <w:rPr>
          <w:i/>
          <w:iCs/>
          <w:spacing w:val="-2"/>
          <w:lang w:val="pl-PL"/>
        </w:rPr>
        <w:t>Labita</w:t>
      </w:r>
      <w:proofErr w:type="spellEnd"/>
      <w:r w:rsidRPr="00EE75F6">
        <w:rPr>
          <w:i/>
          <w:iCs/>
          <w:spacing w:val="-2"/>
          <w:lang w:val="pl-PL"/>
        </w:rPr>
        <w:t xml:space="preserve"> przeciwko Włochom</w:t>
      </w:r>
      <w:r w:rsidRPr="00EE75F6">
        <w:rPr>
          <w:iCs/>
          <w:spacing w:val="-2"/>
          <w:lang w:val="pl-PL"/>
        </w:rPr>
        <w:t xml:space="preserve"> [Wielka Izba], skarga nr </w:t>
      </w:r>
      <w:r w:rsidRPr="00EE75F6">
        <w:rPr>
          <w:color w:val="000000"/>
          <w:lang w:val="pl-PL"/>
        </w:rPr>
        <w:t xml:space="preserve">26772/95, pkt 170, ECHR 2000-IV; oraz </w:t>
      </w:r>
      <w:proofErr w:type="spellStart"/>
      <w:r w:rsidRPr="00EE75F6">
        <w:rPr>
          <w:i/>
          <w:color w:val="000000"/>
          <w:lang w:val="pl-PL"/>
        </w:rPr>
        <w:t>Assanidze</w:t>
      </w:r>
      <w:proofErr w:type="spellEnd"/>
      <w:r w:rsidRPr="00EE75F6">
        <w:rPr>
          <w:i/>
          <w:color w:val="000000"/>
          <w:lang w:val="pl-PL"/>
        </w:rPr>
        <w:t xml:space="preserve"> przeciwko Gruzji</w:t>
      </w:r>
      <w:r w:rsidRPr="00EE75F6">
        <w:rPr>
          <w:color w:val="000000"/>
          <w:lang w:val="pl-PL"/>
        </w:rPr>
        <w:t xml:space="preserve"> [Wielka Izba], skarga nr </w:t>
      </w:r>
      <w:r w:rsidRPr="00EE75F6">
        <w:rPr>
          <w:lang w:val="pl-PL"/>
        </w:rPr>
        <w:t xml:space="preserve">71503/01, pkt 170, ECHR 2004II). </w:t>
      </w: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lang w:val="pl-PL"/>
        </w:rPr>
        <w:t xml:space="preserve">44. Odnośnie kwestii "legalności" pozbawienia wolności, w tym pytania o to, czy został zachowany "tryb ustalony przez prawo", Konwencja przede wszystkim odsyła do prawa krajowego oraz ustanawia obowiązek postępowania zgodnie z ustalonymi w nim zasadami prawa materialnego i proceduralnego. Chociaż dla organów krajowych, szczególnie dla sądów, naturalne jest w pierwszej kolejności dokonywanie wykładni i stosowanie prawa krajowego, inaczej jest w sprawach, w których – na podstawie art. 5 ust. 1 - postępowanie niezgodne z prawem prowadzi do naruszenia Konwencji. W takich przypadkach Trybunał może, a wręcz powinien uczynić użytek z przysługujących mu kompetencji i dokonać kontroli przestrzegania prawa krajowego (zob. m.in. </w:t>
      </w:r>
      <w:proofErr w:type="spellStart"/>
      <w:r w:rsidRPr="00EE75F6">
        <w:rPr>
          <w:i/>
          <w:lang w:val="pl-PL"/>
        </w:rPr>
        <w:t>Benham</w:t>
      </w:r>
      <w:proofErr w:type="spellEnd"/>
      <w:r w:rsidRPr="00EE75F6">
        <w:rPr>
          <w:i/>
          <w:lang w:val="pl-PL"/>
        </w:rPr>
        <w:t xml:space="preserve"> przeciwko Wielkiej Brytanii</w:t>
      </w:r>
      <w:r w:rsidRPr="00EE75F6">
        <w:rPr>
          <w:lang w:val="pl-PL"/>
        </w:rPr>
        <w:t xml:space="preserve">, 10 czerwca 1996 r., pkt 41, </w:t>
      </w:r>
      <w:proofErr w:type="spellStart"/>
      <w:r w:rsidRPr="00EE75F6">
        <w:rPr>
          <w:i/>
          <w:iCs/>
          <w:lang w:val="pl-PL"/>
        </w:rPr>
        <w:t>Reports</w:t>
      </w:r>
      <w:proofErr w:type="spellEnd"/>
      <w:r w:rsidRPr="00EE75F6">
        <w:rPr>
          <w:i/>
          <w:iCs/>
          <w:lang w:val="pl-PL"/>
        </w:rPr>
        <w:t xml:space="preserve"> </w:t>
      </w:r>
      <w:r w:rsidRPr="00EE75F6">
        <w:rPr>
          <w:lang w:val="pl-PL"/>
        </w:rPr>
        <w:t xml:space="preserve">1996III; </w:t>
      </w:r>
      <w:r w:rsidRPr="00EE75F6">
        <w:rPr>
          <w:i/>
          <w:iCs/>
          <w:lang w:val="pl-PL"/>
        </w:rPr>
        <w:t>Baranowski przeciwko Polsce</w:t>
      </w:r>
      <w:r w:rsidRPr="00EE75F6">
        <w:rPr>
          <w:iCs/>
          <w:lang w:val="pl-PL"/>
        </w:rPr>
        <w:t xml:space="preserve">, skarga nr </w:t>
      </w:r>
      <w:r w:rsidRPr="00EE75F6">
        <w:rPr>
          <w:lang w:val="pl-PL"/>
        </w:rPr>
        <w:t xml:space="preserve">28358/95, pkt 50, ECHR 2000III; </w:t>
      </w:r>
      <w:proofErr w:type="spellStart"/>
      <w:r w:rsidRPr="00EE75F6">
        <w:rPr>
          <w:i/>
          <w:iCs/>
          <w:lang w:val="pl-PL"/>
        </w:rPr>
        <w:t>Jėčius</w:t>
      </w:r>
      <w:proofErr w:type="spellEnd"/>
      <w:r w:rsidRPr="00EE75F6">
        <w:rPr>
          <w:i/>
          <w:iCs/>
          <w:lang w:val="pl-PL"/>
        </w:rPr>
        <w:t xml:space="preserve"> przeciwko Litwie</w:t>
      </w:r>
      <w:r w:rsidRPr="00EE75F6">
        <w:rPr>
          <w:lang w:val="pl-PL"/>
        </w:rPr>
        <w:t xml:space="preserve">, skarga nr 34578/97, pkt 68, ECHR 2000IX; </w:t>
      </w:r>
      <w:proofErr w:type="spellStart"/>
      <w:r w:rsidRPr="00EE75F6">
        <w:rPr>
          <w:i/>
          <w:iCs/>
          <w:lang w:val="pl-PL"/>
        </w:rPr>
        <w:t>Ladent</w:t>
      </w:r>
      <w:proofErr w:type="spellEnd"/>
      <w:r w:rsidRPr="00EE75F6">
        <w:rPr>
          <w:i/>
          <w:iCs/>
          <w:lang w:val="pl-PL"/>
        </w:rPr>
        <w:t xml:space="preserve"> przeciwko Polsce</w:t>
      </w:r>
      <w:r w:rsidRPr="00EE75F6">
        <w:rPr>
          <w:lang w:val="pl-PL"/>
        </w:rPr>
        <w:t xml:space="preserve">, skarga nr 11036/03, pkt 47, 18 marca 2008 r.; oraz </w:t>
      </w:r>
      <w:proofErr w:type="spellStart"/>
      <w:r w:rsidRPr="00EE75F6">
        <w:rPr>
          <w:i/>
          <w:iCs/>
          <w:lang w:val="pl-PL"/>
        </w:rPr>
        <w:t>Creangă</w:t>
      </w:r>
      <w:proofErr w:type="spellEnd"/>
      <w:r w:rsidRPr="00EE75F6">
        <w:rPr>
          <w:i/>
          <w:iCs/>
          <w:lang w:val="pl-PL"/>
        </w:rPr>
        <w:t xml:space="preserve"> przeciwko Rumunii</w:t>
      </w:r>
      <w:r w:rsidRPr="00EE75F6">
        <w:rPr>
          <w:lang w:val="pl-PL"/>
        </w:rPr>
        <w:t xml:space="preserve"> [Wielka Izba], skarga nr 29226/03, pkt 101, 23 lutego 2012 r.).</w:t>
      </w:r>
    </w:p>
    <w:p w:rsidR="00EE75F6" w:rsidRPr="00EE75F6" w:rsidRDefault="00EE75F6" w:rsidP="00EE75F6">
      <w:pPr>
        <w:tabs>
          <w:tab w:val="left" w:pos="0"/>
          <w:tab w:val="right" w:pos="284"/>
        </w:tabs>
        <w:autoSpaceDE w:val="0"/>
        <w:autoSpaceDN w:val="0"/>
        <w:adjustRightInd w:val="0"/>
        <w:spacing w:line="276" w:lineRule="auto"/>
        <w:ind w:firstLine="284"/>
        <w:rPr>
          <w:spacing w:val="-2"/>
          <w:lang w:val="pl-PL"/>
        </w:rPr>
      </w:pPr>
      <w:r w:rsidRPr="00EE75F6">
        <w:rPr>
          <w:lang w:val="pl-PL"/>
        </w:rPr>
        <w:t xml:space="preserve">45. Zgodność z prawem krajowym nie jest jednak wystarczająca: art. 5 ust. 1 wymaga również, by każde pozbawienie wolności było dokonywane przy zachowaniu ochrony jednostki przed arbitralnością (zob. m.in. </w:t>
      </w:r>
      <w:proofErr w:type="spellStart"/>
      <w:r w:rsidRPr="00EE75F6">
        <w:rPr>
          <w:i/>
          <w:spacing w:val="-2"/>
          <w:lang w:val="pl-PL"/>
        </w:rPr>
        <w:t>Bouamar</w:t>
      </w:r>
      <w:proofErr w:type="spellEnd"/>
      <w:r w:rsidRPr="00EE75F6">
        <w:rPr>
          <w:i/>
          <w:spacing w:val="-2"/>
          <w:lang w:val="pl-PL"/>
        </w:rPr>
        <w:t xml:space="preserve"> przeciwko Belgii</w:t>
      </w:r>
      <w:r w:rsidRPr="00EE75F6">
        <w:rPr>
          <w:spacing w:val="-2"/>
          <w:lang w:val="pl-PL"/>
        </w:rPr>
        <w:t xml:space="preserve">, 29 lutego 1988 r., pkt 47, Series A no. 129; </w:t>
      </w:r>
      <w:r w:rsidRPr="00EE75F6">
        <w:rPr>
          <w:i/>
          <w:spacing w:val="-2"/>
          <w:lang w:val="pl-PL"/>
        </w:rPr>
        <w:t>Steel i Inni przeciwko Wielkiej Brytanii</w:t>
      </w:r>
      <w:r w:rsidRPr="00EE75F6">
        <w:rPr>
          <w:spacing w:val="-2"/>
          <w:lang w:val="pl-PL"/>
        </w:rPr>
        <w:t xml:space="preserve">, 23 września 1998 r., pkt 54, </w:t>
      </w:r>
      <w:proofErr w:type="spellStart"/>
      <w:r w:rsidRPr="00EE75F6">
        <w:rPr>
          <w:i/>
          <w:spacing w:val="-2"/>
          <w:lang w:val="pl-PL"/>
        </w:rPr>
        <w:t>Reports</w:t>
      </w:r>
      <w:proofErr w:type="spellEnd"/>
      <w:r w:rsidRPr="00EE75F6">
        <w:rPr>
          <w:i/>
          <w:spacing w:val="-2"/>
          <w:lang w:val="pl-PL"/>
        </w:rPr>
        <w:t xml:space="preserve"> </w:t>
      </w:r>
      <w:r w:rsidRPr="00EE75F6">
        <w:rPr>
          <w:spacing w:val="-2"/>
          <w:lang w:val="pl-PL"/>
        </w:rPr>
        <w:t>1998</w:t>
      </w:r>
      <w:r w:rsidRPr="00EE75F6">
        <w:rPr>
          <w:spacing w:val="-2"/>
          <w:lang w:val="pl-PL"/>
        </w:rPr>
        <w:noBreakHyphen/>
        <w:t xml:space="preserve">VII; </w:t>
      </w:r>
      <w:r w:rsidRPr="00EE75F6">
        <w:rPr>
          <w:i/>
          <w:spacing w:val="-2"/>
          <w:lang w:val="pl-PL"/>
        </w:rPr>
        <w:t>Witold Litwa przeciwko Polsce</w:t>
      </w:r>
      <w:r w:rsidRPr="00EE75F6">
        <w:rPr>
          <w:spacing w:val="-2"/>
          <w:lang w:val="pl-PL"/>
        </w:rPr>
        <w:t>, skarga nr 26629/95, pkt 78, ECHR 2000</w:t>
      </w:r>
      <w:r w:rsidRPr="00EE75F6">
        <w:rPr>
          <w:spacing w:val="-2"/>
          <w:lang w:val="pl-PL"/>
        </w:rPr>
        <w:noBreakHyphen/>
        <w:t xml:space="preserve">III; oraz </w:t>
      </w:r>
      <w:r w:rsidRPr="00EE75F6">
        <w:rPr>
          <w:i/>
          <w:spacing w:val="-2"/>
          <w:lang w:val="pl-PL"/>
        </w:rPr>
        <w:t>Saadi przeciwko Wielkiej Brytanii</w:t>
      </w:r>
      <w:r w:rsidRPr="00EE75F6">
        <w:rPr>
          <w:spacing w:val="-2"/>
          <w:lang w:val="pl-PL"/>
        </w:rPr>
        <w:t xml:space="preserve"> [Wielka Izba], skarga nr 13229/03, pkt 67, ECHR 2008). W związku z tym, Trybunał musi nadto upewnić się, czy prawo krajowe samo w sobie pozostaje w zgodzie z Konwencją, w tym wyrażone w nim i mające zastosowanie zasady ogólne, w </w:t>
      </w:r>
      <w:r w:rsidRPr="00EE75F6">
        <w:rPr>
          <w:spacing w:val="-2"/>
          <w:lang w:val="pl-PL"/>
        </w:rPr>
        <w:lastRenderedPageBreak/>
        <w:t xml:space="preserve">szczególności zasada pewności prawa (por. </w:t>
      </w:r>
      <w:r w:rsidRPr="00EE75F6">
        <w:rPr>
          <w:i/>
          <w:spacing w:val="-2"/>
          <w:lang w:val="pl-PL"/>
        </w:rPr>
        <w:t>Baranowski</w:t>
      </w:r>
      <w:r w:rsidRPr="00EE75F6">
        <w:rPr>
          <w:spacing w:val="-2"/>
          <w:lang w:val="pl-PL"/>
        </w:rPr>
        <w:t xml:space="preserve">, pkt 51-52; </w:t>
      </w:r>
      <w:proofErr w:type="spellStart"/>
      <w:r w:rsidRPr="00EE75F6">
        <w:rPr>
          <w:i/>
          <w:spacing w:val="-2"/>
          <w:lang w:val="pl-PL"/>
        </w:rPr>
        <w:t>Ječius</w:t>
      </w:r>
      <w:proofErr w:type="spellEnd"/>
      <w:r w:rsidRPr="00EE75F6">
        <w:rPr>
          <w:spacing w:val="-2"/>
          <w:lang w:val="pl-PL"/>
        </w:rPr>
        <w:t xml:space="preserve">, pkt 56, oba cyt. powyżej). </w:t>
      </w: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spacing w:val="-2"/>
          <w:lang w:val="pl-PL"/>
        </w:rPr>
        <w:t xml:space="preserve">46. Odnośnie ostatniej kwestii, Trybunał zwraca uwagę, że w </w:t>
      </w:r>
      <w:r w:rsidR="00F468E9">
        <w:rPr>
          <w:spacing w:val="-2"/>
          <w:lang w:val="pl-PL"/>
        </w:rPr>
        <w:t>kontekście pozbawienia wolności</w:t>
      </w:r>
      <w:r w:rsidRPr="00EE75F6">
        <w:rPr>
          <w:spacing w:val="-2"/>
          <w:lang w:val="pl-PL"/>
        </w:rPr>
        <w:t xml:space="preserve"> szczególnie istotne jest zachowanie zasady pewności prawa (zob. </w:t>
      </w:r>
      <w:r w:rsidRPr="00EE75F6">
        <w:rPr>
          <w:i/>
          <w:spacing w:val="-2"/>
          <w:lang w:val="pl-PL"/>
        </w:rPr>
        <w:t>Baranowski</w:t>
      </w:r>
      <w:r w:rsidRPr="00EE75F6">
        <w:rPr>
          <w:spacing w:val="-2"/>
          <w:lang w:val="pl-PL"/>
        </w:rPr>
        <w:t xml:space="preserve">, pkt 51-52; </w:t>
      </w:r>
      <w:proofErr w:type="spellStart"/>
      <w:r w:rsidRPr="00EE75F6">
        <w:rPr>
          <w:i/>
          <w:spacing w:val="-2"/>
          <w:lang w:val="pl-PL"/>
        </w:rPr>
        <w:t>Ječius</w:t>
      </w:r>
      <w:proofErr w:type="spellEnd"/>
      <w:r w:rsidRPr="00EE75F6">
        <w:rPr>
          <w:spacing w:val="-2"/>
          <w:lang w:val="pl-PL"/>
        </w:rPr>
        <w:t xml:space="preserve">, pkt 56, oba cyt. powyżej). Standard „legalności” odnosi się również do „jakości prawa” i wymaga zapewnienia zgodności z zasadą rządów prawa, ideą znajdującą odbicie we wszystkich postanowieniach Konwencji. „Jakość prawa” w tym rozumieniu oznacza, że w przypadkach, w których prawo krajowe dopuszcza możliwość pozbawienia wolności, powinno być ono [prawo] dostępne, wystarczająco dokładne i przewidywalne w razie jego zastosowania, celem uniknięcia jakiegokolwiek ryzyka arbitralności (zob. </w:t>
      </w:r>
      <w:proofErr w:type="spellStart"/>
      <w:r w:rsidRPr="00EE75F6">
        <w:rPr>
          <w:i/>
          <w:spacing w:val="-2"/>
          <w:lang w:val="pl-PL"/>
        </w:rPr>
        <w:t>Amuur</w:t>
      </w:r>
      <w:proofErr w:type="spellEnd"/>
      <w:r w:rsidRPr="00EE75F6">
        <w:rPr>
          <w:spacing w:val="-2"/>
          <w:lang w:val="pl-PL"/>
        </w:rPr>
        <w:t xml:space="preserve">, cyt. powyżej, pkt 50). Co zaś tyczy się samego pozbawienia wolności, konieczne jest, by prawo krajowe w wyraźny sposób definiowało warunki, pod jakimi może ono nastąpić (zob. </w:t>
      </w:r>
      <w:proofErr w:type="spellStart"/>
      <w:r w:rsidRPr="00EE75F6">
        <w:rPr>
          <w:i/>
          <w:lang w:val="pl-PL"/>
        </w:rPr>
        <w:t>Creangă</w:t>
      </w:r>
      <w:proofErr w:type="spellEnd"/>
      <w:r w:rsidRPr="00EE75F6">
        <w:rPr>
          <w:lang w:val="pl-PL"/>
        </w:rPr>
        <w:t xml:space="preserve">, cyt. powyżej, pkt 120; oraz </w:t>
      </w:r>
      <w:r w:rsidRPr="00EE75F6">
        <w:rPr>
          <w:i/>
          <w:lang w:val="pl-PL"/>
        </w:rPr>
        <w:t xml:space="preserve">Del </w:t>
      </w:r>
      <w:proofErr w:type="spellStart"/>
      <w:r w:rsidRPr="00EE75F6">
        <w:rPr>
          <w:i/>
          <w:iCs/>
          <w:lang w:val="pl-PL"/>
        </w:rPr>
        <w:t>Río</w:t>
      </w:r>
      <w:proofErr w:type="spellEnd"/>
      <w:r w:rsidRPr="00EE75F6">
        <w:rPr>
          <w:i/>
          <w:lang w:val="pl-PL"/>
        </w:rPr>
        <w:t xml:space="preserve"> </w:t>
      </w:r>
      <w:proofErr w:type="spellStart"/>
      <w:r w:rsidRPr="00EE75F6">
        <w:rPr>
          <w:i/>
          <w:lang w:val="pl-PL"/>
        </w:rPr>
        <w:t>Prada</w:t>
      </w:r>
      <w:proofErr w:type="spellEnd"/>
      <w:r w:rsidRPr="00EE75F6">
        <w:rPr>
          <w:lang w:val="pl-PL"/>
        </w:rPr>
        <w:t xml:space="preserve"> </w:t>
      </w:r>
      <w:r w:rsidRPr="00EE75F6">
        <w:rPr>
          <w:i/>
          <w:lang w:val="pl-PL"/>
        </w:rPr>
        <w:t>przeciwko Hiszpanii</w:t>
      </w:r>
      <w:r w:rsidRPr="00EE75F6">
        <w:rPr>
          <w:lang w:val="pl-PL"/>
        </w:rPr>
        <w:t>, skarga nr. 42750/09</w:t>
      </w:r>
      <w:r w:rsidRPr="00EE75F6">
        <w:rPr>
          <w:snapToGrid w:val="0"/>
          <w:lang w:val="pl-PL"/>
        </w:rPr>
        <w:t xml:space="preserve">, pkt 125, </w:t>
      </w:r>
      <w:r w:rsidRPr="00EE75F6">
        <w:rPr>
          <w:lang w:val="pl-PL"/>
        </w:rPr>
        <w:t>ECHR 2013).</w:t>
      </w: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lang w:val="pl-PL"/>
        </w:rPr>
        <w:t xml:space="preserve">47. W przedmiotowej sprawie Trybunał zwraca uwagę, że pomiędzy datą utraty mocy przez postanowienie z dnia 7 maja 2012 r. w sprawie umieszczenia skarżącego w schronisku dla nieletnich, tj. dniem 7 sierpnia 2012 r., a orzeczeniem Sądu Rejonowego dla Krakowa – </w:t>
      </w:r>
      <w:proofErr w:type="spellStart"/>
      <w:r w:rsidRPr="00EE75F6">
        <w:rPr>
          <w:lang w:val="pl-PL"/>
        </w:rPr>
        <w:t>Krowodrza</w:t>
      </w:r>
      <w:proofErr w:type="spellEnd"/>
      <w:r w:rsidRPr="00EE75F6">
        <w:rPr>
          <w:lang w:val="pl-PL"/>
        </w:rPr>
        <w:t xml:space="preserve"> z dnia 9 stycznia 2013 r., nakazującego zwolnienie skarżącego, brak było orzeczenia sądowego, zezwalającego na dalsze pozbawienie skarżącego wolności. W tym czasie skarżący nadal przebywał w schronisku dla nieletnich, jedynie na tej podstawie, że sędzia wydał postanowienie o rozpoznaniu sprawy w postepowaniu poprawczym na podstawie art. 42 § 2 ustawy o postępowaniu w sprawach nieletnich. Fakt ten znajduje potwierdzenie w liście wysłanym przez Sąd Rejonowy dla Krakowa – </w:t>
      </w:r>
      <w:proofErr w:type="spellStart"/>
      <w:r w:rsidRPr="00EE75F6">
        <w:rPr>
          <w:lang w:val="pl-PL"/>
        </w:rPr>
        <w:t>Krowodrza</w:t>
      </w:r>
      <w:proofErr w:type="spellEnd"/>
      <w:r w:rsidRPr="00EE75F6">
        <w:rPr>
          <w:lang w:val="pl-PL"/>
        </w:rPr>
        <w:t xml:space="preserve"> do obrońcy skarżącego, informującym, że po wydaniu przez sędziego postanowienia o rozpoznaniu sprawy w postepowaniu poprawczym w dniu 27 lipca 2012 r., sąd nie przedłużył pobytu skarżącego w schronisku dla nieletnich na podstawie art. 27 § 3 ustawy. </w:t>
      </w: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lang w:val="pl-PL"/>
        </w:rPr>
        <w:t xml:space="preserve">48. Trybunał zwraca uwagę, że kwestia wynikła w przedmiotowej sprawie, tzn. przetrzymywanie nieletniego w schronisku dla nieletnich na podstawie postanowienia o rozpoznaniu sprawy w postepowaniu poprawczym, była rozpatrywana przez Rzecznika Praw Obywatelskich. Rzecznik Praw Obywatelskich ustaliła, że powszechna praktyka sądów rodzinnych w odniesieniu do art. 27 § 3 ustawy polegała na tym, że nie wydawano odrębnego postanowienia o przedłużeniu pobytu w schronisku </w:t>
      </w:r>
      <w:r w:rsidRPr="00EE75F6">
        <w:rPr>
          <w:lang w:val="pl-PL"/>
        </w:rPr>
        <w:lastRenderedPageBreak/>
        <w:t xml:space="preserve">dla nieletnich w sytuacji, w której wydano postanowienie o rozpoznaniu sprawy w postepowaniu poprawczym (zob. powyżej, pkt 28-29). Sądy rodzinne przyjmowały, że postanowienie to samo w sobie stanowiło podstawę do przedłużenia pobytu nieletniego w schronisku. W ocenie Rzecznika, praktyka ta wynikała z niejasności przepisów ustawy o postepowaniu w sprawach nieletnich. Rzecznik zwróciła się w tej sprawie do Ministra Sprawiedliwości, który zgodził się, że istniejąca praktyka jest niezadowalająca i wymaga podjęcia stosownych środków (zob. powyżej, pkt 31). </w:t>
      </w:r>
    </w:p>
    <w:p w:rsidR="00EE75F6" w:rsidRPr="00EE75F6" w:rsidRDefault="00EE75F6" w:rsidP="00EE75F6">
      <w:pPr>
        <w:tabs>
          <w:tab w:val="left" w:pos="0"/>
          <w:tab w:val="right" w:pos="284"/>
        </w:tabs>
        <w:autoSpaceDE w:val="0"/>
        <w:autoSpaceDN w:val="0"/>
        <w:adjustRightInd w:val="0"/>
        <w:spacing w:line="276" w:lineRule="auto"/>
        <w:ind w:firstLine="284"/>
        <w:rPr>
          <w:lang w:val="pl-PL"/>
        </w:rPr>
      </w:pPr>
      <w:r w:rsidRPr="00EE75F6">
        <w:rPr>
          <w:lang w:val="pl-PL"/>
        </w:rPr>
        <w:t xml:space="preserve">49. Mając na uwadze powyższe, Trybunał stwierdza, po pierwsze, że ustawa o postepowaniu w sprawach nieletnich, z powodu braku precyzyjnych przepisów, nakładających na sądy rodzinne obowiązek wydania postanowienia o przedłużeniu pobytu w schronisku dla nieletnich w przypadku przyjęcia sprawy do rozpoznania w postępowaniu poprawczym oraz w sytuacji, gdy wcześniejsze postanowienie o umieszczeniu w schronisku dla nieletnich utraciło moc, nie spełnia kryterium „jakości prawa" dla celów art. 5 ust.1 Konwencji (zob. </w:t>
      </w:r>
      <w:r w:rsidRPr="00EE75F6">
        <w:rPr>
          <w:i/>
          <w:lang w:val="pl-PL"/>
        </w:rPr>
        <w:t>Baranowski</w:t>
      </w:r>
      <w:r w:rsidRPr="00EE75F6">
        <w:rPr>
          <w:lang w:val="pl-PL"/>
        </w:rPr>
        <w:t xml:space="preserve">, cyt. powyżej, pkt 55). Brak odpowiednich przepisów ustawy o postępowaniu w sprawach nieletnich we właściwym czasie pozwolił na rozwinięcie praktyki, zgodnie z którą przedłużenie pobytu w schronisku dla nieletnich było możliwe bez odpowiedniego orzeczenia sądu. </w:t>
      </w:r>
    </w:p>
    <w:p w:rsidR="00EE75F6" w:rsidRPr="00EE75F6" w:rsidRDefault="00EE75F6" w:rsidP="00DB235E">
      <w:pPr>
        <w:tabs>
          <w:tab w:val="left" w:pos="0"/>
          <w:tab w:val="right" w:pos="284"/>
        </w:tabs>
        <w:autoSpaceDE w:val="0"/>
        <w:autoSpaceDN w:val="0"/>
        <w:adjustRightInd w:val="0"/>
        <w:spacing w:line="276" w:lineRule="auto"/>
        <w:ind w:firstLine="284"/>
        <w:rPr>
          <w:lang w:val="pl-PL"/>
        </w:rPr>
      </w:pPr>
      <w:r w:rsidRPr="00EE75F6">
        <w:rPr>
          <w:lang w:val="pl-PL"/>
        </w:rPr>
        <w:t xml:space="preserve">50. Po drugie, Trybunał stwierdza, że praktyka opisana w przedmiotowej sprawie, zgodnie z którą nieletni umieszczany był w schronisku dla nieletnich nie na podstawie konkretnego przepisu prawa lub orzeczenia sądu, pozostaje w sprzeczności z zasadą pewności prawa, znajdującej odzwierciedlenie w Konwencji, oraz stanowiącej jeden z podstawowych elementów [składowych] zasady rządów prawa (zob. </w:t>
      </w:r>
      <w:r w:rsidRPr="00EE75F6">
        <w:rPr>
          <w:i/>
          <w:lang w:val="pl-PL"/>
        </w:rPr>
        <w:t>Baranowski</w:t>
      </w:r>
      <w:r w:rsidRPr="00EE75F6">
        <w:rPr>
          <w:lang w:val="pl-PL"/>
        </w:rPr>
        <w:t xml:space="preserve">, cyt. powyżej, pkt 56). </w:t>
      </w:r>
    </w:p>
    <w:p w:rsidR="00EE75F6" w:rsidRPr="00EE75F6" w:rsidRDefault="00EE75F6" w:rsidP="00DB235E">
      <w:pPr>
        <w:tabs>
          <w:tab w:val="left" w:pos="0"/>
          <w:tab w:val="right" w:pos="284"/>
        </w:tabs>
        <w:autoSpaceDE w:val="0"/>
        <w:autoSpaceDN w:val="0"/>
        <w:adjustRightInd w:val="0"/>
        <w:spacing w:line="276" w:lineRule="auto"/>
        <w:ind w:firstLine="284"/>
        <w:rPr>
          <w:lang w:val="pl-PL"/>
        </w:rPr>
      </w:pPr>
      <w:r w:rsidRPr="00EE75F6">
        <w:rPr>
          <w:lang w:val="pl-PL"/>
        </w:rPr>
        <w:t xml:space="preserve">51. Trybunał zwraca uwagę, że art. 27 § 6 ustawy o postępowaniu w sprawach nieletnich stanowi, iż łączny pobyt nieletniego w schronisku dla nieletnich, do chwili wydania przez sąd pierwszej instancji postanowienia kończącego postępowanie w sprawie w pierwszej instancji, nie może być dłuższy niż rok. Chociaż gwarancja ta jest ważna, w żaden sposób nie wpłynęła na polepszenie lub zmianę sytuacji skarżącego. Trybunał zwraca uwagę, że po utracie mocy przez początkowe postanowienie o umieszczeniu skarżącego w schronisku dla nieletnich, nadal przebywał on w schronisku nie na podstawie postanowienia sądu przez okres 5 miesięcy i 2 dni. </w:t>
      </w:r>
    </w:p>
    <w:p w:rsidR="00EE75F6" w:rsidRPr="00EE75F6" w:rsidRDefault="00EE75F6" w:rsidP="00DB235E">
      <w:pPr>
        <w:tabs>
          <w:tab w:val="left" w:pos="0"/>
          <w:tab w:val="right" w:pos="180"/>
        </w:tabs>
        <w:autoSpaceDE w:val="0"/>
        <w:autoSpaceDN w:val="0"/>
        <w:adjustRightInd w:val="0"/>
        <w:spacing w:line="276" w:lineRule="auto"/>
        <w:ind w:firstLine="284"/>
        <w:rPr>
          <w:lang w:val="pl-PL"/>
        </w:rPr>
      </w:pPr>
      <w:r w:rsidRPr="00EE75F6">
        <w:rPr>
          <w:lang w:val="pl-PL"/>
        </w:rPr>
        <w:lastRenderedPageBreak/>
        <w:t xml:space="preserve">52. Podsumowując, Trybunał uznaje, że pozbawienie skarżącego wolności nie było „zgodne z prawem” w rozumieniu art. 5 ust 1 Konwencji. W związku z tym, doszło do naruszenia art. 5 ust. 1 Konwencji. </w:t>
      </w:r>
    </w:p>
    <w:p w:rsidR="00EE75F6" w:rsidRPr="00EE75F6" w:rsidRDefault="00EE75F6" w:rsidP="00EE75F6">
      <w:pPr>
        <w:tabs>
          <w:tab w:val="left" w:pos="0"/>
          <w:tab w:val="right" w:pos="284"/>
        </w:tabs>
        <w:autoSpaceDE w:val="0"/>
        <w:autoSpaceDN w:val="0"/>
        <w:adjustRightInd w:val="0"/>
        <w:spacing w:line="276" w:lineRule="auto"/>
        <w:ind w:firstLine="180"/>
        <w:rPr>
          <w:lang w:val="pl-PL"/>
        </w:rPr>
      </w:pPr>
    </w:p>
    <w:p w:rsidR="00EE75F6" w:rsidRPr="00EE75F6" w:rsidRDefault="00EE75F6" w:rsidP="00EE75F6">
      <w:pPr>
        <w:tabs>
          <w:tab w:val="left" w:pos="0"/>
          <w:tab w:val="right" w:pos="284"/>
        </w:tabs>
        <w:autoSpaceDE w:val="0"/>
        <w:autoSpaceDN w:val="0"/>
        <w:adjustRightInd w:val="0"/>
        <w:spacing w:line="276" w:lineRule="auto"/>
        <w:rPr>
          <w:lang w:val="pl-PL"/>
        </w:rPr>
      </w:pPr>
    </w:p>
    <w:p w:rsidR="00EE75F6" w:rsidRPr="00EE75F6" w:rsidRDefault="00EE75F6" w:rsidP="00EE75F6">
      <w:pPr>
        <w:tabs>
          <w:tab w:val="left" w:pos="0"/>
          <w:tab w:val="right" w:pos="284"/>
        </w:tabs>
        <w:autoSpaceDE w:val="0"/>
        <w:autoSpaceDN w:val="0"/>
        <w:adjustRightInd w:val="0"/>
        <w:spacing w:line="276" w:lineRule="auto"/>
        <w:rPr>
          <w:lang w:val="pl-PL"/>
        </w:rPr>
      </w:pPr>
      <w:r w:rsidRPr="00EE75F6">
        <w:rPr>
          <w:lang w:val="pl-PL"/>
        </w:rPr>
        <w:t>II. ZARZUT NARUSZENIA ART. 5 UST. 4 KONWENCJI</w:t>
      </w:r>
    </w:p>
    <w:p w:rsidR="00EE75F6" w:rsidRPr="00EE75F6" w:rsidRDefault="00EE75F6" w:rsidP="00EE75F6">
      <w:pPr>
        <w:tabs>
          <w:tab w:val="left" w:pos="0"/>
          <w:tab w:val="right" w:pos="284"/>
        </w:tabs>
        <w:autoSpaceDE w:val="0"/>
        <w:autoSpaceDN w:val="0"/>
        <w:adjustRightInd w:val="0"/>
        <w:spacing w:line="276" w:lineRule="auto"/>
        <w:ind w:firstLine="142"/>
        <w:rPr>
          <w:lang w:val="pl-PL"/>
        </w:rPr>
      </w:pPr>
    </w:p>
    <w:p w:rsidR="00EE75F6" w:rsidRPr="00EE75F6" w:rsidRDefault="00EE75F6" w:rsidP="00DB235E">
      <w:pPr>
        <w:tabs>
          <w:tab w:val="left" w:pos="0"/>
          <w:tab w:val="right" w:pos="284"/>
        </w:tabs>
        <w:autoSpaceDE w:val="0"/>
        <w:autoSpaceDN w:val="0"/>
        <w:adjustRightInd w:val="0"/>
        <w:spacing w:line="276" w:lineRule="auto"/>
        <w:ind w:firstLine="284"/>
        <w:rPr>
          <w:lang w:val="pl-PL"/>
        </w:rPr>
      </w:pPr>
      <w:r w:rsidRPr="00EE75F6">
        <w:rPr>
          <w:lang w:val="pl-PL"/>
        </w:rPr>
        <w:t xml:space="preserve">53. Skarżący zarzucił ponadto, że nie miał możliwości odwołania się do sądu w celu podważenia zgodności z prawem pozbawienia go wolności. Trybunał stwierdza, że w tym zakresie skarga powinna zostać rozpoznana na podstawie art. 5 ust. 4 Konwencji, który stanowi, co następuje: </w:t>
      </w:r>
    </w:p>
    <w:p w:rsidR="00EE75F6" w:rsidRPr="00EE75F6" w:rsidRDefault="00EE75F6" w:rsidP="00EE75F6">
      <w:pPr>
        <w:tabs>
          <w:tab w:val="left" w:pos="0"/>
          <w:tab w:val="right" w:pos="284"/>
        </w:tabs>
        <w:autoSpaceDE w:val="0"/>
        <w:autoSpaceDN w:val="0"/>
        <w:adjustRightInd w:val="0"/>
        <w:spacing w:line="276" w:lineRule="auto"/>
        <w:ind w:firstLine="142"/>
        <w:rPr>
          <w:lang w:val="pl-PL"/>
        </w:rPr>
      </w:pPr>
    </w:p>
    <w:p w:rsidR="00EE75F6" w:rsidRPr="00EE75F6" w:rsidRDefault="00EE75F6" w:rsidP="00DB235E">
      <w:pPr>
        <w:tabs>
          <w:tab w:val="left" w:pos="0"/>
          <w:tab w:val="right" w:pos="567"/>
        </w:tabs>
        <w:autoSpaceDE w:val="0"/>
        <w:autoSpaceDN w:val="0"/>
        <w:adjustRightInd w:val="0"/>
        <w:spacing w:line="276" w:lineRule="auto"/>
        <w:ind w:left="426" w:firstLine="141"/>
        <w:rPr>
          <w:sz w:val="20"/>
          <w:szCs w:val="20"/>
          <w:lang w:val="pl-PL"/>
        </w:rPr>
      </w:pPr>
      <w:r w:rsidRPr="00EE75F6">
        <w:rPr>
          <w:sz w:val="20"/>
          <w:szCs w:val="20"/>
          <w:lang w:val="pl-PL"/>
        </w:rPr>
        <w:tab/>
        <w:t xml:space="preserve">„4. Każdy, kto został pozbawiony wolności przez zatrzymanie lub aresztowanie, ma prawo odwołania </w:t>
      </w:r>
      <w:r w:rsidRPr="00EE75F6">
        <w:rPr>
          <w:sz w:val="20"/>
          <w:szCs w:val="20"/>
          <w:lang w:val="pl-PL"/>
        </w:rPr>
        <w:tab/>
        <w:t>się do sądu w celu ustalenia bezzwłocznie przez sąd legalności pozb</w:t>
      </w:r>
      <w:r w:rsidR="00424E81">
        <w:rPr>
          <w:sz w:val="20"/>
          <w:szCs w:val="20"/>
          <w:lang w:val="pl-PL"/>
        </w:rPr>
        <w:t xml:space="preserve">awienia wolności i zarządzenia </w:t>
      </w:r>
      <w:r w:rsidRPr="00EE75F6">
        <w:rPr>
          <w:sz w:val="20"/>
          <w:szCs w:val="20"/>
          <w:lang w:val="pl-PL"/>
        </w:rPr>
        <w:t xml:space="preserve">zwolnienia, jeżeli pozbawienie wolności jest niezgodne z prawem.” </w:t>
      </w:r>
    </w:p>
    <w:p w:rsidR="00EE75F6" w:rsidRPr="00EE75F6" w:rsidRDefault="00EE75F6" w:rsidP="00EE75F6">
      <w:pPr>
        <w:tabs>
          <w:tab w:val="left" w:pos="0"/>
          <w:tab w:val="right" w:pos="284"/>
        </w:tabs>
        <w:autoSpaceDE w:val="0"/>
        <w:autoSpaceDN w:val="0"/>
        <w:adjustRightInd w:val="0"/>
        <w:spacing w:line="276" w:lineRule="auto"/>
        <w:ind w:left="284"/>
        <w:rPr>
          <w:sz w:val="20"/>
          <w:szCs w:val="20"/>
          <w:lang w:val="pl-PL"/>
        </w:rPr>
      </w:pPr>
    </w:p>
    <w:p w:rsidR="00EE75F6" w:rsidRPr="00EE75F6" w:rsidRDefault="00EE75F6" w:rsidP="00EE75F6">
      <w:pPr>
        <w:tabs>
          <w:tab w:val="left" w:pos="0"/>
          <w:tab w:val="right" w:pos="284"/>
        </w:tabs>
        <w:autoSpaceDE w:val="0"/>
        <w:autoSpaceDN w:val="0"/>
        <w:adjustRightInd w:val="0"/>
        <w:spacing w:line="276" w:lineRule="auto"/>
        <w:ind w:left="284"/>
        <w:rPr>
          <w:sz w:val="20"/>
          <w:szCs w:val="20"/>
          <w:lang w:val="pl-PL"/>
        </w:rPr>
      </w:pPr>
    </w:p>
    <w:p w:rsidR="00EE75F6" w:rsidRPr="00EE75F6" w:rsidRDefault="00EE75F6" w:rsidP="00EE75F6">
      <w:pPr>
        <w:tabs>
          <w:tab w:val="left" w:pos="0"/>
          <w:tab w:val="right" w:pos="284"/>
        </w:tabs>
        <w:autoSpaceDE w:val="0"/>
        <w:autoSpaceDN w:val="0"/>
        <w:adjustRightInd w:val="0"/>
        <w:spacing w:line="276" w:lineRule="auto"/>
        <w:rPr>
          <w:b/>
          <w:bCs/>
          <w:lang w:val="pl-PL"/>
        </w:rPr>
      </w:pPr>
      <w:r w:rsidRPr="00EE75F6">
        <w:rPr>
          <w:b/>
          <w:bCs/>
          <w:lang w:val="pl-PL"/>
        </w:rPr>
        <w:tab/>
        <w:t xml:space="preserve">A. Dopuszczalność </w:t>
      </w:r>
    </w:p>
    <w:p w:rsidR="00EE75F6" w:rsidRPr="00EE75F6" w:rsidRDefault="00EE75F6" w:rsidP="00EE75F6">
      <w:pPr>
        <w:tabs>
          <w:tab w:val="left" w:pos="0"/>
          <w:tab w:val="right" w:pos="284"/>
        </w:tabs>
        <w:autoSpaceDE w:val="0"/>
        <w:autoSpaceDN w:val="0"/>
        <w:adjustRightInd w:val="0"/>
        <w:spacing w:line="276" w:lineRule="auto"/>
        <w:rPr>
          <w:lang w:val="pl-PL"/>
        </w:rPr>
      </w:pPr>
    </w:p>
    <w:p w:rsidR="00EE75F6" w:rsidRPr="00EE75F6" w:rsidRDefault="00EE75F6" w:rsidP="00EE75F6">
      <w:pPr>
        <w:tabs>
          <w:tab w:val="left" w:pos="0"/>
          <w:tab w:val="right" w:pos="284"/>
        </w:tabs>
        <w:autoSpaceDE w:val="0"/>
        <w:autoSpaceDN w:val="0"/>
        <w:adjustRightInd w:val="0"/>
        <w:spacing w:line="276" w:lineRule="auto"/>
        <w:ind w:firstLine="360"/>
        <w:rPr>
          <w:lang w:val="pl-PL"/>
        </w:rPr>
      </w:pPr>
      <w:r w:rsidRPr="00EE75F6">
        <w:rPr>
          <w:lang w:val="pl-PL"/>
        </w:rPr>
        <w:t xml:space="preserve">54. Trybunał stwierdza, że skarga nie jest w sposób oczywisty nieuzasadniona w rozumieniu art. 35 ust. 3 lit. a) Konwencji, nie jest również niedopuszczalna z innych przyczyn. W związku z powyższym musi zostać uznana za dopuszczalną. </w:t>
      </w:r>
    </w:p>
    <w:p w:rsidR="00EE75F6" w:rsidRPr="00EE75F6" w:rsidRDefault="00EE75F6" w:rsidP="00EE75F6">
      <w:pPr>
        <w:tabs>
          <w:tab w:val="left" w:pos="0"/>
          <w:tab w:val="right" w:pos="284"/>
        </w:tabs>
        <w:autoSpaceDE w:val="0"/>
        <w:autoSpaceDN w:val="0"/>
        <w:adjustRightInd w:val="0"/>
        <w:spacing w:line="276" w:lineRule="auto"/>
        <w:rPr>
          <w:lang w:val="pl-PL"/>
        </w:rPr>
      </w:pPr>
    </w:p>
    <w:p w:rsidR="00EE75F6" w:rsidRPr="00EE75F6" w:rsidRDefault="00EE75F6" w:rsidP="00EE75F6">
      <w:pPr>
        <w:tabs>
          <w:tab w:val="left" w:pos="0"/>
          <w:tab w:val="right" w:pos="284"/>
        </w:tabs>
        <w:autoSpaceDE w:val="0"/>
        <w:autoSpaceDN w:val="0"/>
        <w:adjustRightInd w:val="0"/>
        <w:spacing w:line="276" w:lineRule="auto"/>
        <w:rPr>
          <w:b/>
          <w:lang w:val="pl-PL"/>
        </w:rPr>
      </w:pPr>
      <w:r w:rsidRPr="00EE75F6">
        <w:rPr>
          <w:b/>
          <w:lang w:val="pl-PL"/>
        </w:rPr>
        <w:t xml:space="preserve">B. Meritum skargi </w:t>
      </w:r>
    </w:p>
    <w:p w:rsidR="00EE75F6" w:rsidRPr="00EE75F6" w:rsidRDefault="00EE75F6" w:rsidP="00EE75F6">
      <w:pPr>
        <w:tabs>
          <w:tab w:val="left" w:pos="0"/>
          <w:tab w:val="right" w:pos="284"/>
        </w:tabs>
        <w:autoSpaceDE w:val="0"/>
        <w:autoSpaceDN w:val="0"/>
        <w:adjustRightInd w:val="0"/>
        <w:spacing w:line="276" w:lineRule="auto"/>
        <w:rPr>
          <w:lang w:val="pl-PL"/>
        </w:rPr>
      </w:pPr>
    </w:p>
    <w:p w:rsidR="00EE75F6" w:rsidRPr="00EE75F6" w:rsidRDefault="00EE75F6" w:rsidP="00EE75F6">
      <w:pPr>
        <w:tabs>
          <w:tab w:val="left" w:pos="0"/>
          <w:tab w:val="right" w:pos="284"/>
        </w:tabs>
        <w:autoSpaceDE w:val="0"/>
        <w:autoSpaceDN w:val="0"/>
        <w:adjustRightInd w:val="0"/>
        <w:spacing w:line="276" w:lineRule="auto"/>
        <w:rPr>
          <w:i/>
          <w:lang w:val="pl-PL"/>
        </w:rPr>
      </w:pPr>
      <w:r w:rsidRPr="00EE75F6">
        <w:rPr>
          <w:i/>
          <w:lang w:val="pl-PL"/>
        </w:rPr>
        <w:tab/>
      </w:r>
      <w:r w:rsidRPr="00EE75F6">
        <w:rPr>
          <w:i/>
          <w:lang w:val="pl-PL"/>
        </w:rPr>
        <w:tab/>
        <w:t xml:space="preserve">1. Stanowiska stron </w:t>
      </w:r>
    </w:p>
    <w:p w:rsidR="00EE75F6" w:rsidRPr="00EE75F6" w:rsidRDefault="00EE75F6" w:rsidP="00EE75F6">
      <w:pPr>
        <w:tabs>
          <w:tab w:val="left" w:pos="0"/>
          <w:tab w:val="right" w:pos="284"/>
        </w:tabs>
        <w:autoSpaceDE w:val="0"/>
        <w:autoSpaceDN w:val="0"/>
        <w:adjustRightInd w:val="0"/>
        <w:spacing w:line="276" w:lineRule="auto"/>
        <w:ind w:left="284"/>
        <w:rPr>
          <w:sz w:val="20"/>
          <w:szCs w:val="20"/>
          <w:lang w:val="pl-PL"/>
        </w:rPr>
      </w:pPr>
    </w:p>
    <w:p w:rsidR="00EE75F6" w:rsidRPr="00EE75F6" w:rsidRDefault="00EE75F6" w:rsidP="00EE75F6">
      <w:pPr>
        <w:tabs>
          <w:tab w:val="left" w:pos="0"/>
          <w:tab w:val="right" w:pos="284"/>
        </w:tabs>
        <w:autoSpaceDE w:val="0"/>
        <w:autoSpaceDN w:val="0"/>
        <w:adjustRightInd w:val="0"/>
        <w:spacing w:line="276" w:lineRule="auto"/>
        <w:ind w:firstLine="180"/>
        <w:rPr>
          <w:lang w:val="pl-PL"/>
        </w:rPr>
      </w:pPr>
      <w:r w:rsidRPr="00EE75F6">
        <w:rPr>
          <w:lang w:val="pl-PL"/>
        </w:rPr>
        <w:t xml:space="preserve">55. Skarżący podtrzymał swoją skargę. </w:t>
      </w:r>
    </w:p>
    <w:p w:rsidR="00EE75F6" w:rsidRPr="00EE75F6" w:rsidRDefault="00EE75F6" w:rsidP="00EE75F6">
      <w:pPr>
        <w:tabs>
          <w:tab w:val="left" w:pos="0"/>
          <w:tab w:val="right" w:pos="284"/>
        </w:tabs>
        <w:autoSpaceDE w:val="0"/>
        <w:autoSpaceDN w:val="0"/>
        <w:adjustRightInd w:val="0"/>
        <w:spacing w:line="276" w:lineRule="auto"/>
        <w:ind w:firstLine="180"/>
        <w:rPr>
          <w:lang w:val="pl-PL"/>
        </w:rPr>
      </w:pPr>
      <w:r w:rsidRPr="00EE75F6">
        <w:rPr>
          <w:lang w:val="pl-PL"/>
        </w:rPr>
        <w:t>56. Rząd, po zapoznaniu się ze stanem faktycznym i prawnym wskazanym w skardze, postanowił nie zajmować stanowiska odnośnie meritum skargi, mając na uwadze orzecznictwo Trybunału w sprawach odnoszących się do art. 5 Konwencji.</w:t>
      </w:r>
    </w:p>
    <w:p w:rsidR="00EE75F6" w:rsidRPr="00EE75F6" w:rsidRDefault="00EE75F6" w:rsidP="00EE75F6">
      <w:pPr>
        <w:shd w:val="clear" w:color="auto" w:fill="FFFFFF"/>
        <w:spacing w:before="100" w:beforeAutospacing="1" w:after="100" w:afterAutospacing="1" w:line="300" w:lineRule="atLeast"/>
        <w:ind w:firstLine="708"/>
        <w:rPr>
          <w:i/>
          <w:lang w:val="pl-PL"/>
        </w:rPr>
      </w:pPr>
      <w:r w:rsidRPr="00EE75F6">
        <w:rPr>
          <w:i/>
          <w:lang w:val="pl-PL"/>
        </w:rPr>
        <w:t>3. Ocena Trybunału</w:t>
      </w:r>
    </w:p>
    <w:p w:rsidR="00EE75F6" w:rsidRPr="00EE75F6" w:rsidRDefault="00EE75F6" w:rsidP="00EE75F6">
      <w:pPr>
        <w:pStyle w:val="ECHRPara"/>
        <w:rPr>
          <w:snapToGrid w:val="0"/>
          <w:spacing w:val="-4"/>
          <w:szCs w:val="24"/>
          <w:lang w:val="pl-PL"/>
        </w:rPr>
      </w:pPr>
      <w:r w:rsidRPr="00EE75F6">
        <w:rPr>
          <w:lang w:val="pl-PL"/>
        </w:rPr>
        <w:t xml:space="preserve">57. Trybunał przypomina, że na mocy art. 5 ust. 4 Konwencji osoba pozbawiona wolności przez aresztowanie lub zatrzymanie ma prawo odwołać się do sądu w celu dokonania oceny warunków proceduralnych i </w:t>
      </w:r>
      <w:r w:rsidRPr="00EE75F6">
        <w:rPr>
          <w:lang w:val="pl-PL"/>
        </w:rPr>
        <w:lastRenderedPageBreak/>
        <w:t xml:space="preserve">prawno-materialnych, od których zależy „legalność” pozbawienia jej wolności, w rozumieniu art. 5 ust. 1 (zob. </w:t>
      </w:r>
      <w:proofErr w:type="spellStart"/>
      <w:r w:rsidRPr="00EE75F6">
        <w:rPr>
          <w:i/>
          <w:spacing w:val="-4"/>
          <w:lang w:val="pl-PL"/>
        </w:rPr>
        <w:t>Brogan</w:t>
      </w:r>
      <w:proofErr w:type="spellEnd"/>
      <w:r w:rsidRPr="00EE75F6">
        <w:rPr>
          <w:i/>
          <w:spacing w:val="-4"/>
          <w:lang w:val="pl-PL"/>
        </w:rPr>
        <w:t xml:space="preserve"> i Inni przeciwko Wielkiej Brytanii</w:t>
      </w:r>
      <w:r w:rsidRPr="00EE75F6">
        <w:rPr>
          <w:spacing w:val="-4"/>
          <w:lang w:val="pl-PL"/>
        </w:rPr>
        <w:t xml:space="preserve">, 29 listopada 1988 r., pkt 65, Series A no. 145-B; </w:t>
      </w:r>
      <w:proofErr w:type="spellStart"/>
      <w:r w:rsidRPr="00EE75F6">
        <w:rPr>
          <w:i/>
          <w:spacing w:val="-4"/>
          <w:lang w:val="pl-PL"/>
        </w:rPr>
        <w:t>Reinprecht</w:t>
      </w:r>
      <w:proofErr w:type="spellEnd"/>
      <w:r w:rsidRPr="00EE75F6">
        <w:rPr>
          <w:i/>
          <w:spacing w:val="-4"/>
          <w:lang w:val="pl-PL"/>
        </w:rPr>
        <w:t xml:space="preserve"> przeciwko Austrii</w:t>
      </w:r>
      <w:r w:rsidRPr="00EE75F6">
        <w:rPr>
          <w:spacing w:val="-4"/>
          <w:lang w:val="pl-PL"/>
        </w:rPr>
        <w:t>, skarga nr 67175/01, pkt 31 (a), ECHR 2005</w:t>
      </w:r>
      <w:r w:rsidRPr="00EE75F6">
        <w:rPr>
          <w:spacing w:val="-4"/>
          <w:lang w:val="pl-PL"/>
        </w:rPr>
        <w:noBreakHyphen/>
        <w:t xml:space="preserve">XII; oraz </w:t>
      </w:r>
      <w:proofErr w:type="spellStart"/>
      <w:r w:rsidRPr="00EE75F6">
        <w:rPr>
          <w:i/>
          <w:spacing w:val="-4"/>
          <w:lang w:val="pl-PL"/>
        </w:rPr>
        <w:t>Idalov</w:t>
      </w:r>
      <w:proofErr w:type="spellEnd"/>
      <w:r w:rsidRPr="00EE75F6">
        <w:rPr>
          <w:i/>
          <w:spacing w:val="-4"/>
          <w:lang w:val="pl-PL"/>
        </w:rPr>
        <w:t xml:space="preserve"> przeciwko Rosji</w:t>
      </w:r>
      <w:r w:rsidRPr="00EE75F6">
        <w:rPr>
          <w:spacing w:val="-4"/>
          <w:lang w:val="pl-PL"/>
        </w:rPr>
        <w:t xml:space="preserve"> [Wielka Izba], skarga nr  5826/03</w:t>
      </w:r>
      <w:r w:rsidRPr="00EE75F6">
        <w:rPr>
          <w:snapToGrid w:val="0"/>
          <w:spacing w:val="-4"/>
          <w:szCs w:val="24"/>
          <w:lang w:val="pl-PL"/>
        </w:rPr>
        <w:t xml:space="preserve">, pkt 161, </w:t>
      </w:r>
      <w:r w:rsidRPr="00EE75F6">
        <w:rPr>
          <w:spacing w:val="-4"/>
          <w:szCs w:val="24"/>
          <w:lang w:val="pl-PL"/>
        </w:rPr>
        <w:t>22</w:t>
      </w:r>
      <w:r w:rsidRPr="00EE75F6">
        <w:rPr>
          <w:snapToGrid w:val="0"/>
          <w:spacing w:val="-4"/>
          <w:szCs w:val="24"/>
          <w:lang w:val="pl-PL"/>
        </w:rPr>
        <w:t xml:space="preserve"> maja 2012).</w:t>
      </w:r>
    </w:p>
    <w:p w:rsidR="00EE75F6" w:rsidRPr="00EE75F6" w:rsidRDefault="00EE75F6" w:rsidP="00EE75F6">
      <w:pPr>
        <w:pStyle w:val="ECHRPara"/>
        <w:rPr>
          <w:spacing w:val="-2"/>
          <w:lang w:val="pl-PL"/>
        </w:rPr>
      </w:pPr>
      <w:r w:rsidRPr="00EE75F6">
        <w:rPr>
          <w:snapToGrid w:val="0"/>
          <w:spacing w:val="-4"/>
          <w:szCs w:val="24"/>
          <w:lang w:val="pl-PL"/>
        </w:rPr>
        <w:t xml:space="preserve">58. Pojęcie „legalności” z art. 5 ust. 4 Konwencji ma takie samo znaczenie, jak w art. 5 ust.1, co oznacza, że osoba aresztowana lub zatrzymana ma prawo dochodzić ustalenia „legalności” pozbawienia wolności nie tylko w świetle wymogów stawianych przez prawo krajowe, ale również ustanowionych w Konwencji, zawartych w niej zasad ogólnych oraz pod kątem ograniczeń wynikających z art. 5 ust. 1 </w:t>
      </w:r>
      <w:r w:rsidRPr="00EE75F6">
        <w:rPr>
          <w:rStyle w:val="sb8d990e2"/>
          <w:spacing w:val="-2"/>
          <w:lang w:val="pl-PL"/>
        </w:rPr>
        <w:t xml:space="preserve">(zob. </w:t>
      </w:r>
      <w:r w:rsidRPr="00EE75F6">
        <w:rPr>
          <w:rStyle w:val="s6b621b36"/>
          <w:i/>
          <w:spacing w:val="-2"/>
          <w:lang w:val="pl-PL"/>
        </w:rPr>
        <w:t>E. przeciwko Norwegii</w:t>
      </w:r>
      <w:r w:rsidRPr="00EE75F6">
        <w:rPr>
          <w:rStyle w:val="sb8d990e2"/>
          <w:i/>
          <w:spacing w:val="-2"/>
          <w:lang w:val="pl-PL"/>
        </w:rPr>
        <w:t>,</w:t>
      </w:r>
      <w:r w:rsidRPr="00EE75F6">
        <w:rPr>
          <w:rStyle w:val="sb8d990e2"/>
          <w:spacing w:val="-2"/>
          <w:lang w:val="pl-PL"/>
        </w:rPr>
        <w:t xml:space="preserve"> 29 sierpnia 1990 r., pkt 49, Series A no. 181; </w:t>
      </w:r>
      <w:r w:rsidRPr="00EE75F6">
        <w:rPr>
          <w:i/>
          <w:spacing w:val="-2"/>
          <w:lang w:val="pl-PL"/>
        </w:rPr>
        <w:t>A. i Inni przeciwko Wielkiej Brytanii</w:t>
      </w:r>
      <w:r w:rsidRPr="00EE75F6">
        <w:rPr>
          <w:spacing w:val="-2"/>
          <w:lang w:val="pl-PL"/>
        </w:rPr>
        <w:t xml:space="preserve"> [Wielka Izba], </w:t>
      </w:r>
      <w:r w:rsidRPr="00EE75F6">
        <w:rPr>
          <w:snapToGrid w:val="0"/>
          <w:spacing w:val="-2"/>
          <w:lang w:val="pl-PL"/>
        </w:rPr>
        <w:t>skarga nr</w:t>
      </w:r>
      <w:r w:rsidRPr="00EE75F6">
        <w:rPr>
          <w:spacing w:val="-2"/>
          <w:lang w:val="pl-PL"/>
        </w:rPr>
        <w:t xml:space="preserve"> 3455/05, pkt 202, ECHR 2009; oraz </w:t>
      </w:r>
      <w:proofErr w:type="spellStart"/>
      <w:r w:rsidRPr="00EE75F6">
        <w:rPr>
          <w:i/>
          <w:spacing w:val="-2"/>
          <w:lang w:val="pl-PL"/>
        </w:rPr>
        <w:t>Rahmani</w:t>
      </w:r>
      <w:proofErr w:type="spellEnd"/>
      <w:r w:rsidRPr="00EE75F6">
        <w:rPr>
          <w:i/>
          <w:spacing w:val="-2"/>
          <w:lang w:val="pl-PL"/>
        </w:rPr>
        <w:t xml:space="preserve"> i </w:t>
      </w:r>
      <w:proofErr w:type="spellStart"/>
      <w:r w:rsidRPr="00EE75F6">
        <w:rPr>
          <w:i/>
          <w:spacing w:val="-2"/>
          <w:lang w:val="pl-PL"/>
        </w:rPr>
        <w:t>Dineva</w:t>
      </w:r>
      <w:proofErr w:type="spellEnd"/>
      <w:r w:rsidRPr="00EE75F6">
        <w:rPr>
          <w:i/>
          <w:spacing w:val="-2"/>
          <w:lang w:val="pl-PL"/>
        </w:rPr>
        <w:t xml:space="preserve"> przeciwko Bułgarii</w:t>
      </w:r>
      <w:r w:rsidRPr="00EE75F6">
        <w:rPr>
          <w:spacing w:val="-2"/>
          <w:lang w:val="pl-PL"/>
        </w:rPr>
        <w:t>, skarga nr 20116/08</w:t>
      </w:r>
      <w:r w:rsidR="002B0BE7">
        <w:rPr>
          <w:snapToGrid w:val="0"/>
          <w:spacing w:val="-2"/>
          <w:szCs w:val="24"/>
          <w:lang w:val="pl-PL"/>
        </w:rPr>
        <w:t>, pkt 75, 10 maja</w:t>
      </w:r>
      <w:r w:rsidRPr="00EE75F6">
        <w:rPr>
          <w:snapToGrid w:val="0"/>
          <w:spacing w:val="-2"/>
          <w:szCs w:val="24"/>
          <w:lang w:val="pl-PL"/>
        </w:rPr>
        <w:t xml:space="preserve"> 2012 r.</w:t>
      </w:r>
      <w:r w:rsidRPr="00EE75F6">
        <w:rPr>
          <w:rStyle w:val="sb8d990e2"/>
          <w:spacing w:val="-2"/>
          <w:lang w:val="pl-PL"/>
        </w:rPr>
        <w:t xml:space="preserve">). Prawo do kontroli sądowej na gruncie </w:t>
      </w:r>
      <w:r w:rsidRPr="00EE75F6">
        <w:rPr>
          <w:lang w:val="pl-PL"/>
        </w:rPr>
        <w:t>art. 5 ust. 4 nie jest na tyle szerokie, by upoważniać sądy do dokonywania przez nie zmian decyzji właściwych organów we wszystkich aspektach danej sprawy, w tym w kwestiach czysto praktycznych. Kontrola</w:t>
      </w:r>
      <w:r w:rsidR="002B0BE7">
        <w:rPr>
          <w:lang w:val="pl-PL"/>
        </w:rPr>
        <w:t xml:space="preserve"> ta</w:t>
      </w:r>
      <w:r w:rsidRPr="00EE75F6">
        <w:rPr>
          <w:lang w:val="pl-PL"/>
        </w:rPr>
        <w:t xml:space="preserve"> powinna jednak być na tyle szeroka, by móc rzutować na te warunki, które są niezbędne dla [zapewnienia] legalności pozbawienia wolności danej osoby zgodnie z art. 5 ust. 1 </w:t>
      </w:r>
      <w:r w:rsidRPr="00EE75F6">
        <w:rPr>
          <w:spacing w:val="-2"/>
          <w:lang w:val="pl-PL"/>
        </w:rPr>
        <w:t xml:space="preserve">(zob. </w:t>
      </w:r>
      <w:proofErr w:type="spellStart"/>
      <w:r w:rsidRPr="00EE75F6">
        <w:rPr>
          <w:i/>
          <w:spacing w:val="-2"/>
          <w:lang w:val="pl-PL"/>
        </w:rPr>
        <w:t>Chahal</w:t>
      </w:r>
      <w:proofErr w:type="spellEnd"/>
      <w:r w:rsidRPr="00EE75F6">
        <w:rPr>
          <w:i/>
          <w:spacing w:val="-2"/>
          <w:lang w:val="pl-PL"/>
        </w:rPr>
        <w:t xml:space="preserve"> przeciwko Wielkiej Brytanii</w:t>
      </w:r>
      <w:r w:rsidRPr="00EE75F6">
        <w:rPr>
          <w:spacing w:val="-2"/>
          <w:lang w:val="pl-PL"/>
        </w:rPr>
        <w:t xml:space="preserve">, 15 listopada 1996 r., pkt 127, </w:t>
      </w:r>
      <w:proofErr w:type="spellStart"/>
      <w:r w:rsidRPr="00EE75F6">
        <w:rPr>
          <w:i/>
          <w:spacing w:val="-2"/>
          <w:lang w:val="pl-PL"/>
        </w:rPr>
        <w:t>Reports</w:t>
      </w:r>
      <w:proofErr w:type="spellEnd"/>
      <w:r w:rsidRPr="00EE75F6">
        <w:rPr>
          <w:i/>
          <w:spacing w:val="-2"/>
          <w:lang w:val="pl-PL"/>
        </w:rPr>
        <w:t xml:space="preserve"> of </w:t>
      </w:r>
      <w:proofErr w:type="spellStart"/>
      <w:r w:rsidRPr="00EE75F6">
        <w:rPr>
          <w:i/>
          <w:spacing w:val="-2"/>
          <w:lang w:val="pl-PL"/>
        </w:rPr>
        <w:t>Judgments</w:t>
      </w:r>
      <w:proofErr w:type="spellEnd"/>
      <w:r w:rsidRPr="00EE75F6">
        <w:rPr>
          <w:i/>
          <w:spacing w:val="-2"/>
          <w:lang w:val="pl-PL"/>
        </w:rPr>
        <w:t xml:space="preserve"> and </w:t>
      </w:r>
      <w:proofErr w:type="spellStart"/>
      <w:r w:rsidRPr="00EE75F6">
        <w:rPr>
          <w:i/>
          <w:spacing w:val="-2"/>
          <w:lang w:val="pl-PL"/>
        </w:rPr>
        <w:t>Decisions</w:t>
      </w:r>
      <w:proofErr w:type="spellEnd"/>
      <w:r w:rsidRPr="00EE75F6">
        <w:rPr>
          <w:spacing w:val="-2"/>
          <w:lang w:val="pl-PL"/>
        </w:rPr>
        <w:t xml:space="preserve"> 1996</w:t>
      </w:r>
      <w:r w:rsidRPr="00EE75F6">
        <w:rPr>
          <w:spacing w:val="-2"/>
          <w:lang w:val="pl-PL"/>
        </w:rPr>
        <w:noBreakHyphen/>
        <w:t xml:space="preserve">V; oraz </w:t>
      </w:r>
      <w:r w:rsidRPr="00EE75F6">
        <w:rPr>
          <w:i/>
          <w:spacing w:val="-2"/>
          <w:lang w:val="pl-PL"/>
        </w:rPr>
        <w:t>S.D. przeciwko Grecji</w:t>
      </w:r>
      <w:r w:rsidRPr="00EE75F6">
        <w:rPr>
          <w:spacing w:val="-2"/>
          <w:lang w:val="pl-PL"/>
        </w:rPr>
        <w:t xml:space="preserve">, skarga nr 53541/07, pkt 72, 11 czerwca 2009 r.). Podobnie jak każde inne postanowienie Konwencji i jej Protokołów, art. 5 ust. 4 ma na celu zagwarantowanie praw, które nie są teoretyczne czy iluzoryczne, ale praktyczne i skuteczne (zob. </w:t>
      </w:r>
      <w:proofErr w:type="spellStart"/>
      <w:r w:rsidRPr="00EE75F6">
        <w:rPr>
          <w:i/>
          <w:spacing w:val="-2"/>
          <w:lang w:val="pl-PL"/>
        </w:rPr>
        <w:t>Schöps</w:t>
      </w:r>
      <w:proofErr w:type="spellEnd"/>
      <w:r w:rsidRPr="00EE75F6">
        <w:rPr>
          <w:i/>
          <w:spacing w:val="-2"/>
          <w:lang w:val="pl-PL"/>
        </w:rPr>
        <w:t xml:space="preserve"> przeciwko Niemcom</w:t>
      </w:r>
      <w:r w:rsidRPr="00EE75F6">
        <w:rPr>
          <w:spacing w:val="-2"/>
          <w:lang w:val="pl-PL"/>
        </w:rPr>
        <w:t xml:space="preserve">, skarga nr 25116/94, pkt 47, ECHR 2001-I; oraz </w:t>
      </w:r>
      <w:proofErr w:type="spellStart"/>
      <w:r w:rsidRPr="00EE75F6">
        <w:rPr>
          <w:i/>
          <w:spacing w:val="-2"/>
          <w:szCs w:val="24"/>
          <w:lang w:val="pl-PL"/>
        </w:rPr>
        <w:t>Svipsta</w:t>
      </w:r>
      <w:proofErr w:type="spellEnd"/>
      <w:r w:rsidRPr="00EE75F6">
        <w:rPr>
          <w:i/>
          <w:spacing w:val="-2"/>
          <w:szCs w:val="24"/>
          <w:lang w:val="pl-PL"/>
        </w:rPr>
        <w:t xml:space="preserve"> przeciwko Łotwie</w:t>
      </w:r>
      <w:r w:rsidRPr="00EE75F6">
        <w:rPr>
          <w:spacing w:val="-2"/>
          <w:szCs w:val="24"/>
          <w:lang w:val="pl-PL"/>
        </w:rPr>
        <w:t xml:space="preserve">, skarga nr 66820/01, pkt 129, </w:t>
      </w:r>
      <w:r w:rsidRPr="00EE75F6">
        <w:rPr>
          <w:spacing w:val="-2"/>
          <w:lang w:val="pl-PL"/>
        </w:rPr>
        <w:t>ECHR 2006</w:t>
      </w:r>
      <w:r w:rsidRPr="00EE75F6">
        <w:rPr>
          <w:spacing w:val="-2"/>
          <w:lang w:val="pl-PL"/>
        </w:rPr>
        <w:noBreakHyphen/>
        <w:t>III (wyciąg)).</w:t>
      </w:r>
    </w:p>
    <w:p w:rsidR="00EE75F6" w:rsidRPr="00EE75F6" w:rsidRDefault="00EE75F6" w:rsidP="00EE75F6">
      <w:pPr>
        <w:pStyle w:val="ECHRPara"/>
        <w:rPr>
          <w:spacing w:val="-2"/>
          <w:lang w:val="pl-PL"/>
        </w:rPr>
      </w:pPr>
      <w:r w:rsidRPr="00EE75F6">
        <w:rPr>
          <w:spacing w:val="-2"/>
          <w:lang w:val="pl-PL"/>
        </w:rPr>
        <w:t xml:space="preserve">59. Odnosząc się do przedmiotowej sprawy, Trybunał zwraca uwagę, że po utracie mocy przez początkowe postanowienie o umieszczeniu skarżącego w schronisku dla nieletnich, dalsze pozbawienie </w:t>
      </w:r>
      <w:r w:rsidR="002B0BE7" w:rsidRPr="00EE75F6">
        <w:rPr>
          <w:spacing w:val="-2"/>
          <w:lang w:val="pl-PL"/>
        </w:rPr>
        <w:t>skarżącego</w:t>
      </w:r>
      <w:r w:rsidRPr="00EE75F6">
        <w:rPr>
          <w:spacing w:val="-2"/>
          <w:lang w:val="pl-PL"/>
        </w:rPr>
        <w:t xml:space="preserve"> wolności w tej placówce było oparte wyłącznie na wydanym przez sędziego postanowieniu o rozpoznaniu sprawy w postępowaniu poprawczym. Tym samym, jak zostało ustalone przez Trybunał powyżej, dalsze pozbawienie skarżącego wolności w schronisku dla nieletnich wynikało z praktyki, która rozwinęła się w związku z brakiem wła</w:t>
      </w:r>
      <w:r w:rsidR="00FD39C0">
        <w:rPr>
          <w:spacing w:val="-2"/>
          <w:lang w:val="pl-PL"/>
        </w:rPr>
        <w:t>ściwych przepisów ustawy o postę</w:t>
      </w:r>
      <w:bookmarkStart w:id="0" w:name="_GoBack"/>
      <w:bookmarkEnd w:id="0"/>
      <w:r w:rsidRPr="00EE75F6">
        <w:rPr>
          <w:spacing w:val="-2"/>
          <w:lang w:val="pl-PL"/>
        </w:rPr>
        <w:t xml:space="preserve">powaniu w sprawach nieletnich, nie miało natomiast oparcia w żadnych konkretnym przepisie prawa lub orzeczeniu sądowym. </w:t>
      </w:r>
    </w:p>
    <w:p w:rsidR="00EE75F6" w:rsidRPr="00EE75F6" w:rsidRDefault="00EE75F6" w:rsidP="00EE75F6">
      <w:pPr>
        <w:pStyle w:val="ECHRPara"/>
        <w:rPr>
          <w:spacing w:val="-2"/>
          <w:lang w:val="pl-PL"/>
        </w:rPr>
      </w:pPr>
      <w:r w:rsidRPr="00EE75F6">
        <w:rPr>
          <w:spacing w:val="-2"/>
          <w:lang w:val="pl-PL"/>
        </w:rPr>
        <w:t xml:space="preserve">60. Trybunał zwraca uwagę, że </w:t>
      </w:r>
      <w:r w:rsidR="002B0BE7" w:rsidRPr="00EE75F6">
        <w:rPr>
          <w:spacing w:val="-2"/>
          <w:lang w:val="pl-PL"/>
        </w:rPr>
        <w:t>skarżący</w:t>
      </w:r>
      <w:r w:rsidRPr="00EE75F6">
        <w:rPr>
          <w:spacing w:val="-2"/>
          <w:lang w:val="pl-PL"/>
        </w:rPr>
        <w:t xml:space="preserve"> </w:t>
      </w:r>
      <w:r w:rsidR="002B0BE7" w:rsidRPr="00EE75F6">
        <w:rPr>
          <w:spacing w:val="-2"/>
          <w:lang w:val="pl-PL"/>
        </w:rPr>
        <w:t>wystąpił</w:t>
      </w:r>
      <w:r w:rsidRPr="00EE75F6">
        <w:rPr>
          <w:spacing w:val="-2"/>
          <w:lang w:val="pl-PL"/>
        </w:rPr>
        <w:t xml:space="preserve"> z wnioskiem o zwolnienie, podnosząc, że po utracie mocy przez postanowienie o umieszczeniu go w schronisku dla nieletnich, nie wydano odrębnego postanowienia w przedmiocie przedłużenia jego pobytu w tej placówce. Wydaje się, że wniosek ten został złożony na podstawie art. 254 Kodeksu postępowania karnego, znajdującemu zastosowanie do postępowań </w:t>
      </w:r>
      <w:r w:rsidRPr="00EE75F6">
        <w:rPr>
          <w:spacing w:val="-2"/>
          <w:lang w:val="pl-PL"/>
        </w:rPr>
        <w:lastRenderedPageBreak/>
        <w:t xml:space="preserve">poprawczych w rozumieniu ustawy o postepowaniu w sprawach nieletnich na podstawie jej art. 20. W dniu 9 sierpnia 2012 r. Sąd Rejonowy dla Krakowa - </w:t>
      </w:r>
      <w:proofErr w:type="spellStart"/>
      <w:r w:rsidRPr="00EE75F6">
        <w:rPr>
          <w:spacing w:val="-2"/>
          <w:lang w:val="pl-PL"/>
        </w:rPr>
        <w:t>Krowodrza</w:t>
      </w:r>
      <w:proofErr w:type="spellEnd"/>
      <w:r w:rsidRPr="00EE75F6">
        <w:rPr>
          <w:spacing w:val="-2"/>
          <w:lang w:val="pl-PL"/>
        </w:rPr>
        <w:t xml:space="preserve"> oddalił wniosek skarżącego o zwolnienie ze schroniska. W uzasadnieniu [postanowienia] wskazano, że skarżący został oskarżony o popełnienie czynów zabronionych z użyciem niebezpiecznych przedmiotów, w związku z czym możliwość zastosowania innego środka niż zabezpieczający (umieszczenie w schronisku) jest wykluczona. Uzasadnienie miało pobieżny charakter i, co istotniejsze, nie odnosiło się do głównego argumentu podniesionego przez skarżącego, a mianowicie, że dalszy jego pobyt w schronisku dla nieletnich nie miał podstawy w postaci orzeczenia sądu. </w:t>
      </w:r>
    </w:p>
    <w:p w:rsidR="00EE75F6" w:rsidRPr="00EE75F6" w:rsidRDefault="00EE75F6" w:rsidP="00EE75F6">
      <w:pPr>
        <w:pStyle w:val="ECHRPara"/>
        <w:rPr>
          <w:spacing w:val="-2"/>
          <w:lang w:val="pl-PL"/>
        </w:rPr>
      </w:pPr>
      <w:r w:rsidRPr="00EE75F6">
        <w:rPr>
          <w:spacing w:val="-2"/>
          <w:lang w:val="pl-PL"/>
        </w:rPr>
        <w:t xml:space="preserve">61. Mając na uwadze powyższe, Trybunał zwraca uwagę, że wniosek o zwolnienie wnoszony jest w celu uchylenia lub zmiany środka zapobiegawczego. Niemniej jednak, Trybunał nie jest przekonany, czy wniosek o zwolnienie czyni zadość wymogowi kontroli sądowej zgodnie z art. 5 ust. 4 Konwencji w sytuacji, w której pozbawienie skarżącego wolności nie było skutkiem zastosowania środka zapobiegawczego przewidzianego w ustawie o postępowaniu w sprawach </w:t>
      </w:r>
      <w:r w:rsidR="002B0BE7" w:rsidRPr="00EE75F6">
        <w:rPr>
          <w:spacing w:val="-2"/>
          <w:lang w:val="pl-PL"/>
        </w:rPr>
        <w:t>nieletnich</w:t>
      </w:r>
      <w:r w:rsidRPr="00EE75F6">
        <w:rPr>
          <w:spacing w:val="-2"/>
          <w:lang w:val="pl-PL"/>
        </w:rPr>
        <w:t xml:space="preserve"> (umieszczenie w schronisku dla nieletnich), ale wynikało z faktu wydania postanowienia o rozpoznaniu sprawy w postępowaniu poprawczym na podstawie art. 42 § 2 ustawy. W każdym razie, Trybunał nie ma obowiązku ustalenia tej kwestii z następujących powodów. </w:t>
      </w:r>
    </w:p>
    <w:p w:rsidR="00EE75F6" w:rsidRPr="00EE75F6" w:rsidRDefault="00EE75F6" w:rsidP="00EE75F6">
      <w:pPr>
        <w:pStyle w:val="ECHRPara"/>
        <w:rPr>
          <w:lang w:val="pl-PL"/>
        </w:rPr>
      </w:pPr>
      <w:r w:rsidRPr="00EE75F6">
        <w:rPr>
          <w:spacing w:val="-2"/>
          <w:lang w:val="pl-PL"/>
        </w:rPr>
        <w:t xml:space="preserve">62. Nawet jeżeli z teoretycznego punktu widzenia wniosek o zwolnienie spełniałby kryteria kontroli sądowej zgodnie z art. 5 ust. 4, nie miało to miejsca w sprawie skarżącego. Pomimo tego, że art. 5 ust. 4 Konwencji nie nakłada na sąd rozpoznający odwołanie w sprawie pozbawienia wolności obowiązku ustosunkowania się do każdego argumentu podniesionego w zarzutach odwołującego się, gwarancje ujęte w tym </w:t>
      </w:r>
      <w:r w:rsidR="002B0BE7" w:rsidRPr="00EE75F6">
        <w:rPr>
          <w:spacing w:val="-2"/>
          <w:lang w:val="pl-PL"/>
        </w:rPr>
        <w:t>przepisie</w:t>
      </w:r>
      <w:r w:rsidRPr="00EE75F6">
        <w:rPr>
          <w:spacing w:val="-2"/>
          <w:lang w:val="pl-PL"/>
        </w:rPr>
        <w:t xml:space="preserve"> byłyby pozbawione znaczenia, gdyby sąd - opierając się na prawie krajowym i praktyce - mógł uznać za </w:t>
      </w:r>
      <w:r w:rsidR="002B0BE7" w:rsidRPr="00EE75F6">
        <w:rPr>
          <w:spacing w:val="-2"/>
          <w:lang w:val="pl-PL"/>
        </w:rPr>
        <w:t>nieistotne</w:t>
      </w:r>
      <w:r w:rsidRPr="00EE75F6">
        <w:rPr>
          <w:spacing w:val="-2"/>
          <w:lang w:val="pl-PL"/>
        </w:rPr>
        <w:t xml:space="preserve"> lub zlekceważyć przywołane przez osobę pozbawioną wolności konkretne fakty, mogące poddać w wątpliwość rzeczywiste istnienie warunków, od których zależy "legalność" pozbawienia wolności w rozumieniu Konwencji </w:t>
      </w:r>
      <w:r w:rsidRPr="00EE75F6">
        <w:rPr>
          <w:lang w:val="pl-PL"/>
        </w:rPr>
        <w:t xml:space="preserve">(zob. </w:t>
      </w:r>
      <w:proofErr w:type="spellStart"/>
      <w:r w:rsidRPr="00EE75F6">
        <w:rPr>
          <w:i/>
          <w:iCs/>
          <w:lang w:val="pl-PL"/>
        </w:rPr>
        <w:t>Nikolova</w:t>
      </w:r>
      <w:proofErr w:type="spellEnd"/>
      <w:r w:rsidRPr="00EE75F6">
        <w:rPr>
          <w:i/>
          <w:iCs/>
          <w:lang w:val="pl-PL"/>
        </w:rPr>
        <w:t xml:space="preserve"> przeciwko </w:t>
      </w:r>
      <w:r w:rsidR="002B0BE7" w:rsidRPr="00EE75F6">
        <w:rPr>
          <w:i/>
          <w:iCs/>
          <w:lang w:val="pl-PL"/>
        </w:rPr>
        <w:t>Bułgarii</w:t>
      </w:r>
      <w:r w:rsidRPr="00EE75F6">
        <w:rPr>
          <w:lang w:val="pl-PL"/>
        </w:rPr>
        <w:t xml:space="preserve"> [Wielka Izba], skarga nr 31195/96, pkt 61, ECHR 1999II). Jednakże, postanowienie Sądu Rejonowego dla Krakowa</w:t>
      </w:r>
      <w:r w:rsidR="002B0BE7">
        <w:rPr>
          <w:lang w:val="pl-PL"/>
        </w:rPr>
        <w:t xml:space="preserve"> </w:t>
      </w:r>
      <w:r w:rsidRPr="00EE75F6">
        <w:rPr>
          <w:lang w:val="pl-PL"/>
        </w:rPr>
        <w:t>-</w:t>
      </w:r>
      <w:r w:rsidR="002B0BE7">
        <w:rPr>
          <w:lang w:val="pl-PL"/>
        </w:rPr>
        <w:t xml:space="preserve"> </w:t>
      </w:r>
      <w:proofErr w:type="spellStart"/>
      <w:r w:rsidRPr="00EE75F6">
        <w:rPr>
          <w:lang w:val="pl-PL"/>
        </w:rPr>
        <w:t>Krowodrza</w:t>
      </w:r>
      <w:proofErr w:type="spellEnd"/>
      <w:r w:rsidRPr="00EE75F6">
        <w:rPr>
          <w:lang w:val="pl-PL"/>
        </w:rPr>
        <w:t xml:space="preserve"> z dnia 9 sierpnia 2012 r. nie zawierało wyjaśnienia podstawy prawnej dalszego pozbawienia wolności skarżącego w schronisku dla nieletnich i jedynie odwoływało się do faktu, że został on oskarżony o popełnienie poważnych czynów zabronionych. Co więcej, kwestionowane postanowienie nie odnosiło się do kwestii "legalności" pozbawienia wolności skarżącego w rozumieniu art. 5 ust. 1 Konwencji, co zostało przez Trybunał ustalone powyżej. </w:t>
      </w:r>
    </w:p>
    <w:p w:rsidR="00EE75F6" w:rsidRPr="00EE75F6" w:rsidRDefault="00EE75F6" w:rsidP="00EE75F6">
      <w:pPr>
        <w:pStyle w:val="ECHRPara"/>
        <w:rPr>
          <w:lang w:val="pl-PL"/>
        </w:rPr>
      </w:pPr>
      <w:r w:rsidRPr="00EE75F6">
        <w:rPr>
          <w:lang w:val="pl-PL"/>
        </w:rPr>
        <w:t xml:space="preserve">63. Powyższe rozważania są wystarczające do uznania przez Trybunał, że skarżący nie dysponował odpowiednim środkiem odwoławczym, </w:t>
      </w:r>
      <w:r w:rsidRPr="00EE75F6">
        <w:rPr>
          <w:lang w:val="pl-PL"/>
        </w:rPr>
        <w:lastRenderedPageBreak/>
        <w:t xml:space="preserve">umożliwiającym kontrolę legalności pozbawienia wolności skarżącego w rozumieniu, co stanowi naruszenie art. 5 ust. 4 Konwencji. </w:t>
      </w:r>
    </w:p>
    <w:p w:rsidR="00EE75F6" w:rsidRPr="00EE75F6" w:rsidRDefault="00EE75F6" w:rsidP="00EE75F6">
      <w:pPr>
        <w:pStyle w:val="ECHRPara"/>
        <w:rPr>
          <w:lang w:val="pl-PL"/>
        </w:rPr>
      </w:pPr>
      <w:r w:rsidRPr="00EE75F6">
        <w:rPr>
          <w:lang w:val="pl-PL"/>
        </w:rPr>
        <w:t xml:space="preserve">64. W związku z tym, w przedmiotowej sprawie doszło do naruszenia tego przepisu. </w:t>
      </w:r>
    </w:p>
    <w:p w:rsidR="00EE75F6" w:rsidRPr="00EE75F6" w:rsidRDefault="00EE75F6" w:rsidP="00EE75F6">
      <w:pPr>
        <w:pStyle w:val="ECHRPara"/>
        <w:rPr>
          <w:lang w:val="pl-PL"/>
        </w:rPr>
      </w:pPr>
    </w:p>
    <w:p w:rsidR="00EE75F6" w:rsidRPr="00EE75F6" w:rsidRDefault="00EE75F6" w:rsidP="00EE75F6">
      <w:pPr>
        <w:pStyle w:val="ECHRPara"/>
        <w:rPr>
          <w:lang w:val="pl-PL"/>
        </w:rPr>
      </w:pPr>
    </w:p>
    <w:p w:rsidR="00EE75F6" w:rsidRPr="00EE75F6" w:rsidRDefault="00EE75F6" w:rsidP="00EE75F6">
      <w:pPr>
        <w:pStyle w:val="ECHRPara"/>
        <w:ind w:firstLine="0"/>
        <w:rPr>
          <w:lang w:val="pl-PL"/>
        </w:rPr>
      </w:pPr>
      <w:r w:rsidRPr="00EE75F6">
        <w:rPr>
          <w:lang w:val="pl-PL"/>
        </w:rPr>
        <w:t xml:space="preserve">III. ZASTOSOWANIE ART. 46 KONWENCJI </w:t>
      </w:r>
    </w:p>
    <w:p w:rsidR="00EE75F6" w:rsidRPr="00EE75F6" w:rsidRDefault="00EE75F6" w:rsidP="00EE75F6">
      <w:pPr>
        <w:pStyle w:val="ECHRPara"/>
        <w:ind w:firstLine="0"/>
        <w:rPr>
          <w:lang w:val="pl-PL"/>
        </w:rPr>
      </w:pPr>
    </w:p>
    <w:p w:rsidR="00EE75F6" w:rsidRPr="00EE75F6" w:rsidRDefault="00EE75F6" w:rsidP="002B0BE7">
      <w:pPr>
        <w:pStyle w:val="ECHRPara"/>
        <w:rPr>
          <w:lang w:val="pl-PL"/>
        </w:rPr>
      </w:pPr>
      <w:r w:rsidRPr="00EE75F6">
        <w:rPr>
          <w:lang w:val="pl-PL"/>
        </w:rPr>
        <w:t xml:space="preserve">65. Art. 46 Konwencji, w istotnym zakresie, stanowi, co następuje: </w:t>
      </w:r>
    </w:p>
    <w:p w:rsidR="00EE75F6" w:rsidRPr="00EE75F6" w:rsidRDefault="00EE75F6" w:rsidP="00EE75F6">
      <w:pPr>
        <w:pStyle w:val="ECHRPara"/>
        <w:ind w:firstLine="360"/>
        <w:rPr>
          <w:lang w:val="pl-PL"/>
        </w:rPr>
      </w:pPr>
    </w:p>
    <w:p w:rsidR="00EE75F6" w:rsidRPr="00EE75F6" w:rsidRDefault="00EE75F6" w:rsidP="002B0BE7">
      <w:pPr>
        <w:pStyle w:val="ECHRPara"/>
        <w:ind w:left="426" w:firstLine="141"/>
        <w:rPr>
          <w:sz w:val="20"/>
          <w:szCs w:val="20"/>
          <w:lang w:val="pl-PL"/>
        </w:rPr>
      </w:pPr>
      <w:r w:rsidRPr="00EE75F6">
        <w:rPr>
          <w:sz w:val="20"/>
          <w:szCs w:val="20"/>
          <w:lang w:val="pl-PL"/>
        </w:rPr>
        <w:tab/>
        <w:t>"1. Wysokie Układające się Strony zobowiązują się do przestrzegania ostatecznego wyroku Trybunału we wszystkich sprawach, w których są stronami.</w:t>
      </w:r>
    </w:p>
    <w:p w:rsidR="00EE75F6" w:rsidRPr="00EE75F6" w:rsidRDefault="00EE75F6" w:rsidP="00EE75F6">
      <w:pPr>
        <w:pStyle w:val="ECHRPara"/>
        <w:ind w:firstLine="360"/>
        <w:rPr>
          <w:sz w:val="20"/>
          <w:szCs w:val="20"/>
          <w:lang w:val="pl-PL"/>
        </w:rPr>
      </w:pPr>
    </w:p>
    <w:p w:rsidR="00EE75F6" w:rsidRPr="00EE75F6" w:rsidRDefault="00EE75F6" w:rsidP="002B0BE7">
      <w:pPr>
        <w:pStyle w:val="ECHRPara"/>
        <w:ind w:left="426" w:firstLine="141"/>
        <w:rPr>
          <w:sz w:val="20"/>
          <w:szCs w:val="20"/>
          <w:lang w:val="pl-PL"/>
        </w:rPr>
      </w:pPr>
      <w:r w:rsidRPr="00EE75F6">
        <w:rPr>
          <w:sz w:val="20"/>
          <w:szCs w:val="20"/>
          <w:lang w:val="pl-PL"/>
        </w:rPr>
        <w:tab/>
        <w:t>2. Ostateczny wyrok Trybunału przekazuje się Komitetowi Ministrów, który czuwa nad jego wykonaniem. ..."</w:t>
      </w:r>
    </w:p>
    <w:p w:rsidR="00EE75F6" w:rsidRPr="00EE75F6" w:rsidRDefault="00EE75F6" w:rsidP="00EE75F6">
      <w:pPr>
        <w:pStyle w:val="ECHRPara"/>
        <w:ind w:firstLine="360"/>
        <w:rPr>
          <w:sz w:val="20"/>
          <w:szCs w:val="20"/>
          <w:lang w:val="pl-PL"/>
        </w:rPr>
      </w:pPr>
    </w:p>
    <w:p w:rsidR="00EE75F6" w:rsidRPr="00EE75F6" w:rsidRDefault="00EE75F6" w:rsidP="00EE75F6">
      <w:pPr>
        <w:widowControl w:val="0"/>
        <w:autoSpaceDE w:val="0"/>
        <w:autoSpaceDN w:val="0"/>
        <w:adjustRightInd w:val="0"/>
        <w:ind w:firstLine="284"/>
        <w:rPr>
          <w:spacing w:val="-2"/>
          <w:lang w:val="pl-PL"/>
        </w:rPr>
      </w:pPr>
      <w:r w:rsidRPr="00EE75F6">
        <w:rPr>
          <w:lang w:val="pl-PL"/>
        </w:rPr>
        <w:t xml:space="preserve">66. Trybunał po raz kolejny podkreśla, że na podstawie art. 46 Konwencji Wysokie Układające się Strony zobowiązują się do przestrzegania ostatecznego wyroku Trybunału we wszystkich sprawach, w których są stronami, zaś nad wykonaniem wyroków czuwa Komitet Ministrów. Wynika z tego m.in., że wyrok, w którym Trybunał stwierdza naruszenie przepisów Konwencji lub jej Protokołów, nakłada na pozwane państwo prawny obowiązek nie tylko zapłaty stronie pokrzywdzonej odpowiedniej sumy tytułem słusznego zadośćuczynienia, ale również wyboru, przy jednoczesnej kontroli ze strony Komitetu Ministrów, generalnych lub, odpowiednio, indywidualnych środków, których przyjęcie w krajowym porządku prawnym będzie służyć usunięciu naruszenia [Konwencji] stwierdzonego przez Trybunał oraz, na tyle, na ile to możliwe, usunięciu konsekwencji </w:t>
      </w:r>
      <w:r w:rsidR="002B0BE7">
        <w:rPr>
          <w:lang w:val="pl-PL"/>
        </w:rPr>
        <w:t xml:space="preserve">tego </w:t>
      </w:r>
      <w:r w:rsidRPr="00EE75F6">
        <w:rPr>
          <w:lang w:val="pl-PL"/>
        </w:rPr>
        <w:t xml:space="preserve">naruszenia </w:t>
      </w:r>
      <w:r w:rsidRPr="00EE75F6">
        <w:rPr>
          <w:spacing w:val="-2"/>
          <w:lang w:val="pl-PL"/>
        </w:rPr>
        <w:t xml:space="preserve">(zob. </w:t>
      </w:r>
      <w:proofErr w:type="spellStart"/>
      <w:r w:rsidRPr="00EE75F6">
        <w:rPr>
          <w:i/>
          <w:iCs/>
          <w:spacing w:val="-2"/>
          <w:lang w:val="pl-PL"/>
        </w:rPr>
        <w:t>Menteş</w:t>
      </w:r>
      <w:proofErr w:type="spellEnd"/>
      <w:r w:rsidRPr="00EE75F6">
        <w:rPr>
          <w:i/>
          <w:iCs/>
          <w:spacing w:val="-2"/>
          <w:lang w:val="pl-PL"/>
        </w:rPr>
        <w:t xml:space="preserve"> i Inni przeciwko Turcji</w:t>
      </w:r>
      <w:r w:rsidRPr="00EE75F6">
        <w:rPr>
          <w:spacing w:val="-2"/>
          <w:lang w:val="pl-PL"/>
        </w:rPr>
        <w:t xml:space="preserve"> (Art. 50), 24 lipca 1998 r., pkt 24, </w:t>
      </w:r>
      <w:proofErr w:type="spellStart"/>
      <w:r w:rsidRPr="00EE75F6">
        <w:rPr>
          <w:i/>
          <w:iCs/>
          <w:spacing w:val="-2"/>
          <w:lang w:val="pl-PL"/>
        </w:rPr>
        <w:t>Reports</w:t>
      </w:r>
      <w:proofErr w:type="spellEnd"/>
      <w:r w:rsidRPr="00EE75F6">
        <w:rPr>
          <w:i/>
          <w:iCs/>
          <w:spacing w:val="-2"/>
          <w:lang w:val="pl-PL"/>
        </w:rPr>
        <w:t xml:space="preserve"> </w:t>
      </w:r>
      <w:r w:rsidRPr="00EE75F6">
        <w:rPr>
          <w:spacing w:val="-2"/>
          <w:lang w:val="pl-PL"/>
        </w:rPr>
        <w:t xml:space="preserve">1998IV; </w:t>
      </w:r>
      <w:proofErr w:type="spellStart"/>
      <w:r w:rsidRPr="00EE75F6">
        <w:rPr>
          <w:i/>
          <w:iCs/>
          <w:spacing w:val="-2"/>
          <w:lang w:val="pl-PL"/>
        </w:rPr>
        <w:t>Scozzari</w:t>
      </w:r>
      <w:proofErr w:type="spellEnd"/>
      <w:r w:rsidRPr="00EE75F6">
        <w:rPr>
          <w:i/>
          <w:iCs/>
          <w:spacing w:val="-2"/>
          <w:lang w:val="pl-PL"/>
        </w:rPr>
        <w:t xml:space="preserve"> i </w:t>
      </w:r>
      <w:proofErr w:type="spellStart"/>
      <w:r w:rsidRPr="00EE75F6">
        <w:rPr>
          <w:i/>
          <w:iCs/>
          <w:spacing w:val="-2"/>
          <w:lang w:val="pl-PL"/>
        </w:rPr>
        <w:t>Giunta</w:t>
      </w:r>
      <w:proofErr w:type="spellEnd"/>
      <w:r w:rsidRPr="00EE75F6">
        <w:rPr>
          <w:spacing w:val="-2"/>
          <w:lang w:val="pl-PL"/>
        </w:rPr>
        <w:t xml:space="preserve">, [Wielka Izba], nr skarg 39221/98 i 41963/98, pkt 249, ECHR 2000-VIII; oraz </w:t>
      </w:r>
      <w:proofErr w:type="spellStart"/>
      <w:r w:rsidRPr="00EE75F6">
        <w:rPr>
          <w:i/>
          <w:iCs/>
          <w:spacing w:val="-2"/>
          <w:lang w:val="pl-PL"/>
        </w:rPr>
        <w:t>Maestri</w:t>
      </w:r>
      <w:proofErr w:type="spellEnd"/>
      <w:r w:rsidRPr="00EE75F6">
        <w:rPr>
          <w:i/>
          <w:iCs/>
          <w:spacing w:val="-2"/>
          <w:lang w:val="pl-PL"/>
        </w:rPr>
        <w:t xml:space="preserve"> przeciwko Włochom </w:t>
      </w:r>
      <w:r w:rsidRPr="00EE75F6">
        <w:rPr>
          <w:spacing w:val="-2"/>
          <w:lang w:val="pl-PL"/>
        </w:rPr>
        <w:t>[Wielka Izba], skarga nr 39748/98, pkt 47, ECHR 2004-I).</w:t>
      </w:r>
      <w:r w:rsidRPr="00EE75F6">
        <w:rPr>
          <w:lang w:val="pl-PL"/>
        </w:rPr>
        <w:t xml:space="preserve"> Do Trybunału nie należy, co do zasady, określenie, jakie środki mogą być odpowiednie do usunięcia konsekwencji naruszenia zgodnie z obowiązkami nałożonymi na pozwane państwo na podstawie art. 46 </w:t>
      </w:r>
      <w:r w:rsidRPr="00EE75F6">
        <w:rPr>
          <w:spacing w:val="-2"/>
          <w:lang w:val="pl-PL"/>
        </w:rPr>
        <w:t xml:space="preserve">Konwencji (zob. </w:t>
      </w:r>
      <w:proofErr w:type="spellStart"/>
      <w:r w:rsidRPr="00EE75F6">
        <w:rPr>
          <w:i/>
          <w:iCs/>
          <w:spacing w:val="-2"/>
          <w:lang w:val="pl-PL"/>
        </w:rPr>
        <w:t>Scozzari</w:t>
      </w:r>
      <w:proofErr w:type="spellEnd"/>
      <w:r w:rsidRPr="00EE75F6">
        <w:rPr>
          <w:i/>
          <w:iCs/>
          <w:spacing w:val="-2"/>
          <w:lang w:val="pl-PL"/>
        </w:rPr>
        <w:t xml:space="preserve"> i </w:t>
      </w:r>
      <w:proofErr w:type="spellStart"/>
      <w:r w:rsidRPr="00EE75F6">
        <w:rPr>
          <w:i/>
          <w:iCs/>
          <w:spacing w:val="-2"/>
          <w:lang w:val="pl-PL"/>
        </w:rPr>
        <w:t>Giunta</w:t>
      </w:r>
      <w:proofErr w:type="spellEnd"/>
      <w:r w:rsidRPr="00EE75F6">
        <w:rPr>
          <w:spacing w:val="-2"/>
          <w:lang w:val="pl-PL"/>
        </w:rPr>
        <w:t xml:space="preserve">, cyt. powyżej; </w:t>
      </w:r>
      <w:proofErr w:type="spellStart"/>
      <w:r w:rsidRPr="00EE75F6">
        <w:rPr>
          <w:i/>
          <w:iCs/>
          <w:spacing w:val="-2"/>
          <w:lang w:val="pl-PL"/>
        </w:rPr>
        <w:t>Brumărescu</w:t>
      </w:r>
      <w:proofErr w:type="spellEnd"/>
      <w:r w:rsidRPr="00EE75F6">
        <w:rPr>
          <w:i/>
          <w:iCs/>
          <w:spacing w:val="-2"/>
          <w:lang w:val="pl-PL"/>
        </w:rPr>
        <w:t xml:space="preserve"> przeciwko Rumunii</w:t>
      </w:r>
      <w:r w:rsidRPr="00EE75F6">
        <w:rPr>
          <w:spacing w:val="-2"/>
          <w:lang w:val="pl-PL"/>
        </w:rPr>
        <w:t xml:space="preserve"> (słuszne zadośćuczynienie) [Wielka Izba], skarga nr 28342/95, pkt 20, ECHR 2001-I; oraz </w:t>
      </w:r>
      <w:proofErr w:type="spellStart"/>
      <w:r w:rsidRPr="00EE75F6">
        <w:rPr>
          <w:i/>
          <w:iCs/>
          <w:spacing w:val="-2"/>
          <w:lang w:val="pl-PL"/>
        </w:rPr>
        <w:t>Öcalan</w:t>
      </w:r>
      <w:proofErr w:type="spellEnd"/>
      <w:r w:rsidRPr="00EE75F6">
        <w:rPr>
          <w:i/>
          <w:iCs/>
          <w:spacing w:val="-2"/>
          <w:lang w:val="pl-PL"/>
        </w:rPr>
        <w:t> przeciwko Turcji</w:t>
      </w:r>
      <w:r w:rsidRPr="00EE75F6">
        <w:rPr>
          <w:spacing w:val="-2"/>
          <w:lang w:val="pl-PL"/>
        </w:rPr>
        <w:t xml:space="preserve"> [Wielka Izba], skarga nr 46221/99, pkt 210, ECHR 2005IV). Jednakże, w celu udzielenia pomocy pozwanemu Państwu w wywiązaniu się z zobowiązań wynikających z art. 46, Trybunał może wskazać rodzaj środków indywidualnych lub generalnych, które mogłyby zostać podjęte, by położyć kres naruszeniu (zob. </w:t>
      </w:r>
      <w:r w:rsidRPr="00EE75F6">
        <w:rPr>
          <w:i/>
          <w:iCs/>
          <w:spacing w:val="-2"/>
          <w:lang w:val="pl-PL"/>
        </w:rPr>
        <w:t xml:space="preserve">Broniowski przeciwko Polsce </w:t>
      </w:r>
      <w:r w:rsidRPr="00EE75F6">
        <w:rPr>
          <w:spacing w:val="-2"/>
          <w:lang w:val="pl-PL"/>
        </w:rPr>
        <w:t xml:space="preserve">[Wielka Izba], skarga nr 31443/96, pkt 194, ECHR 2004-V; </w:t>
      </w:r>
      <w:proofErr w:type="spellStart"/>
      <w:r w:rsidRPr="00EE75F6">
        <w:rPr>
          <w:i/>
          <w:iCs/>
          <w:spacing w:val="-2"/>
          <w:lang w:val="pl-PL"/>
        </w:rPr>
        <w:t>Scoppola</w:t>
      </w:r>
      <w:proofErr w:type="spellEnd"/>
      <w:r w:rsidRPr="00EE75F6">
        <w:rPr>
          <w:i/>
          <w:iCs/>
          <w:spacing w:val="-2"/>
          <w:lang w:val="pl-PL"/>
        </w:rPr>
        <w:t xml:space="preserve"> przeciwko Włochom (nr 2)</w:t>
      </w:r>
      <w:r w:rsidRPr="00EE75F6">
        <w:rPr>
          <w:spacing w:val="-2"/>
          <w:lang w:val="pl-PL"/>
        </w:rPr>
        <w:t xml:space="preserve"> [Wielka Izba], skarga nr 10249/03, pkt 148, ECHR 2009; </w:t>
      </w:r>
      <w:proofErr w:type="spellStart"/>
      <w:r w:rsidRPr="00EE75F6">
        <w:rPr>
          <w:i/>
          <w:iCs/>
          <w:spacing w:val="-2"/>
          <w:lang w:val="pl-PL"/>
        </w:rPr>
        <w:t>Stanev</w:t>
      </w:r>
      <w:proofErr w:type="spellEnd"/>
      <w:r w:rsidRPr="00EE75F6">
        <w:rPr>
          <w:i/>
          <w:iCs/>
          <w:spacing w:val="-2"/>
          <w:lang w:val="pl-PL"/>
        </w:rPr>
        <w:t xml:space="preserve"> przeciwko Bułgarii </w:t>
      </w:r>
      <w:r w:rsidRPr="00EE75F6">
        <w:rPr>
          <w:spacing w:val="-2"/>
          <w:lang w:val="pl-PL"/>
        </w:rPr>
        <w:t xml:space="preserve">[Wielka Izba], skarga </w:t>
      </w:r>
      <w:r w:rsidRPr="00EE75F6">
        <w:rPr>
          <w:spacing w:val="-2"/>
          <w:lang w:val="pl-PL"/>
        </w:rPr>
        <w:lastRenderedPageBreak/>
        <w:t xml:space="preserve">nr 36760/06, pkt 255, 17 stycznia 2012; oraz </w:t>
      </w:r>
      <w:proofErr w:type="spellStart"/>
      <w:r w:rsidRPr="00EE75F6">
        <w:rPr>
          <w:i/>
          <w:iCs/>
          <w:spacing w:val="-2"/>
          <w:lang w:val="pl-PL"/>
        </w:rPr>
        <w:t>Suso</w:t>
      </w:r>
      <w:proofErr w:type="spellEnd"/>
      <w:r w:rsidRPr="00EE75F6">
        <w:rPr>
          <w:i/>
          <w:iCs/>
          <w:spacing w:val="-2"/>
          <w:lang w:val="pl-PL"/>
        </w:rPr>
        <w:t xml:space="preserve"> </w:t>
      </w:r>
      <w:proofErr w:type="spellStart"/>
      <w:r w:rsidRPr="00EE75F6">
        <w:rPr>
          <w:i/>
          <w:iCs/>
          <w:spacing w:val="-2"/>
          <w:lang w:val="pl-PL"/>
        </w:rPr>
        <w:t>Musa</w:t>
      </w:r>
      <w:proofErr w:type="spellEnd"/>
      <w:r w:rsidRPr="00EE75F6">
        <w:rPr>
          <w:spacing w:val="-2"/>
          <w:lang w:val="pl-PL"/>
        </w:rPr>
        <w:t xml:space="preserve"> </w:t>
      </w:r>
      <w:r w:rsidRPr="00EE75F6">
        <w:rPr>
          <w:i/>
          <w:iCs/>
          <w:spacing w:val="-2"/>
          <w:lang w:val="pl-PL"/>
        </w:rPr>
        <w:t>przeciwko Malcie</w:t>
      </w:r>
      <w:r w:rsidRPr="00EE75F6">
        <w:rPr>
          <w:spacing w:val="-2"/>
          <w:lang w:val="pl-PL"/>
        </w:rPr>
        <w:t>, skarga nr 42337/12, pkt 120, 23 lipca 2013 r.).</w:t>
      </w:r>
    </w:p>
    <w:p w:rsidR="00EE75F6" w:rsidRPr="00EE75F6" w:rsidRDefault="00EE75F6" w:rsidP="00EE75F6">
      <w:pPr>
        <w:widowControl w:val="0"/>
        <w:autoSpaceDE w:val="0"/>
        <w:autoSpaceDN w:val="0"/>
        <w:adjustRightInd w:val="0"/>
        <w:ind w:firstLine="284"/>
        <w:rPr>
          <w:spacing w:val="-2"/>
          <w:lang w:val="pl-PL"/>
        </w:rPr>
      </w:pPr>
      <w:r w:rsidRPr="00EE75F6">
        <w:rPr>
          <w:spacing w:val="-2"/>
          <w:lang w:val="pl-PL"/>
        </w:rPr>
        <w:t>67. W ocenie Trybunału, problemy wykryte w sprawie skarżącego mogą w późniejszym czasie doprowadzić do wzrostu liczby innych uzasadnionych skarg. W tej kwestii Trybunał zwraca uwagę, że przytoczone</w:t>
      </w:r>
      <w:r w:rsidR="002B0BE7">
        <w:rPr>
          <w:spacing w:val="-2"/>
          <w:lang w:val="pl-PL"/>
        </w:rPr>
        <w:t xml:space="preserve"> w pisemnych </w:t>
      </w:r>
      <w:r w:rsidRPr="00EE75F6">
        <w:rPr>
          <w:spacing w:val="-2"/>
          <w:lang w:val="pl-PL"/>
        </w:rPr>
        <w:t xml:space="preserve">uwagach strony trzeciej statystyki Ministerstwa Sprawiedliwości wg stanu na dzień 27 grudnia 2012 r. wskazywały, że w okolicznościach podobnych do tych, które zostały wskazane w sprawie skarżącego, w schroniskach dla nieletnich umieszczono 340 nieletnich. W związku z tym, oraz mając na uwadze powyższe ustalenia (zob. pkt 49-50), Trybunał stwierdza, że w celu wykonania niniejszego wyroku wymagane jest podjęcie środków generalnych na poziomie krajowym. </w:t>
      </w:r>
    </w:p>
    <w:p w:rsidR="002B0BE7" w:rsidRDefault="00EE75F6" w:rsidP="002B0BE7">
      <w:pPr>
        <w:widowControl w:val="0"/>
        <w:autoSpaceDE w:val="0"/>
        <w:autoSpaceDN w:val="0"/>
        <w:adjustRightInd w:val="0"/>
        <w:ind w:firstLine="284"/>
        <w:rPr>
          <w:spacing w:val="-2"/>
          <w:lang w:val="pl-PL"/>
        </w:rPr>
      </w:pPr>
      <w:r w:rsidRPr="00EE75F6">
        <w:rPr>
          <w:spacing w:val="-2"/>
          <w:lang w:val="pl-PL"/>
        </w:rPr>
        <w:t xml:space="preserve">68. Trybunał zwraca ponadto uwagę, że kwestie ustalone w sprawie skarżącego były już podnoszone przez Rzecznika Praw Obywatelskich oraz zwrócono na nie uwagę Ministra Sprawiedliwości, który uznał, że wymagają one rozwiązania w drodze nowelizacji prawa (zob. powyżej, pkt 31). Wydaje się jednak, że żadne konkretne działania w tym względzie nie zostały przez Rząd podjęte, a nadto, iż zmiany ustawy o postępowaniu w sprawach nieletnich wprowadzone ustawą z dnia 30 sierpnia 2013 r. nie rozwiązały problemów wskazanych przez Trybunał w sprawie skarżącego. W związku z powyższym, pozwane państwo powinno sięgnąć po środki legislacyjne, lub inne właściwe środki, w celu eliminacji praktyki wykształconej na gruncie art. 27 ustawy o postępowaniu w sprawach nieletnich, mającej zastosowanie we właściwym okresie, oraz zapewnienia, by każde pozbawienie nieletniego wolności miało podstawę w postaci orzeczenia sądu. Podjęte środki powinny być obliczone na usunięcie naruszeń obu przepisów Konwencji, które zostały stwierdzone przez Trybunał w przedmiotowej sprawie. </w:t>
      </w:r>
    </w:p>
    <w:p w:rsidR="002B0BE7" w:rsidRDefault="002B0BE7" w:rsidP="002B0BE7">
      <w:pPr>
        <w:widowControl w:val="0"/>
        <w:autoSpaceDE w:val="0"/>
        <w:autoSpaceDN w:val="0"/>
        <w:adjustRightInd w:val="0"/>
        <w:ind w:firstLine="284"/>
        <w:rPr>
          <w:spacing w:val="-2"/>
          <w:lang w:val="pl-PL"/>
        </w:rPr>
      </w:pPr>
    </w:p>
    <w:p w:rsidR="002B0BE7" w:rsidRDefault="00EE75F6" w:rsidP="00CC0321">
      <w:pPr>
        <w:widowControl w:val="0"/>
        <w:autoSpaceDE w:val="0"/>
        <w:autoSpaceDN w:val="0"/>
        <w:adjustRightInd w:val="0"/>
        <w:rPr>
          <w:spacing w:val="-2"/>
          <w:lang w:val="pl-PL"/>
        </w:rPr>
      </w:pPr>
      <w:r w:rsidRPr="00EE75F6">
        <w:rPr>
          <w:lang w:val="pl-PL"/>
        </w:rPr>
        <w:t>III.  ZASTOSOWANIE ARTYKUŁU 41 KONWENCJI</w:t>
      </w:r>
    </w:p>
    <w:p w:rsidR="00CC0321" w:rsidRDefault="00CC0321" w:rsidP="002B0BE7">
      <w:pPr>
        <w:widowControl w:val="0"/>
        <w:autoSpaceDE w:val="0"/>
        <w:autoSpaceDN w:val="0"/>
        <w:adjustRightInd w:val="0"/>
        <w:ind w:firstLine="284"/>
        <w:rPr>
          <w:lang w:val="pl-PL"/>
        </w:rPr>
      </w:pPr>
    </w:p>
    <w:p w:rsidR="002B0BE7" w:rsidRDefault="00EE75F6" w:rsidP="002B0BE7">
      <w:pPr>
        <w:widowControl w:val="0"/>
        <w:autoSpaceDE w:val="0"/>
        <w:autoSpaceDN w:val="0"/>
        <w:adjustRightInd w:val="0"/>
        <w:ind w:firstLine="284"/>
        <w:rPr>
          <w:spacing w:val="-2"/>
          <w:lang w:val="pl-PL"/>
        </w:rPr>
      </w:pPr>
      <w:r w:rsidRPr="00EE75F6">
        <w:rPr>
          <w:lang w:val="pl-PL"/>
        </w:rPr>
        <w:t>69.  Artykuł 41 Konwencji stanowi:</w:t>
      </w:r>
    </w:p>
    <w:p w:rsidR="002B0BE7" w:rsidRDefault="002B0BE7" w:rsidP="002B0BE7">
      <w:pPr>
        <w:widowControl w:val="0"/>
        <w:autoSpaceDE w:val="0"/>
        <w:autoSpaceDN w:val="0"/>
        <w:adjustRightInd w:val="0"/>
        <w:ind w:firstLine="284"/>
        <w:rPr>
          <w:spacing w:val="-2"/>
          <w:lang w:val="pl-PL"/>
        </w:rPr>
      </w:pPr>
    </w:p>
    <w:p w:rsidR="000A5DAE" w:rsidRDefault="000A5DAE" w:rsidP="002B0BE7">
      <w:pPr>
        <w:widowControl w:val="0"/>
        <w:autoSpaceDE w:val="0"/>
        <w:autoSpaceDN w:val="0"/>
        <w:adjustRightInd w:val="0"/>
        <w:ind w:firstLine="284"/>
        <w:rPr>
          <w:spacing w:val="-2"/>
          <w:lang w:val="pl-PL"/>
        </w:rPr>
      </w:pPr>
    </w:p>
    <w:p w:rsidR="002B0BE7" w:rsidRDefault="00EE75F6" w:rsidP="002B0BE7">
      <w:pPr>
        <w:widowControl w:val="0"/>
        <w:autoSpaceDE w:val="0"/>
        <w:autoSpaceDN w:val="0"/>
        <w:adjustRightInd w:val="0"/>
        <w:ind w:left="426" w:firstLine="141"/>
        <w:rPr>
          <w:spacing w:val="-2"/>
          <w:lang w:val="pl-PL"/>
        </w:rPr>
      </w:pPr>
      <w:r w:rsidRPr="00EE75F6">
        <w:rPr>
          <w:sz w:val="20"/>
          <w:szCs w:val="20"/>
          <w:lang w:val="pl-PL"/>
        </w:rPr>
        <w:t xml:space="preserve">„Jeśli 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 </w:t>
      </w:r>
    </w:p>
    <w:p w:rsidR="002B0BE7" w:rsidRDefault="002B0BE7" w:rsidP="002B0BE7">
      <w:pPr>
        <w:widowControl w:val="0"/>
        <w:autoSpaceDE w:val="0"/>
        <w:autoSpaceDN w:val="0"/>
        <w:adjustRightInd w:val="0"/>
        <w:rPr>
          <w:spacing w:val="-2"/>
          <w:lang w:val="pl-PL"/>
        </w:rPr>
      </w:pPr>
    </w:p>
    <w:p w:rsidR="002B0BE7" w:rsidRDefault="00EE75F6" w:rsidP="002B0BE7">
      <w:pPr>
        <w:widowControl w:val="0"/>
        <w:autoSpaceDE w:val="0"/>
        <w:autoSpaceDN w:val="0"/>
        <w:adjustRightInd w:val="0"/>
        <w:ind w:firstLine="142"/>
        <w:rPr>
          <w:spacing w:val="-2"/>
          <w:lang w:val="pl-PL"/>
        </w:rPr>
      </w:pPr>
      <w:r w:rsidRPr="00EE75F6">
        <w:rPr>
          <w:b/>
          <w:bCs/>
          <w:lang w:val="pl-PL"/>
        </w:rPr>
        <w:t xml:space="preserve">A.  Szkoda </w:t>
      </w:r>
    </w:p>
    <w:p w:rsidR="002B0BE7" w:rsidRDefault="002B0BE7" w:rsidP="002B0BE7">
      <w:pPr>
        <w:widowControl w:val="0"/>
        <w:autoSpaceDE w:val="0"/>
        <w:autoSpaceDN w:val="0"/>
        <w:adjustRightInd w:val="0"/>
        <w:ind w:left="567" w:hanging="141"/>
        <w:rPr>
          <w:spacing w:val="-2"/>
          <w:lang w:val="pl-PL"/>
        </w:rPr>
      </w:pPr>
    </w:p>
    <w:p w:rsidR="002B0BE7" w:rsidRDefault="00EE75F6" w:rsidP="00CC0321">
      <w:pPr>
        <w:widowControl w:val="0"/>
        <w:autoSpaceDE w:val="0"/>
        <w:autoSpaceDN w:val="0"/>
        <w:adjustRightInd w:val="0"/>
        <w:ind w:firstLine="284"/>
        <w:rPr>
          <w:lang w:val="pl-PL"/>
        </w:rPr>
      </w:pPr>
      <w:r w:rsidRPr="00EE75F6">
        <w:rPr>
          <w:bCs/>
          <w:lang w:val="pl-PL"/>
        </w:rPr>
        <w:t xml:space="preserve">70. </w:t>
      </w:r>
      <w:r w:rsidRPr="00EE75F6">
        <w:rPr>
          <w:lang w:val="pl-PL"/>
        </w:rPr>
        <w:t xml:space="preserve">Skarżący domagał się odszkodowania w wysokości 5,000 euro (EUR) za doznaną szkodę niemajątkową w związku z nielegalnym pozbawieniem go wolności. </w:t>
      </w:r>
      <w:r w:rsidRPr="00EE75F6">
        <w:rPr>
          <w:lang w:val="pl-PL"/>
        </w:rPr>
        <w:tab/>
      </w:r>
      <w:r w:rsidRPr="00EE75F6">
        <w:rPr>
          <w:lang w:val="pl-PL"/>
        </w:rPr>
        <w:tab/>
      </w:r>
      <w:r w:rsidRPr="00EE75F6">
        <w:rPr>
          <w:lang w:val="pl-PL"/>
        </w:rPr>
        <w:tab/>
      </w:r>
    </w:p>
    <w:p w:rsidR="002B0BE7" w:rsidRDefault="00EE75F6" w:rsidP="00CC0321">
      <w:pPr>
        <w:widowControl w:val="0"/>
        <w:autoSpaceDE w:val="0"/>
        <w:autoSpaceDN w:val="0"/>
        <w:adjustRightInd w:val="0"/>
        <w:ind w:firstLine="284"/>
        <w:rPr>
          <w:lang w:val="pl-PL"/>
        </w:rPr>
      </w:pPr>
      <w:r w:rsidRPr="00EE75F6">
        <w:rPr>
          <w:lang w:val="pl-PL"/>
        </w:rPr>
        <w:t xml:space="preserve">71. Rząd uznał, że żądana kwota jest zgodna z orzecznictwem Trybunału. </w:t>
      </w:r>
      <w:r w:rsidRPr="00EE75F6">
        <w:rPr>
          <w:lang w:val="pl-PL"/>
        </w:rPr>
        <w:tab/>
      </w:r>
      <w:r w:rsidRPr="00EE75F6">
        <w:rPr>
          <w:lang w:val="pl-PL"/>
        </w:rPr>
        <w:tab/>
      </w:r>
    </w:p>
    <w:p w:rsidR="00EE75F6" w:rsidRDefault="00EE75F6" w:rsidP="00CC0321">
      <w:pPr>
        <w:widowControl w:val="0"/>
        <w:autoSpaceDE w:val="0"/>
        <w:autoSpaceDN w:val="0"/>
        <w:adjustRightInd w:val="0"/>
        <w:ind w:firstLine="284"/>
        <w:rPr>
          <w:rStyle w:val="apple-converted-space"/>
          <w:iCs/>
          <w:shd w:val="clear" w:color="auto" w:fill="FFFFFF"/>
          <w:lang w:val="pl-PL"/>
        </w:rPr>
      </w:pPr>
      <w:r w:rsidRPr="00EE75F6">
        <w:rPr>
          <w:lang w:val="pl-PL"/>
        </w:rPr>
        <w:lastRenderedPageBreak/>
        <w:t xml:space="preserve">72. Trybunał stwierdza, że skarżący </w:t>
      </w:r>
      <w:r w:rsidRPr="00EE75F6">
        <w:rPr>
          <w:rStyle w:val="apple-converted-space"/>
          <w:iCs/>
          <w:shd w:val="clear" w:color="auto" w:fill="FFFFFF"/>
          <w:lang w:val="pl-PL"/>
        </w:rPr>
        <w:t xml:space="preserve">doznał szkody niematerialnej i uznaje jego roszczenie w całości. </w:t>
      </w:r>
    </w:p>
    <w:p w:rsidR="000A5DAE" w:rsidRPr="002B0BE7" w:rsidRDefault="000A5DAE" w:rsidP="002B0BE7">
      <w:pPr>
        <w:widowControl w:val="0"/>
        <w:autoSpaceDE w:val="0"/>
        <w:autoSpaceDN w:val="0"/>
        <w:adjustRightInd w:val="0"/>
        <w:ind w:left="426" w:firstLine="141"/>
        <w:rPr>
          <w:rStyle w:val="apple-converted-space"/>
          <w:spacing w:val="-2"/>
          <w:lang w:val="pl-PL"/>
        </w:rPr>
      </w:pPr>
    </w:p>
    <w:p w:rsidR="00EE75F6" w:rsidRPr="00EE75F6" w:rsidRDefault="00EE75F6" w:rsidP="00EE75F6">
      <w:pPr>
        <w:suppressAutoHyphens/>
        <w:autoSpaceDE w:val="0"/>
        <w:autoSpaceDN w:val="0"/>
        <w:adjustRightInd w:val="0"/>
        <w:ind w:firstLine="284"/>
        <w:rPr>
          <w:lang w:val="pl-PL"/>
        </w:rPr>
      </w:pPr>
      <w:r w:rsidRPr="00EE75F6">
        <w:rPr>
          <w:b/>
          <w:bCs/>
          <w:lang w:val="pl-PL"/>
        </w:rPr>
        <w:t xml:space="preserve">B.  Koszty i wydatki </w:t>
      </w:r>
    </w:p>
    <w:p w:rsidR="00EE75F6" w:rsidRPr="00EE75F6" w:rsidRDefault="00EE75F6" w:rsidP="00EE75F6">
      <w:pPr>
        <w:suppressAutoHyphens/>
        <w:autoSpaceDE w:val="0"/>
        <w:autoSpaceDN w:val="0"/>
        <w:adjustRightInd w:val="0"/>
        <w:rPr>
          <w:lang w:val="pl-PL"/>
        </w:rPr>
      </w:pPr>
    </w:p>
    <w:p w:rsidR="00EE75F6" w:rsidRPr="00EE75F6" w:rsidRDefault="00EE75F6" w:rsidP="00CC0321">
      <w:pPr>
        <w:suppressAutoHyphens/>
        <w:autoSpaceDE w:val="0"/>
        <w:autoSpaceDN w:val="0"/>
        <w:adjustRightInd w:val="0"/>
        <w:ind w:firstLine="284"/>
        <w:rPr>
          <w:lang w:val="pl-PL"/>
        </w:rPr>
      </w:pPr>
      <w:r w:rsidRPr="00EE75F6">
        <w:rPr>
          <w:lang w:val="pl-PL"/>
        </w:rPr>
        <w:t>73. Skarżący nie zwrócił</w:t>
      </w:r>
      <w:r w:rsidR="000A5DAE">
        <w:rPr>
          <w:lang w:val="pl-PL"/>
        </w:rPr>
        <w:t xml:space="preserve"> się o zwrot kosztów i wydatków </w:t>
      </w:r>
      <w:r w:rsidRPr="00EE75F6">
        <w:rPr>
          <w:lang w:val="pl-PL"/>
        </w:rPr>
        <w:t xml:space="preserve">poniesionych przed Trybunałem. </w:t>
      </w:r>
    </w:p>
    <w:p w:rsidR="00EE75F6" w:rsidRPr="00EE75F6" w:rsidRDefault="00EE75F6" w:rsidP="000A5DAE">
      <w:pPr>
        <w:tabs>
          <w:tab w:val="left" w:pos="357"/>
          <w:tab w:val="left" w:pos="584"/>
        </w:tabs>
        <w:autoSpaceDE w:val="0"/>
        <w:autoSpaceDN w:val="0"/>
        <w:adjustRightInd w:val="0"/>
        <w:spacing w:before="360" w:line="276" w:lineRule="auto"/>
        <w:ind w:left="584" w:hanging="300"/>
        <w:rPr>
          <w:b/>
          <w:bCs/>
          <w:lang w:val="pl-PL"/>
        </w:rPr>
      </w:pPr>
      <w:r w:rsidRPr="00EE75F6">
        <w:rPr>
          <w:b/>
          <w:bCs/>
          <w:lang w:val="pl-PL"/>
        </w:rPr>
        <w:t xml:space="preserve">C.  Należne odsetki </w:t>
      </w:r>
    </w:p>
    <w:p w:rsidR="00CC0321" w:rsidRDefault="00EE75F6" w:rsidP="00CC0321">
      <w:pPr>
        <w:tabs>
          <w:tab w:val="left" w:pos="284"/>
        </w:tabs>
        <w:autoSpaceDE w:val="0"/>
        <w:autoSpaceDN w:val="0"/>
        <w:adjustRightInd w:val="0"/>
        <w:spacing w:before="360"/>
        <w:ind w:firstLine="284"/>
        <w:rPr>
          <w:lang w:val="pl-PL"/>
        </w:rPr>
      </w:pPr>
      <w:r w:rsidRPr="00EE75F6">
        <w:rPr>
          <w:lang w:val="pl-PL"/>
        </w:rPr>
        <w:t xml:space="preserve">74.  Trybunał uznaje za właściwe, by odsetki z tytułu niewypłacenia zasądzonych kwot były ustalone zgodnie z marginalną stopą procentową Europejskiego Banku Centralnego, powiększoną o trzy punkty procentowe. </w:t>
      </w:r>
    </w:p>
    <w:p w:rsidR="00EE75F6" w:rsidRPr="00EE75F6" w:rsidRDefault="00EE75F6" w:rsidP="00CC0321">
      <w:pPr>
        <w:tabs>
          <w:tab w:val="left" w:pos="284"/>
        </w:tabs>
        <w:autoSpaceDE w:val="0"/>
        <w:autoSpaceDN w:val="0"/>
        <w:adjustRightInd w:val="0"/>
        <w:spacing w:before="360"/>
        <w:rPr>
          <w:lang w:val="pl-PL"/>
        </w:rPr>
      </w:pPr>
      <w:r w:rsidRPr="00EE75F6">
        <w:rPr>
          <w:lang w:val="pl-PL"/>
        </w:rPr>
        <w:t>Z TYCH PRZYCZYN TRYBUNAŁ JEDNOGŁOŚNIE,</w:t>
      </w:r>
    </w:p>
    <w:p w:rsidR="00EE75F6" w:rsidRPr="00EE75F6" w:rsidRDefault="00EE75F6" w:rsidP="00CC0321">
      <w:pPr>
        <w:tabs>
          <w:tab w:val="left" w:pos="0"/>
          <w:tab w:val="left" w:pos="584"/>
        </w:tabs>
        <w:autoSpaceDE w:val="0"/>
        <w:autoSpaceDN w:val="0"/>
        <w:adjustRightInd w:val="0"/>
        <w:spacing w:before="360" w:line="276" w:lineRule="auto"/>
        <w:rPr>
          <w:lang w:val="pl-PL"/>
        </w:rPr>
      </w:pPr>
      <w:r w:rsidRPr="00EE75F6">
        <w:rPr>
          <w:lang w:val="pl-PL"/>
        </w:rPr>
        <w:t>1. </w:t>
      </w:r>
      <w:r w:rsidRPr="00EE75F6">
        <w:rPr>
          <w:i/>
          <w:lang w:val="pl-PL"/>
        </w:rPr>
        <w:t>Uznaje</w:t>
      </w:r>
      <w:r w:rsidRPr="00EE75F6">
        <w:rPr>
          <w:lang w:val="pl-PL"/>
        </w:rPr>
        <w:t xml:space="preserve"> skargę za dopuszczalną; </w:t>
      </w:r>
    </w:p>
    <w:p w:rsidR="00EE75F6" w:rsidRPr="00EE75F6" w:rsidRDefault="00EE75F6" w:rsidP="00EE75F6">
      <w:pPr>
        <w:suppressAutoHyphens/>
        <w:autoSpaceDE w:val="0"/>
        <w:autoSpaceDN w:val="0"/>
        <w:adjustRightInd w:val="0"/>
        <w:spacing w:line="276" w:lineRule="auto"/>
        <w:ind w:left="340" w:hanging="108"/>
        <w:rPr>
          <w:lang w:val="pl-PL"/>
        </w:rPr>
      </w:pPr>
    </w:p>
    <w:p w:rsidR="00EE75F6" w:rsidRPr="00EE75F6" w:rsidRDefault="00EE75F6" w:rsidP="00CC0321">
      <w:pPr>
        <w:suppressAutoHyphens/>
        <w:autoSpaceDE w:val="0"/>
        <w:autoSpaceDN w:val="0"/>
        <w:adjustRightInd w:val="0"/>
        <w:spacing w:line="276" w:lineRule="auto"/>
        <w:rPr>
          <w:lang w:val="pl-PL"/>
        </w:rPr>
      </w:pPr>
      <w:r w:rsidRPr="00EE75F6">
        <w:rPr>
          <w:lang w:val="pl-PL"/>
        </w:rPr>
        <w:t xml:space="preserve">2. </w:t>
      </w:r>
      <w:r w:rsidRPr="00EE75F6">
        <w:rPr>
          <w:i/>
          <w:lang w:val="pl-PL"/>
        </w:rPr>
        <w:t>Uznaje</w:t>
      </w:r>
      <w:r w:rsidRPr="00EE75F6">
        <w:rPr>
          <w:lang w:val="pl-PL"/>
        </w:rPr>
        <w:t xml:space="preserve">, że nastąpiło naruszenie art. 5 ust. 1 Konwencji; </w:t>
      </w:r>
    </w:p>
    <w:p w:rsidR="00EE75F6" w:rsidRPr="00EE75F6" w:rsidRDefault="00EE75F6" w:rsidP="00EE75F6">
      <w:pPr>
        <w:suppressAutoHyphens/>
        <w:autoSpaceDE w:val="0"/>
        <w:autoSpaceDN w:val="0"/>
        <w:adjustRightInd w:val="0"/>
        <w:spacing w:line="276" w:lineRule="auto"/>
        <w:ind w:left="340" w:hanging="108"/>
        <w:rPr>
          <w:lang w:val="pl-PL"/>
        </w:rPr>
      </w:pPr>
    </w:p>
    <w:p w:rsidR="00EE75F6" w:rsidRPr="00EE75F6" w:rsidRDefault="00EE75F6" w:rsidP="00CC0321">
      <w:pPr>
        <w:suppressAutoHyphens/>
        <w:autoSpaceDE w:val="0"/>
        <w:autoSpaceDN w:val="0"/>
        <w:adjustRightInd w:val="0"/>
        <w:spacing w:line="276" w:lineRule="auto"/>
        <w:rPr>
          <w:lang w:val="pl-PL"/>
        </w:rPr>
      </w:pPr>
      <w:r w:rsidRPr="00EE75F6">
        <w:rPr>
          <w:lang w:val="pl-PL"/>
        </w:rPr>
        <w:t xml:space="preserve">3. </w:t>
      </w:r>
      <w:r w:rsidRPr="00EE75F6">
        <w:rPr>
          <w:i/>
          <w:lang w:val="pl-PL"/>
        </w:rPr>
        <w:t>Uznaje</w:t>
      </w:r>
      <w:r w:rsidRPr="00EE75F6">
        <w:rPr>
          <w:lang w:val="pl-PL"/>
        </w:rPr>
        <w:t>, że nastąpiło naruszenie art. 5 ust. 4 Konwencji;</w:t>
      </w:r>
    </w:p>
    <w:p w:rsidR="00EE75F6" w:rsidRPr="00EE75F6" w:rsidRDefault="00EE75F6" w:rsidP="00EE75F6">
      <w:pPr>
        <w:suppressAutoHyphens/>
        <w:autoSpaceDE w:val="0"/>
        <w:autoSpaceDN w:val="0"/>
        <w:adjustRightInd w:val="0"/>
        <w:spacing w:line="276" w:lineRule="auto"/>
        <w:ind w:left="340" w:hanging="108"/>
        <w:rPr>
          <w:lang w:val="pl-PL"/>
        </w:rPr>
      </w:pPr>
    </w:p>
    <w:p w:rsidR="00EE75F6" w:rsidRPr="00EE75F6" w:rsidRDefault="00EE75F6" w:rsidP="00CC0321">
      <w:pPr>
        <w:suppressAutoHyphens/>
        <w:autoSpaceDE w:val="0"/>
        <w:autoSpaceDN w:val="0"/>
        <w:adjustRightInd w:val="0"/>
        <w:spacing w:line="276" w:lineRule="auto"/>
        <w:rPr>
          <w:lang w:val="pl-PL"/>
        </w:rPr>
      </w:pPr>
      <w:r w:rsidRPr="00EE75F6">
        <w:rPr>
          <w:lang w:val="pl-PL"/>
        </w:rPr>
        <w:t xml:space="preserve">4. </w:t>
      </w:r>
      <w:r w:rsidRPr="00EE75F6">
        <w:rPr>
          <w:i/>
          <w:iCs/>
          <w:lang w:val="pl-PL"/>
        </w:rPr>
        <w:t>Uznaje, iż:</w:t>
      </w:r>
    </w:p>
    <w:p w:rsidR="00EE75F6" w:rsidRPr="00EE75F6" w:rsidRDefault="00EE75F6" w:rsidP="00EE75F6">
      <w:pPr>
        <w:keepNext/>
        <w:keepLines/>
        <w:autoSpaceDE w:val="0"/>
        <w:autoSpaceDN w:val="0"/>
        <w:adjustRightInd w:val="0"/>
        <w:spacing w:line="276" w:lineRule="auto"/>
        <w:ind w:left="340" w:hanging="340"/>
        <w:rPr>
          <w:lang w:val="pl-PL"/>
        </w:rPr>
      </w:pPr>
    </w:p>
    <w:p w:rsidR="00EE75F6" w:rsidRPr="00EE75F6" w:rsidRDefault="00EE75F6" w:rsidP="000A5DAE">
      <w:pPr>
        <w:keepNext/>
        <w:keepLines/>
        <w:autoSpaceDE w:val="0"/>
        <w:autoSpaceDN w:val="0"/>
        <w:adjustRightInd w:val="0"/>
        <w:ind w:left="346"/>
        <w:rPr>
          <w:lang w:val="pl-PL"/>
        </w:rPr>
      </w:pPr>
      <w:r w:rsidRPr="00EE75F6">
        <w:rPr>
          <w:lang w:val="pl-PL"/>
        </w:rPr>
        <w:t xml:space="preserve">(a)  pozwane Państwo ma wypłacić skarżącemu łącznie, w terminie trzech miesięcy od dnia  uprawomocnienia się wyroku zgodnie z artykułem 44 ust. 2 Konwencji,  kwotę 5,000 EUR (pięć tysięcy euro), powiększoną o wszelkie podatki, które mogą zostać nałożone na tę kwotę, tytułem poniesionej szkody niematerialnej, przeliczoną na walutę polską po kursie obowiązującym w dniu wydania rozstrzygnięcia; </w:t>
      </w:r>
    </w:p>
    <w:p w:rsidR="00EE75F6" w:rsidRDefault="00EE75F6" w:rsidP="000A5DAE">
      <w:pPr>
        <w:keepNext/>
        <w:keepLines/>
        <w:autoSpaceDE w:val="0"/>
        <w:autoSpaceDN w:val="0"/>
        <w:adjustRightInd w:val="0"/>
        <w:ind w:left="346"/>
        <w:rPr>
          <w:lang w:val="pl-PL"/>
        </w:rPr>
      </w:pPr>
      <w:r w:rsidRPr="00EE75F6">
        <w:rPr>
          <w:lang w:val="pl-PL"/>
        </w:rPr>
        <w:t xml:space="preserve">(b) od dnia wygaśnięcia powyższego trzymiesięcznego terminu, odsetki za zwłokę będą płacone od powyższej kwoty w wysokości równej marginalnej stopie procentowej Europejskiego Banku Centralnego powiększonej o trzy punkty procentowe; </w:t>
      </w:r>
    </w:p>
    <w:p w:rsidR="00EE75F6" w:rsidRPr="00EE75F6" w:rsidRDefault="00EE75F6" w:rsidP="00CC0321">
      <w:pPr>
        <w:suppressAutoHyphens/>
        <w:autoSpaceDE w:val="0"/>
        <w:autoSpaceDN w:val="0"/>
        <w:adjustRightInd w:val="0"/>
        <w:spacing w:before="240"/>
        <w:ind w:firstLine="346"/>
        <w:rPr>
          <w:lang w:val="pl-PL"/>
        </w:rPr>
      </w:pPr>
      <w:r w:rsidRPr="00EE75F6">
        <w:rPr>
          <w:lang w:val="pl-PL"/>
        </w:rPr>
        <w:t xml:space="preserve">Sporządzono w języku angielskim oraz obwieszczono na piśmie w dniu 30 czerwca 2015 r., zgodnie z Regułą 77 ust. 2 i 3 Regulaminu Trybunału. </w:t>
      </w:r>
    </w:p>
    <w:p w:rsidR="00EE75F6" w:rsidRPr="00EE75F6" w:rsidRDefault="00EE75F6" w:rsidP="00EE75F6">
      <w:pPr>
        <w:pStyle w:val="JuSigned"/>
        <w:rPr>
          <w:lang w:val="pl-PL"/>
        </w:rPr>
      </w:pPr>
      <w:proofErr w:type="spellStart"/>
      <w:r w:rsidRPr="00EE75F6">
        <w:rPr>
          <w:lang w:val="pl-PL"/>
        </w:rPr>
        <w:t>Françoise</w:t>
      </w:r>
      <w:proofErr w:type="spellEnd"/>
      <w:r w:rsidRPr="00EE75F6">
        <w:rPr>
          <w:lang w:val="pl-PL"/>
        </w:rPr>
        <w:t xml:space="preserve"> </w:t>
      </w:r>
      <w:proofErr w:type="spellStart"/>
      <w:r w:rsidRPr="00EE75F6">
        <w:rPr>
          <w:lang w:val="pl-PL"/>
        </w:rPr>
        <w:t>Elens</w:t>
      </w:r>
      <w:proofErr w:type="spellEnd"/>
      <w:r w:rsidRPr="00EE75F6">
        <w:rPr>
          <w:lang w:val="pl-PL"/>
        </w:rPr>
        <w:t>-Passos</w:t>
      </w:r>
      <w:r w:rsidRPr="00EE75F6">
        <w:rPr>
          <w:lang w:val="pl-PL"/>
        </w:rPr>
        <w:tab/>
      </w:r>
      <w:r w:rsidRPr="00EE75F6">
        <w:rPr>
          <w:szCs w:val="24"/>
          <w:lang w:val="pl-PL"/>
        </w:rPr>
        <w:t xml:space="preserve">Guido </w:t>
      </w:r>
      <w:proofErr w:type="spellStart"/>
      <w:r w:rsidRPr="00EE75F6">
        <w:rPr>
          <w:szCs w:val="24"/>
          <w:lang w:val="pl-PL"/>
        </w:rPr>
        <w:t>Raimondi</w:t>
      </w:r>
      <w:proofErr w:type="spellEnd"/>
      <w:r w:rsidRPr="00EE75F6">
        <w:rPr>
          <w:szCs w:val="24"/>
          <w:lang w:val="pl-PL"/>
        </w:rPr>
        <w:br/>
      </w:r>
      <w:r w:rsidRPr="00EE75F6">
        <w:rPr>
          <w:lang w:val="pl-PL"/>
        </w:rPr>
        <w:tab/>
      </w:r>
      <w:r w:rsidRPr="00EE75F6">
        <w:rPr>
          <w:iCs/>
          <w:lang w:val="pl-PL"/>
        </w:rPr>
        <w:t>Kanclerz</w:t>
      </w:r>
      <w:r w:rsidRPr="00EE75F6">
        <w:rPr>
          <w:lang w:val="pl-PL"/>
        </w:rPr>
        <w:tab/>
        <w:t>Przewodniczący</w:t>
      </w:r>
    </w:p>
    <w:sectPr w:rsidR="00EE75F6" w:rsidRPr="00EE75F6" w:rsidSect="002F0E24">
      <w:headerReference w:type="even" r:id="rId13"/>
      <w:headerReference w:type="default" r:id="rId14"/>
      <w:footnotePr>
        <w:numRestart w:val="eachPage"/>
      </w:footnotePr>
      <w:pgSz w:w="11906" w:h="16838" w:code="9"/>
      <w:pgMar w:top="2274" w:right="2274" w:bottom="2274" w:left="2274" w:header="1701"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EF" w:rsidRDefault="004561EF" w:rsidP="00014566">
      <w:r>
        <w:separator/>
      </w:r>
    </w:p>
  </w:endnote>
  <w:endnote w:type="continuationSeparator" w:id="0">
    <w:p w:rsidR="004561EF" w:rsidRDefault="004561EF"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EF" w:rsidRDefault="004561EF" w:rsidP="00014566">
      <w:r>
        <w:separator/>
      </w:r>
    </w:p>
  </w:footnote>
  <w:footnote w:type="continuationSeparator" w:id="0">
    <w:p w:rsidR="004561EF" w:rsidRDefault="004561EF" w:rsidP="00014566">
      <w:r>
        <w:continuationSeparator/>
      </w:r>
    </w:p>
  </w:footnote>
  <w:footnote w:id="1">
    <w:p w:rsidR="00EE75F6" w:rsidRPr="00EE75F6" w:rsidRDefault="00EE75F6" w:rsidP="00EE75F6">
      <w:pPr>
        <w:pStyle w:val="Tekstprzypisudolnego"/>
        <w:rPr>
          <w:lang w:val="pl-PL"/>
        </w:rPr>
      </w:pPr>
      <w:r>
        <w:rPr>
          <w:rStyle w:val="Odwoanieprzypisudolnego"/>
        </w:rPr>
        <w:footnoteRef/>
      </w:r>
      <w:r w:rsidRPr="00EE75F6">
        <w:rPr>
          <w:lang w:val="pl-PL"/>
        </w:rPr>
        <w:t xml:space="preserve"> Streszczenie odpowiedzi Ministra Sprawiedliwości zostało ujęte w raporcie rocznym Rzecznika Praw Obywatelskich za rok 2013, który jest dostępny na stronie Biura RPO (</w:t>
      </w:r>
      <w:hyperlink r:id="rId1" w:history="1">
        <w:r w:rsidRPr="00EE75F6">
          <w:rPr>
            <w:rStyle w:val="Hipercze"/>
            <w:lang w:val="pl-PL"/>
          </w:rPr>
          <w:t>www.brpo.gov.pl</w:t>
        </w:r>
      </w:hyperlink>
      <w:r w:rsidRPr="00EE75F6">
        <w:rPr>
          <w:lang w:val="pl-P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31" w:rsidRPr="00EE75F6" w:rsidRDefault="007D5431" w:rsidP="00EE1DA9">
    <w:pPr>
      <w:pStyle w:val="ECHRHeader"/>
      <w:rPr>
        <w:lang w:val="pl-PL"/>
      </w:rPr>
    </w:pPr>
    <w:r>
      <w:rPr>
        <w:rStyle w:val="Numerstrony"/>
        <w:szCs w:val="18"/>
        <w:lang w:val="en-GB"/>
      </w:rPr>
      <w:fldChar w:fldCharType="begin"/>
    </w:r>
    <w:r w:rsidRPr="00EE75F6">
      <w:rPr>
        <w:rStyle w:val="Numerstrony"/>
        <w:szCs w:val="18"/>
        <w:lang w:val="pl-PL"/>
      </w:rPr>
      <w:instrText xml:space="preserve"> PAGE </w:instrText>
    </w:r>
    <w:r>
      <w:rPr>
        <w:rStyle w:val="Numerstrony"/>
        <w:szCs w:val="18"/>
        <w:lang w:val="en-GB"/>
      </w:rPr>
      <w:fldChar w:fldCharType="separate"/>
    </w:r>
    <w:r w:rsidR="002F0E24">
      <w:rPr>
        <w:rStyle w:val="Numerstrony"/>
        <w:noProof/>
        <w:szCs w:val="18"/>
        <w:lang w:val="pl-PL"/>
      </w:rPr>
      <w:t>20</w:t>
    </w:r>
    <w:r>
      <w:rPr>
        <w:rStyle w:val="Numerstrony"/>
        <w:szCs w:val="18"/>
        <w:lang w:val="en-GB"/>
      </w:rPr>
      <w:fldChar w:fldCharType="end"/>
    </w:r>
    <w:r w:rsidRPr="00EE75F6">
      <w:rPr>
        <w:lang w:val="pl-PL"/>
      </w:rPr>
      <w:tab/>
    </w:r>
    <w:r w:rsidR="00EE75F6" w:rsidRPr="00EE75F6">
      <w:rPr>
        <w:lang w:val="pl-PL"/>
      </w:rPr>
      <w:t>WYROK W SPRAWIE GRABOWSKI PRZECIWKO POLSCE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31" w:rsidRPr="00EE75F6" w:rsidRDefault="007D5431" w:rsidP="00D60D87">
    <w:pPr>
      <w:pStyle w:val="ECHRHeader"/>
      <w:rPr>
        <w:lang w:val="pl-PL"/>
      </w:rPr>
    </w:pPr>
    <w:r w:rsidRPr="00D60D87">
      <w:rPr>
        <w:lang w:val="en-GB"/>
      </w:rPr>
      <w:tab/>
    </w:r>
    <w:r w:rsidR="00EE75F6" w:rsidRPr="00EE75F6">
      <w:rPr>
        <w:lang w:val="pl-PL"/>
      </w:rPr>
      <w:t>WYROK W SPRAWIE GRABOWSKI PRZECIWKO POLSCE</w:t>
    </w:r>
    <w:r w:rsidRPr="00EE75F6">
      <w:rPr>
        <w:lang w:val="pl-PL"/>
      </w:rPr>
      <w:tab/>
    </w:r>
    <w:r>
      <w:rPr>
        <w:rStyle w:val="Numerstrony"/>
        <w:szCs w:val="18"/>
        <w:lang w:val="en-GB"/>
      </w:rPr>
      <w:fldChar w:fldCharType="begin"/>
    </w:r>
    <w:r w:rsidRPr="00EE75F6">
      <w:rPr>
        <w:rStyle w:val="Numerstrony"/>
        <w:szCs w:val="18"/>
        <w:lang w:val="pl-PL"/>
      </w:rPr>
      <w:instrText xml:space="preserve"> PAGE </w:instrText>
    </w:r>
    <w:r>
      <w:rPr>
        <w:rStyle w:val="Numerstrony"/>
        <w:szCs w:val="18"/>
        <w:lang w:val="en-GB"/>
      </w:rPr>
      <w:fldChar w:fldCharType="separate"/>
    </w:r>
    <w:r w:rsidR="00FD39C0">
      <w:rPr>
        <w:rStyle w:val="Numerstrony"/>
        <w:noProof/>
        <w:szCs w:val="18"/>
        <w:lang w:val="pl-PL"/>
      </w:rPr>
      <w:t>16</w:t>
    </w:r>
    <w:r>
      <w:rPr>
        <w:rStyle w:val="Numerstrony"/>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2380266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anumerowana"/>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353ADD"/>
    <w:multiLevelType w:val="multilevel"/>
    <w:tmpl w:val="C1BA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737461D"/>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9"/>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6B24B0"/>
    <w:rsid w:val="00003F99"/>
    <w:rsid w:val="000041F8"/>
    <w:rsid w:val="000042A8"/>
    <w:rsid w:val="00004308"/>
    <w:rsid w:val="00005BF0"/>
    <w:rsid w:val="00007154"/>
    <w:rsid w:val="000103AE"/>
    <w:rsid w:val="00011D69"/>
    <w:rsid w:val="00012AD3"/>
    <w:rsid w:val="00014566"/>
    <w:rsid w:val="00015C2D"/>
    <w:rsid w:val="00015F00"/>
    <w:rsid w:val="00016468"/>
    <w:rsid w:val="00016853"/>
    <w:rsid w:val="00022C1D"/>
    <w:rsid w:val="00023D05"/>
    <w:rsid w:val="00027F1D"/>
    <w:rsid w:val="00034987"/>
    <w:rsid w:val="00036AF6"/>
    <w:rsid w:val="000602DF"/>
    <w:rsid w:val="00061B05"/>
    <w:rsid w:val="00062973"/>
    <w:rsid w:val="00062D5D"/>
    <w:rsid w:val="000632D5"/>
    <w:rsid w:val="00064091"/>
    <w:rsid w:val="000644EE"/>
    <w:rsid w:val="00064B40"/>
    <w:rsid w:val="00067EDB"/>
    <w:rsid w:val="000701E0"/>
    <w:rsid w:val="00074F84"/>
    <w:rsid w:val="000925AD"/>
    <w:rsid w:val="000A24EB"/>
    <w:rsid w:val="000A5DAE"/>
    <w:rsid w:val="000B1C2A"/>
    <w:rsid w:val="000B32C1"/>
    <w:rsid w:val="000B6923"/>
    <w:rsid w:val="000C0112"/>
    <w:rsid w:val="000C0143"/>
    <w:rsid w:val="000C033C"/>
    <w:rsid w:val="000C0432"/>
    <w:rsid w:val="000C5F3C"/>
    <w:rsid w:val="000C6A8E"/>
    <w:rsid w:val="000C6DCC"/>
    <w:rsid w:val="000C7936"/>
    <w:rsid w:val="000D3398"/>
    <w:rsid w:val="000D47AA"/>
    <w:rsid w:val="000D721F"/>
    <w:rsid w:val="000E069B"/>
    <w:rsid w:val="000E0E82"/>
    <w:rsid w:val="000E1DC5"/>
    <w:rsid w:val="000E223F"/>
    <w:rsid w:val="000E7D45"/>
    <w:rsid w:val="000F32CC"/>
    <w:rsid w:val="000F5B0A"/>
    <w:rsid w:val="000F7851"/>
    <w:rsid w:val="00100E12"/>
    <w:rsid w:val="00101A32"/>
    <w:rsid w:val="00103ED0"/>
    <w:rsid w:val="00104E23"/>
    <w:rsid w:val="00111B0C"/>
    <w:rsid w:val="00114F6F"/>
    <w:rsid w:val="00120D6C"/>
    <w:rsid w:val="001214EE"/>
    <w:rsid w:val="001257EC"/>
    <w:rsid w:val="0012589D"/>
    <w:rsid w:val="00132C6A"/>
    <w:rsid w:val="0013345B"/>
    <w:rsid w:val="00133D33"/>
    <w:rsid w:val="00134297"/>
    <w:rsid w:val="00134D64"/>
    <w:rsid w:val="00135A30"/>
    <w:rsid w:val="00135A91"/>
    <w:rsid w:val="0013612C"/>
    <w:rsid w:val="00137FF6"/>
    <w:rsid w:val="00141650"/>
    <w:rsid w:val="0014423D"/>
    <w:rsid w:val="00145C73"/>
    <w:rsid w:val="0015106C"/>
    <w:rsid w:val="0015638A"/>
    <w:rsid w:val="00156FE5"/>
    <w:rsid w:val="00162A12"/>
    <w:rsid w:val="00162F97"/>
    <w:rsid w:val="00166530"/>
    <w:rsid w:val="00166745"/>
    <w:rsid w:val="001714F8"/>
    <w:rsid w:val="001715FC"/>
    <w:rsid w:val="0017550D"/>
    <w:rsid w:val="001819B2"/>
    <w:rsid w:val="00181DA3"/>
    <w:rsid w:val="001820CA"/>
    <w:rsid w:val="00182AB2"/>
    <w:rsid w:val="001832BD"/>
    <w:rsid w:val="001901A1"/>
    <w:rsid w:val="00191E83"/>
    <w:rsid w:val="001922B3"/>
    <w:rsid w:val="001943B5"/>
    <w:rsid w:val="00195134"/>
    <w:rsid w:val="00195C82"/>
    <w:rsid w:val="001963C5"/>
    <w:rsid w:val="00197D61"/>
    <w:rsid w:val="001A145B"/>
    <w:rsid w:val="001A3A38"/>
    <w:rsid w:val="001A674C"/>
    <w:rsid w:val="001B06DC"/>
    <w:rsid w:val="001B3B24"/>
    <w:rsid w:val="001C0F98"/>
    <w:rsid w:val="001C2A42"/>
    <w:rsid w:val="001C2A66"/>
    <w:rsid w:val="001D04EA"/>
    <w:rsid w:val="001D499A"/>
    <w:rsid w:val="001D63ED"/>
    <w:rsid w:val="001D7348"/>
    <w:rsid w:val="001D7ADE"/>
    <w:rsid w:val="001E035B"/>
    <w:rsid w:val="001E0961"/>
    <w:rsid w:val="001E132C"/>
    <w:rsid w:val="001E2E75"/>
    <w:rsid w:val="001E3446"/>
    <w:rsid w:val="001E3EAE"/>
    <w:rsid w:val="001E6F32"/>
    <w:rsid w:val="001F2145"/>
    <w:rsid w:val="001F3B51"/>
    <w:rsid w:val="001F4B23"/>
    <w:rsid w:val="001F4F56"/>
    <w:rsid w:val="001F6262"/>
    <w:rsid w:val="001F67B0"/>
    <w:rsid w:val="001F7B3D"/>
    <w:rsid w:val="00200DDA"/>
    <w:rsid w:val="00201319"/>
    <w:rsid w:val="00204403"/>
    <w:rsid w:val="00204ABF"/>
    <w:rsid w:val="00205F9F"/>
    <w:rsid w:val="00210338"/>
    <w:rsid w:val="002115FC"/>
    <w:rsid w:val="002121C9"/>
    <w:rsid w:val="002127BF"/>
    <w:rsid w:val="002133F8"/>
    <w:rsid w:val="0021423C"/>
    <w:rsid w:val="00224987"/>
    <w:rsid w:val="00225DFD"/>
    <w:rsid w:val="00230D00"/>
    <w:rsid w:val="00231AA1"/>
    <w:rsid w:val="00231DF7"/>
    <w:rsid w:val="00231FD1"/>
    <w:rsid w:val="002339E0"/>
    <w:rsid w:val="00233CF8"/>
    <w:rsid w:val="00233F12"/>
    <w:rsid w:val="00234AD6"/>
    <w:rsid w:val="0023575D"/>
    <w:rsid w:val="00236303"/>
    <w:rsid w:val="00237148"/>
    <w:rsid w:val="0024222D"/>
    <w:rsid w:val="00244B0E"/>
    <w:rsid w:val="00244F6C"/>
    <w:rsid w:val="00247D60"/>
    <w:rsid w:val="00250E58"/>
    <w:rsid w:val="002532C5"/>
    <w:rsid w:val="00256033"/>
    <w:rsid w:val="00260C03"/>
    <w:rsid w:val="00261932"/>
    <w:rsid w:val="00262962"/>
    <w:rsid w:val="0026540E"/>
    <w:rsid w:val="00266785"/>
    <w:rsid w:val="0026741F"/>
    <w:rsid w:val="00271C23"/>
    <w:rsid w:val="002737E3"/>
    <w:rsid w:val="00275123"/>
    <w:rsid w:val="00275BCC"/>
    <w:rsid w:val="00282240"/>
    <w:rsid w:val="002847A9"/>
    <w:rsid w:val="0028572A"/>
    <w:rsid w:val="0028674F"/>
    <w:rsid w:val="00291871"/>
    <w:rsid w:val="0029391C"/>
    <w:rsid w:val="002948AD"/>
    <w:rsid w:val="00294C92"/>
    <w:rsid w:val="00297A73"/>
    <w:rsid w:val="002A01CC"/>
    <w:rsid w:val="002A0DA8"/>
    <w:rsid w:val="002A3641"/>
    <w:rsid w:val="002A3DC7"/>
    <w:rsid w:val="002A61B1"/>
    <w:rsid w:val="002A663C"/>
    <w:rsid w:val="002A798A"/>
    <w:rsid w:val="002B038C"/>
    <w:rsid w:val="002B0BE7"/>
    <w:rsid w:val="002B39BA"/>
    <w:rsid w:val="002B39CB"/>
    <w:rsid w:val="002B444B"/>
    <w:rsid w:val="002B5887"/>
    <w:rsid w:val="002B6BF7"/>
    <w:rsid w:val="002B729E"/>
    <w:rsid w:val="002C0692"/>
    <w:rsid w:val="002C0E27"/>
    <w:rsid w:val="002C0FD0"/>
    <w:rsid w:val="002C3040"/>
    <w:rsid w:val="002C609C"/>
    <w:rsid w:val="002D022D"/>
    <w:rsid w:val="002D24BB"/>
    <w:rsid w:val="002D3C65"/>
    <w:rsid w:val="002D5920"/>
    <w:rsid w:val="002D5A42"/>
    <w:rsid w:val="002D766E"/>
    <w:rsid w:val="002D7C07"/>
    <w:rsid w:val="002E32A2"/>
    <w:rsid w:val="002E3C5D"/>
    <w:rsid w:val="002E3D14"/>
    <w:rsid w:val="002F0E24"/>
    <w:rsid w:val="002F2A08"/>
    <w:rsid w:val="002F2AF7"/>
    <w:rsid w:val="002F7160"/>
    <w:rsid w:val="002F7E1C"/>
    <w:rsid w:val="00301A75"/>
    <w:rsid w:val="00302C20"/>
    <w:rsid w:val="00302F70"/>
    <w:rsid w:val="0030336F"/>
    <w:rsid w:val="0030375E"/>
    <w:rsid w:val="003100AA"/>
    <w:rsid w:val="00310286"/>
    <w:rsid w:val="00312A30"/>
    <w:rsid w:val="00315285"/>
    <w:rsid w:val="00320F72"/>
    <w:rsid w:val="0032463E"/>
    <w:rsid w:val="0032529C"/>
    <w:rsid w:val="00326224"/>
    <w:rsid w:val="00326CFB"/>
    <w:rsid w:val="0032753D"/>
    <w:rsid w:val="00327DE2"/>
    <w:rsid w:val="00335AE3"/>
    <w:rsid w:val="00337EE4"/>
    <w:rsid w:val="003401AE"/>
    <w:rsid w:val="00340FFD"/>
    <w:rsid w:val="00343046"/>
    <w:rsid w:val="003440B2"/>
    <w:rsid w:val="00344253"/>
    <w:rsid w:val="003506B1"/>
    <w:rsid w:val="00352AF8"/>
    <w:rsid w:val="003531CC"/>
    <w:rsid w:val="0035483F"/>
    <w:rsid w:val="00355DAF"/>
    <w:rsid w:val="00356AC7"/>
    <w:rsid w:val="00357315"/>
    <w:rsid w:val="003609FA"/>
    <w:rsid w:val="003610C0"/>
    <w:rsid w:val="00366BA1"/>
    <w:rsid w:val="00370970"/>
    <w:rsid w:val="003710C8"/>
    <w:rsid w:val="00374FB3"/>
    <w:rsid w:val="003750BE"/>
    <w:rsid w:val="003766BA"/>
    <w:rsid w:val="003803DF"/>
    <w:rsid w:val="00383AB8"/>
    <w:rsid w:val="00387B9D"/>
    <w:rsid w:val="0039364F"/>
    <w:rsid w:val="00396686"/>
    <w:rsid w:val="0039778E"/>
    <w:rsid w:val="003A674B"/>
    <w:rsid w:val="003A793F"/>
    <w:rsid w:val="003B0191"/>
    <w:rsid w:val="003B13F1"/>
    <w:rsid w:val="003B14EE"/>
    <w:rsid w:val="003B4446"/>
    <w:rsid w:val="003B4941"/>
    <w:rsid w:val="003C5714"/>
    <w:rsid w:val="003C6900"/>
    <w:rsid w:val="003C6B9F"/>
    <w:rsid w:val="003C6E2A"/>
    <w:rsid w:val="003D0299"/>
    <w:rsid w:val="003D0BFA"/>
    <w:rsid w:val="003D67E8"/>
    <w:rsid w:val="003E6D80"/>
    <w:rsid w:val="003F05FA"/>
    <w:rsid w:val="003F244A"/>
    <w:rsid w:val="003F30B8"/>
    <w:rsid w:val="003F3A39"/>
    <w:rsid w:val="003F4568"/>
    <w:rsid w:val="003F4C45"/>
    <w:rsid w:val="003F5B8A"/>
    <w:rsid w:val="003F5F7B"/>
    <w:rsid w:val="003F69C9"/>
    <w:rsid w:val="003F7D64"/>
    <w:rsid w:val="00402138"/>
    <w:rsid w:val="00406E04"/>
    <w:rsid w:val="004074E4"/>
    <w:rsid w:val="00411C35"/>
    <w:rsid w:val="00414300"/>
    <w:rsid w:val="004169F8"/>
    <w:rsid w:val="00422A41"/>
    <w:rsid w:val="00424E81"/>
    <w:rsid w:val="00425C67"/>
    <w:rsid w:val="00425CE4"/>
    <w:rsid w:val="0042788B"/>
    <w:rsid w:val="00427E7A"/>
    <w:rsid w:val="00432FA6"/>
    <w:rsid w:val="004343AB"/>
    <w:rsid w:val="00436307"/>
    <w:rsid w:val="00436C49"/>
    <w:rsid w:val="00444059"/>
    <w:rsid w:val="00445366"/>
    <w:rsid w:val="0044601B"/>
    <w:rsid w:val="00447F5B"/>
    <w:rsid w:val="00450B84"/>
    <w:rsid w:val="004510BC"/>
    <w:rsid w:val="004561EF"/>
    <w:rsid w:val="004575CB"/>
    <w:rsid w:val="00461DB0"/>
    <w:rsid w:val="00461DE4"/>
    <w:rsid w:val="004634D3"/>
    <w:rsid w:val="00463926"/>
    <w:rsid w:val="004646E0"/>
    <w:rsid w:val="00464C9A"/>
    <w:rsid w:val="00465662"/>
    <w:rsid w:val="00466666"/>
    <w:rsid w:val="0046778B"/>
    <w:rsid w:val="00467B04"/>
    <w:rsid w:val="00470C32"/>
    <w:rsid w:val="00474F3D"/>
    <w:rsid w:val="00477E3A"/>
    <w:rsid w:val="00483E5F"/>
    <w:rsid w:val="004843BE"/>
    <w:rsid w:val="0048552F"/>
    <w:rsid w:val="00485FF9"/>
    <w:rsid w:val="00486E7C"/>
    <w:rsid w:val="00487A7F"/>
    <w:rsid w:val="004907F0"/>
    <w:rsid w:val="0049107C"/>
    <w:rsid w:val="0049140B"/>
    <w:rsid w:val="004923A5"/>
    <w:rsid w:val="00492A69"/>
    <w:rsid w:val="004951FF"/>
    <w:rsid w:val="00496925"/>
    <w:rsid w:val="00496BFB"/>
    <w:rsid w:val="004A15C7"/>
    <w:rsid w:val="004A3C54"/>
    <w:rsid w:val="004A43E0"/>
    <w:rsid w:val="004A6A0F"/>
    <w:rsid w:val="004B013B"/>
    <w:rsid w:val="004B112B"/>
    <w:rsid w:val="004B6C5C"/>
    <w:rsid w:val="004B770B"/>
    <w:rsid w:val="004C01E4"/>
    <w:rsid w:val="004C086C"/>
    <w:rsid w:val="004C1874"/>
    <w:rsid w:val="004C1F56"/>
    <w:rsid w:val="004C27BC"/>
    <w:rsid w:val="004C392B"/>
    <w:rsid w:val="004C3AAA"/>
    <w:rsid w:val="004D15F3"/>
    <w:rsid w:val="004D3E8B"/>
    <w:rsid w:val="004D5311"/>
    <w:rsid w:val="004D5DCC"/>
    <w:rsid w:val="004D6CA8"/>
    <w:rsid w:val="004F10AF"/>
    <w:rsid w:val="004F11A4"/>
    <w:rsid w:val="004F2389"/>
    <w:rsid w:val="004F304D"/>
    <w:rsid w:val="004F511D"/>
    <w:rsid w:val="004F61BE"/>
    <w:rsid w:val="004F66B1"/>
    <w:rsid w:val="00506998"/>
    <w:rsid w:val="00506C57"/>
    <w:rsid w:val="00507970"/>
    <w:rsid w:val="00511C07"/>
    <w:rsid w:val="005159E5"/>
    <w:rsid w:val="005173A6"/>
    <w:rsid w:val="00520BAA"/>
    <w:rsid w:val="00525208"/>
    <w:rsid w:val="005257A5"/>
    <w:rsid w:val="00525ABD"/>
    <w:rsid w:val="005264C0"/>
    <w:rsid w:val="00526A8A"/>
    <w:rsid w:val="00530022"/>
    <w:rsid w:val="00531DF2"/>
    <w:rsid w:val="00534013"/>
    <w:rsid w:val="00534269"/>
    <w:rsid w:val="00535A1B"/>
    <w:rsid w:val="005360E3"/>
    <w:rsid w:val="0054286E"/>
    <w:rsid w:val="005442EE"/>
    <w:rsid w:val="00545AFE"/>
    <w:rsid w:val="00545DBF"/>
    <w:rsid w:val="00547353"/>
    <w:rsid w:val="005474E7"/>
    <w:rsid w:val="005512A3"/>
    <w:rsid w:val="00554C52"/>
    <w:rsid w:val="005566AF"/>
    <w:rsid w:val="00557347"/>
    <w:rsid w:val="005578CE"/>
    <w:rsid w:val="00557D9D"/>
    <w:rsid w:val="005625CC"/>
    <w:rsid w:val="00562781"/>
    <w:rsid w:val="00563E83"/>
    <w:rsid w:val="00567301"/>
    <w:rsid w:val="005674C1"/>
    <w:rsid w:val="00571B01"/>
    <w:rsid w:val="0057271C"/>
    <w:rsid w:val="00572845"/>
    <w:rsid w:val="00580F59"/>
    <w:rsid w:val="0058230F"/>
    <w:rsid w:val="005824F8"/>
    <w:rsid w:val="00583372"/>
    <w:rsid w:val="0058642D"/>
    <w:rsid w:val="0058703D"/>
    <w:rsid w:val="00592063"/>
    <w:rsid w:val="00592772"/>
    <w:rsid w:val="00595119"/>
    <w:rsid w:val="00595226"/>
    <w:rsid w:val="0059574A"/>
    <w:rsid w:val="005A09EE"/>
    <w:rsid w:val="005A118E"/>
    <w:rsid w:val="005A1B9B"/>
    <w:rsid w:val="005A38FB"/>
    <w:rsid w:val="005A6751"/>
    <w:rsid w:val="005A6AD1"/>
    <w:rsid w:val="005B092E"/>
    <w:rsid w:val="005B147A"/>
    <w:rsid w:val="005B152C"/>
    <w:rsid w:val="005B1EE0"/>
    <w:rsid w:val="005B2B24"/>
    <w:rsid w:val="005B32D4"/>
    <w:rsid w:val="005B4425"/>
    <w:rsid w:val="005B4B94"/>
    <w:rsid w:val="005B7D1C"/>
    <w:rsid w:val="005C3EE8"/>
    <w:rsid w:val="005C7268"/>
    <w:rsid w:val="005D34F9"/>
    <w:rsid w:val="005D4190"/>
    <w:rsid w:val="005D67A3"/>
    <w:rsid w:val="005E2988"/>
    <w:rsid w:val="005E2A43"/>
    <w:rsid w:val="005E3085"/>
    <w:rsid w:val="005E3520"/>
    <w:rsid w:val="005E4397"/>
    <w:rsid w:val="005F37A4"/>
    <w:rsid w:val="005F51E1"/>
    <w:rsid w:val="0060301A"/>
    <w:rsid w:val="006057F3"/>
    <w:rsid w:val="00611C80"/>
    <w:rsid w:val="00617099"/>
    <w:rsid w:val="00620692"/>
    <w:rsid w:val="0062152D"/>
    <w:rsid w:val="006242CA"/>
    <w:rsid w:val="00626664"/>
    <w:rsid w:val="00627507"/>
    <w:rsid w:val="006312FF"/>
    <w:rsid w:val="00631866"/>
    <w:rsid w:val="00631D2B"/>
    <w:rsid w:val="00631F21"/>
    <w:rsid w:val="00633717"/>
    <w:rsid w:val="006344E1"/>
    <w:rsid w:val="00647B35"/>
    <w:rsid w:val="006545C4"/>
    <w:rsid w:val="0065734D"/>
    <w:rsid w:val="00661971"/>
    <w:rsid w:val="00661CE8"/>
    <w:rsid w:val="006623D9"/>
    <w:rsid w:val="0066550C"/>
    <w:rsid w:val="006655E9"/>
    <w:rsid w:val="006716F2"/>
    <w:rsid w:val="00672630"/>
    <w:rsid w:val="006740B1"/>
    <w:rsid w:val="006743FA"/>
    <w:rsid w:val="00681EC9"/>
    <w:rsid w:val="00682BF2"/>
    <w:rsid w:val="00683604"/>
    <w:rsid w:val="006859CE"/>
    <w:rsid w:val="006867BA"/>
    <w:rsid w:val="00687072"/>
    <w:rsid w:val="00690EF5"/>
    <w:rsid w:val="00691270"/>
    <w:rsid w:val="00691426"/>
    <w:rsid w:val="006925A7"/>
    <w:rsid w:val="006926A6"/>
    <w:rsid w:val="00694BA8"/>
    <w:rsid w:val="00696548"/>
    <w:rsid w:val="0069655C"/>
    <w:rsid w:val="0069662C"/>
    <w:rsid w:val="006972B0"/>
    <w:rsid w:val="006A037C"/>
    <w:rsid w:val="006A3537"/>
    <w:rsid w:val="006A36F4"/>
    <w:rsid w:val="006A3DFE"/>
    <w:rsid w:val="006A406F"/>
    <w:rsid w:val="006A5D3A"/>
    <w:rsid w:val="006A6DF8"/>
    <w:rsid w:val="006B2483"/>
    <w:rsid w:val="006B24B0"/>
    <w:rsid w:val="006B4C09"/>
    <w:rsid w:val="006B60E4"/>
    <w:rsid w:val="006C21D6"/>
    <w:rsid w:val="006C23D4"/>
    <w:rsid w:val="006C5130"/>
    <w:rsid w:val="006C750A"/>
    <w:rsid w:val="006C7BB0"/>
    <w:rsid w:val="006D3237"/>
    <w:rsid w:val="006D4E47"/>
    <w:rsid w:val="006E27B7"/>
    <w:rsid w:val="006E2E37"/>
    <w:rsid w:val="006E3CF1"/>
    <w:rsid w:val="006E4DDD"/>
    <w:rsid w:val="006E7E80"/>
    <w:rsid w:val="006F035F"/>
    <w:rsid w:val="006F1DF9"/>
    <w:rsid w:val="006F1F54"/>
    <w:rsid w:val="006F24DB"/>
    <w:rsid w:val="006F48CA"/>
    <w:rsid w:val="006F64DD"/>
    <w:rsid w:val="00700030"/>
    <w:rsid w:val="007019B0"/>
    <w:rsid w:val="00702424"/>
    <w:rsid w:val="00706033"/>
    <w:rsid w:val="00706514"/>
    <w:rsid w:val="00706811"/>
    <w:rsid w:val="00713D90"/>
    <w:rsid w:val="00715127"/>
    <w:rsid w:val="00715E8E"/>
    <w:rsid w:val="007160C0"/>
    <w:rsid w:val="00717CC5"/>
    <w:rsid w:val="007225C8"/>
    <w:rsid w:val="00723580"/>
    <w:rsid w:val="00723755"/>
    <w:rsid w:val="0072642C"/>
    <w:rsid w:val="0073136C"/>
    <w:rsid w:val="00731F0F"/>
    <w:rsid w:val="00733250"/>
    <w:rsid w:val="00734376"/>
    <w:rsid w:val="007410EA"/>
    <w:rsid w:val="00741404"/>
    <w:rsid w:val="00741F43"/>
    <w:rsid w:val="0074349D"/>
    <w:rsid w:val="007449E5"/>
    <w:rsid w:val="00746C5A"/>
    <w:rsid w:val="00747FF0"/>
    <w:rsid w:val="00752346"/>
    <w:rsid w:val="0075653D"/>
    <w:rsid w:val="00764D4E"/>
    <w:rsid w:val="00765A1F"/>
    <w:rsid w:val="007728FB"/>
    <w:rsid w:val="0077354C"/>
    <w:rsid w:val="00775B6D"/>
    <w:rsid w:val="00775F9C"/>
    <w:rsid w:val="0077612A"/>
    <w:rsid w:val="00776D68"/>
    <w:rsid w:val="00782CD7"/>
    <w:rsid w:val="007850EE"/>
    <w:rsid w:val="00785B95"/>
    <w:rsid w:val="0079047C"/>
    <w:rsid w:val="00790E96"/>
    <w:rsid w:val="00793366"/>
    <w:rsid w:val="007A1B43"/>
    <w:rsid w:val="007A218A"/>
    <w:rsid w:val="007A3FF7"/>
    <w:rsid w:val="007A6323"/>
    <w:rsid w:val="007A6407"/>
    <w:rsid w:val="007A6A4F"/>
    <w:rsid w:val="007A716F"/>
    <w:rsid w:val="007A723E"/>
    <w:rsid w:val="007B070D"/>
    <w:rsid w:val="007B270A"/>
    <w:rsid w:val="007B6A83"/>
    <w:rsid w:val="007B7E96"/>
    <w:rsid w:val="007C0695"/>
    <w:rsid w:val="007C101D"/>
    <w:rsid w:val="007C2302"/>
    <w:rsid w:val="007C419A"/>
    <w:rsid w:val="007C4CC8"/>
    <w:rsid w:val="007C5426"/>
    <w:rsid w:val="007C5798"/>
    <w:rsid w:val="007D3209"/>
    <w:rsid w:val="007D4832"/>
    <w:rsid w:val="007D5431"/>
    <w:rsid w:val="007D7D6B"/>
    <w:rsid w:val="007E0206"/>
    <w:rsid w:val="007E0795"/>
    <w:rsid w:val="007E21B2"/>
    <w:rsid w:val="007E2C4E"/>
    <w:rsid w:val="007E6DFA"/>
    <w:rsid w:val="007F0DB5"/>
    <w:rsid w:val="007F135F"/>
    <w:rsid w:val="007F1905"/>
    <w:rsid w:val="007F1959"/>
    <w:rsid w:val="007F2BB8"/>
    <w:rsid w:val="007F6080"/>
    <w:rsid w:val="007F7D99"/>
    <w:rsid w:val="0080006F"/>
    <w:rsid w:val="00800693"/>
    <w:rsid w:val="00801300"/>
    <w:rsid w:val="0080276F"/>
    <w:rsid w:val="00802C64"/>
    <w:rsid w:val="00803A90"/>
    <w:rsid w:val="0080587D"/>
    <w:rsid w:val="00805E52"/>
    <w:rsid w:val="008061D0"/>
    <w:rsid w:val="008067CF"/>
    <w:rsid w:val="00810B38"/>
    <w:rsid w:val="00817167"/>
    <w:rsid w:val="008204C7"/>
    <w:rsid w:val="00820992"/>
    <w:rsid w:val="00820F63"/>
    <w:rsid w:val="0082253A"/>
    <w:rsid w:val="00823602"/>
    <w:rsid w:val="008237F5"/>
    <w:rsid w:val="008255F5"/>
    <w:rsid w:val="0083014E"/>
    <w:rsid w:val="0083214A"/>
    <w:rsid w:val="00834220"/>
    <w:rsid w:val="00836FCB"/>
    <w:rsid w:val="00843AF9"/>
    <w:rsid w:val="00845723"/>
    <w:rsid w:val="00846F62"/>
    <w:rsid w:val="008501C9"/>
    <w:rsid w:val="00851EF9"/>
    <w:rsid w:val="008577FD"/>
    <w:rsid w:val="00860B03"/>
    <w:rsid w:val="00864546"/>
    <w:rsid w:val="0086497A"/>
    <w:rsid w:val="008713A1"/>
    <w:rsid w:val="00873515"/>
    <w:rsid w:val="008754AB"/>
    <w:rsid w:val="00876C66"/>
    <w:rsid w:val="0088060C"/>
    <w:rsid w:val="00880BFF"/>
    <w:rsid w:val="00882FA5"/>
    <w:rsid w:val="008877C2"/>
    <w:rsid w:val="00887FAE"/>
    <w:rsid w:val="00891550"/>
    <w:rsid w:val="008916FA"/>
    <w:rsid w:val="0089253F"/>
    <w:rsid w:val="00893576"/>
    <w:rsid w:val="00893E73"/>
    <w:rsid w:val="0089547E"/>
    <w:rsid w:val="008A43C4"/>
    <w:rsid w:val="008B02DC"/>
    <w:rsid w:val="008B57CE"/>
    <w:rsid w:val="008B659F"/>
    <w:rsid w:val="008B6A72"/>
    <w:rsid w:val="008B7507"/>
    <w:rsid w:val="008C26DE"/>
    <w:rsid w:val="008C3D55"/>
    <w:rsid w:val="008C425F"/>
    <w:rsid w:val="008C781D"/>
    <w:rsid w:val="008D2225"/>
    <w:rsid w:val="008D4752"/>
    <w:rsid w:val="008E271C"/>
    <w:rsid w:val="008E2FA7"/>
    <w:rsid w:val="008E3A23"/>
    <w:rsid w:val="008E3C74"/>
    <w:rsid w:val="008E418E"/>
    <w:rsid w:val="008E5BC6"/>
    <w:rsid w:val="008E5E86"/>
    <w:rsid w:val="008E649A"/>
    <w:rsid w:val="008E6A25"/>
    <w:rsid w:val="008F1090"/>
    <w:rsid w:val="008F5193"/>
    <w:rsid w:val="008F7E7B"/>
    <w:rsid w:val="009013A7"/>
    <w:rsid w:val="009017FB"/>
    <w:rsid w:val="009017FC"/>
    <w:rsid w:val="00903B43"/>
    <w:rsid w:val="00903CED"/>
    <w:rsid w:val="0090506B"/>
    <w:rsid w:val="009050C9"/>
    <w:rsid w:val="009066FC"/>
    <w:rsid w:val="0090790A"/>
    <w:rsid w:val="00912D04"/>
    <w:rsid w:val="009140A3"/>
    <w:rsid w:val="009144A2"/>
    <w:rsid w:val="00914AE0"/>
    <w:rsid w:val="0091510C"/>
    <w:rsid w:val="00915BD5"/>
    <w:rsid w:val="009161FD"/>
    <w:rsid w:val="00920501"/>
    <w:rsid w:val="009259AC"/>
    <w:rsid w:val="00925CC2"/>
    <w:rsid w:val="00926F38"/>
    <w:rsid w:val="0093002B"/>
    <w:rsid w:val="00934301"/>
    <w:rsid w:val="00934BF8"/>
    <w:rsid w:val="00936349"/>
    <w:rsid w:val="00936CD1"/>
    <w:rsid w:val="00941747"/>
    <w:rsid w:val="00941EFB"/>
    <w:rsid w:val="0094266C"/>
    <w:rsid w:val="00942834"/>
    <w:rsid w:val="00947264"/>
    <w:rsid w:val="00947AFB"/>
    <w:rsid w:val="0095048E"/>
    <w:rsid w:val="00951D7D"/>
    <w:rsid w:val="00957496"/>
    <w:rsid w:val="009630C7"/>
    <w:rsid w:val="00964965"/>
    <w:rsid w:val="00972B55"/>
    <w:rsid w:val="009743B7"/>
    <w:rsid w:val="0097757A"/>
    <w:rsid w:val="0098228B"/>
    <w:rsid w:val="009828DA"/>
    <w:rsid w:val="00985BAB"/>
    <w:rsid w:val="00986A64"/>
    <w:rsid w:val="009910FE"/>
    <w:rsid w:val="00993360"/>
    <w:rsid w:val="0099526D"/>
    <w:rsid w:val="00997F03"/>
    <w:rsid w:val="009A46DF"/>
    <w:rsid w:val="009A5B77"/>
    <w:rsid w:val="009A5F70"/>
    <w:rsid w:val="009B1B5F"/>
    <w:rsid w:val="009B2EC2"/>
    <w:rsid w:val="009B55C6"/>
    <w:rsid w:val="009B6673"/>
    <w:rsid w:val="009B6832"/>
    <w:rsid w:val="009C191B"/>
    <w:rsid w:val="009C1E7B"/>
    <w:rsid w:val="009C2BD6"/>
    <w:rsid w:val="009C3C12"/>
    <w:rsid w:val="009C49BA"/>
    <w:rsid w:val="009D51A9"/>
    <w:rsid w:val="009D7A23"/>
    <w:rsid w:val="009E1F32"/>
    <w:rsid w:val="009E5829"/>
    <w:rsid w:val="009E776C"/>
    <w:rsid w:val="009F0888"/>
    <w:rsid w:val="009F29A5"/>
    <w:rsid w:val="00A00672"/>
    <w:rsid w:val="00A00807"/>
    <w:rsid w:val="00A032B5"/>
    <w:rsid w:val="00A068BE"/>
    <w:rsid w:val="00A07F27"/>
    <w:rsid w:val="00A10796"/>
    <w:rsid w:val="00A10AEF"/>
    <w:rsid w:val="00A1726E"/>
    <w:rsid w:val="00A204CF"/>
    <w:rsid w:val="00A239E2"/>
    <w:rsid w:val="00A23D49"/>
    <w:rsid w:val="00A27004"/>
    <w:rsid w:val="00A30C29"/>
    <w:rsid w:val="00A34DD6"/>
    <w:rsid w:val="00A36819"/>
    <w:rsid w:val="00A36989"/>
    <w:rsid w:val="00A37B9F"/>
    <w:rsid w:val="00A43628"/>
    <w:rsid w:val="00A45DCA"/>
    <w:rsid w:val="00A47022"/>
    <w:rsid w:val="00A51F7C"/>
    <w:rsid w:val="00A53AA1"/>
    <w:rsid w:val="00A54192"/>
    <w:rsid w:val="00A54A51"/>
    <w:rsid w:val="00A575EE"/>
    <w:rsid w:val="00A57EE8"/>
    <w:rsid w:val="00A6035E"/>
    <w:rsid w:val="00A6144C"/>
    <w:rsid w:val="00A66617"/>
    <w:rsid w:val="00A671F8"/>
    <w:rsid w:val="00A673A4"/>
    <w:rsid w:val="00A701E9"/>
    <w:rsid w:val="00A724AE"/>
    <w:rsid w:val="00A73329"/>
    <w:rsid w:val="00A76455"/>
    <w:rsid w:val="00A82359"/>
    <w:rsid w:val="00A833D0"/>
    <w:rsid w:val="00A86216"/>
    <w:rsid w:val="00A865D2"/>
    <w:rsid w:val="00A94C20"/>
    <w:rsid w:val="00A968E3"/>
    <w:rsid w:val="00A96ED6"/>
    <w:rsid w:val="00AA227F"/>
    <w:rsid w:val="00AA3BC7"/>
    <w:rsid w:val="00AA43ED"/>
    <w:rsid w:val="00AA754A"/>
    <w:rsid w:val="00AA7709"/>
    <w:rsid w:val="00AB099E"/>
    <w:rsid w:val="00AB3AB2"/>
    <w:rsid w:val="00AB4328"/>
    <w:rsid w:val="00AB4BCC"/>
    <w:rsid w:val="00AB5FA0"/>
    <w:rsid w:val="00AB7EFF"/>
    <w:rsid w:val="00AC1152"/>
    <w:rsid w:val="00AC185D"/>
    <w:rsid w:val="00AC1E9C"/>
    <w:rsid w:val="00AC5478"/>
    <w:rsid w:val="00AD1727"/>
    <w:rsid w:val="00AD6007"/>
    <w:rsid w:val="00AE0A2E"/>
    <w:rsid w:val="00AE354C"/>
    <w:rsid w:val="00AF05A0"/>
    <w:rsid w:val="00AF14A4"/>
    <w:rsid w:val="00AF2B1C"/>
    <w:rsid w:val="00AF4B07"/>
    <w:rsid w:val="00AF6186"/>
    <w:rsid w:val="00AF68E2"/>
    <w:rsid w:val="00AF7A3A"/>
    <w:rsid w:val="00B01200"/>
    <w:rsid w:val="00B04370"/>
    <w:rsid w:val="00B12424"/>
    <w:rsid w:val="00B127BC"/>
    <w:rsid w:val="00B13522"/>
    <w:rsid w:val="00B15577"/>
    <w:rsid w:val="00B160DB"/>
    <w:rsid w:val="00B20836"/>
    <w:rsid w:val="00B219C1"/>
    <w:rsid w:val="00B22303"/>
    <w:rsid w:val="00B235BB"/>
    <w:rsid w:val="00B27A44"/>
    <w:rsid w:val="00B30BBF"/>
    <w:rsid w:val="00B322A6"/>
    <w:rsid w:val="00B33C03"/>
    <w:rsid w:val="00B33F03"/>
    <w:rsid w:val="00B40710"/>
    <w:rsid w:val="00B40B99"/>
    <w:rsid w:val="00B41416"/>
    <w:rsid w:val="00B418EB"/>
    <w:rsid w:val="00B44E56"/>
    <w:rsid w:val="00B46543"/>
    <w:rsid w:val="00B47D33"/>
    <w:rsid w:val="00B52BE0"/>
    <w:rsid w:val="00B54133"/>
    <w:rsid w:val="00B54BE2"/>
    <w:rsid w:val="00B55FE2"/>
    <w:rsid w:val="00B60295"/>
    <w:rsid w:val="00B6251D"/>
    <w:rsid w:val="00B6763A"/>
    <w:rsid w:val="00B701ED"/>
    <w:rsid w:val="00B733DA"/>
    <w:rsid w:val="00B73F72"/>
    <w:rsid w:val="00B770D7"/>
    <w:rsid w:val="00B8086C"/>
    <w:rsid w:val="00B814CB"/>
    <w:rsid w:val="00B814D2"/>
    <w:rsid w:val="00B861B4"/>
    <w:rsid w:val="00B86DFE"/>
    <w:rsid w:val="00B90990"/>
    <w:rsid w:val="00B922FF"/>
    <w:rsid w:val="00B9281E"/>
    <w:rsid w:val="00B93925"/>
    <w:rsid w:val="00B94E87"/>
    <w:rsid w:val="00B95187"/>
    <w:rsid w:val="00B95545"/>
    <w:rsid w:val="00B97EF6"/>
    <w:rsid w:val="00BA2D55"/>
    <w:rsid w:val="00BA3505"/>
    <w:rsid w:val="00BA3C8B"/>
    <w:rsid w:val="00BA4A87"/>
    <w:rsid w:val="00BA4F59"/>
    <w:rsid w:val="00BA5B79"/>
    <w:rsid w:val="00BA71B1"/>
    <w:rsid w:val="00BB0637"/>
    <w:rsid w:val="00BB345F"/>
    <w:rsid w:val="00BB48D2"/>
    <w:rsid w:val="00BB5883"/>
    <w:rsid w:val="00BB68EA"/>
    <w:rsid w:val="00BC05C3"/>
    <w:rsid w:val="00BC1C27"/>
    <w:rsid w:val="00BC4F00"/>
    <w:rsid w:val="00BC6BBF"/>
    <w:rsid w:val="00BD1572"/>
    <w:rsid w:val="00BE14E3"/>
    <w:rsid w:val="00BE3774"/>
    <w:rsid w:val="00BE41E5"/>
    <w:rsid w:val="00BE4521"/>
    <w:rsid w:val="00BF0BBB"/>
    <w:rsid w:val="00BF4109"/>
    <w:rsid w:val="00BF4CC3"/>
    <w:rsid w:val="00C0380F"/>
    <w:rsid w:val="00C04876"/>
    <w:rsid w:val="00C054C7"/>
    <w:rsid w:val="00C057B5"/>
    <w:rsid w:val="00C10FE7"/>
    <w:rsid w:val="00C13C3D"/>
    <w:rsid w:val="00C21658"/>
    <w:rsid w:val="00C22687"/>
    <w:rsid w:val="00C23366"/>
    <w:rsid w:val="00C26E9A"/>
    <w:rsid w:val="00C26EB8"/>
    <w:rsid w:val="00C272B1"/>
    <w:rsid w:val="00C30E8C"/>
    <w:rsid w:val="00C324F7"/>
    <w:rsid w:val="00C32E4D"/>
    <w:rsid w:val="00C333A0"/>
    <w:rsid w:val="00C3684F"/>
    <w:rsid w:val="00C36A81"/>
    <w:rsid w:val="00C41974"/>
    <w:rsid w:val="00C4468C"/>
    <w:rsid w:val="00C447AD"/>
    <w:rsid w:val="00C46E0E"/>
    <w:rsid w:val="00C52EF4"/>
    <w:rsid w:val="00C53F4A"/>
    <w:rsid w:val="00C54125"/>
    <w:rsid w:val="00C55B54"/>
    <w:rsid w:val="00C55FBB"/>
    <w:rsid w:val="00C57B1A"/>
    <w:rsid w:val="00C57DCE"/>
    <w:rsid w:val="00C60205"/>
    <w:rsid w:val="00C6098E"/>
    <w:rsid w:val="00C6152C"/>
    <w:rsid w:val="00C621C2"/>
    <w:rsid w:val="00C62EF0"/>
    <w:rsid w:val="00C70623"/>
    <w:rsid w:val="00C7156C"/>
    <w:rsid w:val="00C74810"/>
    <w:rsid w:val="00C8490E"/>
    <w:rsid w:val="00C90001"/>
    <w:rsid w:val="00C90D68"/>
    <w:rsid w:val="00C939FE"/>
    <w:rsid w:val="00CA0F6D"/>
    <w:rsid w:val="00CA3BC3"/>
    <w:rsid w:val="00CA456E"/>
    <w:rsid w:val="00CA4BDA"/>
    <w:rsid w:val="00CB1F66"/>
    <w:rsid w:val="00CB2951"/>
    <w:rsid w:val="00CC0321"/>
    <w:rsid w:val="00CC57F4"/>
    <w:rsid w:val="00CD0DE1"/>
    <w:rsid w:val="00CD282B"/>
    <w:rsid w:val="00CD4C35"/>
    <w:rsid w:val="00CD5E32"/>
    <w:rsid w:val="00CD7369"/>
    <w:rsid w:val="00CE03F4"/>
    <w:rsid w:val="00CE0B0E"/>
    <w:rsid w:val="00CE3831"/>
    <w:rsid w:val="00CE3852"/>
    <w:rsid w:val="00CE69E4"/>
    <w:rsid w:val="00CF321E"/>
    <w:rsid w:val="00CF639B"/>
    <w:rsid w:val="00CF6F47"/>
    <w:rsid w:val="00D00ABB"/>
    <w:rsid w:val="00D02EEC"/>
    <w:rsid w:val="00D03551"/>
    <w:rsid w:val="00D035A2"/>
    <w:rsid w:val="00D03DDF"/>
    <w:rsid w:val="00D06A63"/>
    <w:rsid w:val="00D06EE0"/>
    <w:rsid w:val="00D07E0E"/>
    <w:rsid w:val="00D11478"/>
    <w:rsid w:val="00D15ED0"/>
    <w:rsid w:val="00D17D12"/>
    <w:rsid w:val="00D21B3E"/>
    <w:rsid w:val="00D21FED"/>
    <w:rsid w:val="00D2260B"/>
    <w:rsid w:val="00D233EE"/>
    <w:rsid w:val="00D23553"/>
    <w:rsid w:val="00D24251"/>
    <w:rsid w:val="00D25953"/>
    <w:rsid w:val="00D33059"/>
    <w:rsid w:val="00D338B2"/>
    <w:rsid w:val="00D343E2"/>
    <w:rsid w:val="00D34EFA"/>
    <w:rsid w:val="00D361A2"/>
    <w:rsid w:val="00D44C2E"/>
    <w:rsid w:val="00D44DEE"/>
    <w:rsid w:val="00D45414"/>
    <w:rsid w:val="00D46960"/>
    <w:rsid w:val="00D50BAC"/>
    <w:rsid w:val="00D53C0F"/>
    <w:rsid w:val="00D565D3"/>
    <w:rsid w:val="00D566BD"/>
    <w:rsid w:val="00D57400"/>
    <w:rsid w:val="00D57A4D"/>
    <w:rsid w:val="00D60AA7"/>
    <w:rsid w:val="00D60D87"/>
    <w:rsid w:val="00D6435F"/>
    <w:rsid w:val="00D64DE7"/>
    <w:rsid w:val="00D70FDA"/>
    <w:rsid w:val="00D75E28"/>
    <w:rsid w:val="00D772C2"/>
    <w:rsid w:val="00D8008E"/>
    <w:rsid w:val="00D82C45"/>
    <w:rsid w:val="00D87C86"/>
    <w:rsid w:val="00D908A8"/>
    <w:rsid w:val="00D92A7C"/>
    <w:rsid w:val="00D977B6"/>
    <w:rsid w:val="00DA4A31"/>
    <w:rsid w:val="00DA4E99"/>
    <w:rsid w:val="00DA7B04"/>
    <w:rsid w:val="00DB0BDC"/>
    <w:rsid w:val="00DB235E"/>
    <w:rsid w:val="00DB3658"/>
    <w:rsid w:val="00DB36C2"/>
    <w:rsid w:val="00DB3803"/>
    <w:rsid w:val="00DB5302"/>
    <w:rsid w:val="00DB7196"/>
    <w:rsid w:val="00DB770C"/>
    <w:rsid w:val="00DC169B"/>
    <w:rsid w:val="00DC1EE5"/>
    <w:rsid w:val="00DC2AB9"/>
    <w:rsid w:val="00DC3183"/>
    <w:rsid w:val="00DC3F5E"/>
    <w:rsid w:val="00DC63F0"/>
    <w:rsid w:val="00DC6762"/>
    <w:rsid w:val="00DD6EE5"/>
    <w:rsid w:val="00DE2CF4"/>
    <w:rsid w:val="00DE386C"/>
    <w:rsid w:val="00DE4D35"/>
    <w:rsid w:val="00DE4F57"/>
    <w:rsid w:val="00DE5FA7"/>
    <w:rsid w:val="00DE71F3"/>
    <w:rsid w:val="00DF0549"/>
    <w:rsid w:val="00DF098B"/>
    <w:rsid w:val="00DF11C4"/>
    <w:rsid w:val="00DF210C"/>
    <w:rsid w:val="00DF3DE3"/>
    <w:rsid w:val="00DF4B6A"/>
    <w:rsid w:val="00DF78CD"/>
    <w:rsid w:val="00E02C09"/>
    <w:rsid w:val="00E04D59"/>
    <w:rsid w:val="00E07DA1"/>
    <w:rsid w:val="00E123CB"/>
    <w:rsid w:val="00E1557C"/>
    <w:rsid w:val="00E20E13"/>
    <w:rsid w:val="00E21829"/>
    <w:rsid w:val="00E21DBC"/>
    <w:rsid w:val="00E24023"/>
    <w:rsid w:val="00E251C3"/>
    <w:rsid w:val="00E275D7"/>
    <w:rsid w:val="00E27C22"/>
    <w:rsid w:val="00E27DBE"/>
    <w:rsid w:val="00E30E67"/>
    <w:rsid w:val="00E32AB1"/>
    <w:rsid w:val="00E33306"/>
    <w:rsid w:val="00E34E6D"/>
    <w:rsid w:val="00E36C71"/>
    <w:rsid w:val="00E40404"/>
    <w:rsid w:val="00E459C6"/>
    <w:rsid w:val="00E47589"/>
    <w:rsid w:val="00E50C85"/>
    <w:rsid w:val="00E56CEE"/>
    <w:rsid w:val="00E5781A"/>
    <w:rsid w:val="00E6185C"/>
    <w:rsid w:val="00E6367A"/>
    <w:rsid w:val="00E643C9"/>
    <w:rsid w:val="00E64915"/>
    <w:rsid w:val="00E661D4"/>
    <w:rsid w:val="00E661F9"/>
    <w:rsid w:val="00E67CBE"/>
    <w:rsid w:val="00E70091"/>
    <w:rsid w:val="00E702C7"/>
    <w:rsid w:val="00E720F5"/>
    <w:rsid w:val="00E73633"/>
    <w:rsid w:val="00E75173"/>
    <w:rsid w:val="00E76D47"/>
    <w:rsid w:val="00E80636"/>
    <w:rsid w:val="00E849F7"/>
    <w:rsid w:val="00E85206"/>
    <w:rsid w:val="00E859CA"/>
    <w:rsid w:val="00E86D11"/>
    <w:rsid w:val="00E876F7"/>
    <w:rsid w:val="00E90302"/>
    <w:rsid w:val="00E9597F"/>
    <w:rsid w:val="00E9719A"/>
    <w:rsid w:val="00E97396"/>
    <w:rsid w:val="00EA185E"/>
    <w:rsid w:val="00EA592A"/>
    <w:rsid w:val="00EA7531"/>
    <w:rsid w:val="00EB14E4"/>
    <w:rsid w:val="00EB32A5"/>
    <w:rsid w:val="00EB34ED"/>
    <w:rsid w:val="00EB463D"/>
    <w:rsid w:val="00EB74BD"/>
    <w:rsid w:val="00EB7BE0"/>
    <w:rsid w:val="00EC315E"/>
    <w:rsid w:val="00EC3424"/>
    <w:rsid w:val="00EC3B4A"/>
    <w:rsid w:val="00EC4735"/>
    <w:rsid w:val="00EC5E47"/>
    <w:rsid w:val="00ED0602"/>
    <w:rsid w:val="00ED069D"/>
    <w:rsid w:val="00ED077C"/>
    <w:rsid w:val="00ED1190"/>
    <w:rsid w:val="00ED6544"/>
    <w:rsid w:val="00ED6588"/>
    <w:rsid w:val="00EE0277"/>
    <w:rsid w:val="00EE1DA9"/>
    <w:rsid w:val="00EE2530"/>
    <w:rsid w:val="00EE2856"/>
    <w:rsid w:val="00EE387B"/>
    <w:rsid w:val="00EE3E00"/>
    <w:rsid w:val="00EE414F"/>
    <w:rsid w:val="00EE5DD2"/>
    <w:rsid w:val="00EE74E3"/>
    <w:rsid w:val="00EE75F6"/>
    <w:rsid w:val="00EE7B27"/>
    <w:rsid w:val="00EF41F1"/>
    <w:rsid w:val="00EF4F08"/>
    <w:rsid w:val="00EF78BD"/>
    <w:rsid w:val="00F00A79"/>
    <w:rsid w:val="00F00E86"/>
    <w:rsid w:val="00F02ECC"/>
    <w:rsid w:val="00F03097"/>
    <w:rsid w:val="00F03311"/>
    <w:rsid w:val="00F04005"/>
    <w:rsid w:val="00F07C1E"/>
    <w:rsid w:val="00F105DB"/>
    <w:rsid w:val="00F132BC"/>
    <w:rsid w:val="00F13D80"/>
    <w:rsid w:val="00F14259"/>
    <w:rsid w:val="00F16AAA"/>
    <w:rsid w:val="00F1792E"/>
    <w:rsid w:val="00F21161"/>
    <w:rsid w:val="00F218EF"/>
    <w:rsid w:val="00F21BC7"/>
    <w:rsid w:val="00F22472"/>
    <w:rsid w:val="00F266A2"/>
    <w:rsid w:val="00F32269"/>
    <w:rsid w:val="00F34459"/>
    <w:rsid w:val="00F36A2D"/>
    <w:rsid w:val="00F40C41"/>
    <w:rsid w:val="00F443F7"/>
    <w:rsid w:val="00F44BC5"/>
    <w:rsid w:val="00F468E9"/>
    <w:rsid w:val="00F52653"/>
    <w:rsid w:val="00F54A14"/>
    <w:rsid w:val="00F56253"/>
    <w:rsid w:val="00F56A6F"/>
    <w:rsid w:val="00F56F4E"/>
    <w:rsid w:val="00F5709C"/>
    <w:rsid w:val="00F62F64"/>
    <w:rsid w:val="00F64EF1"/>
    <w:rsid w:val="00F65715"/>
    <w:rsid w:val="00F66287"/>
    <w:rsid w:val="00F67202"/>
    <w:rsid w:val="00F700E2"/>
    <w:rsid w:val="00F7046B"/>
    <w:rsid w:val="00F75AAA"/>
    <w:rsid w:val="00F776EC"/>
    <w:rsid w:val="00F83C81"/>
    <w:rsid w:val="00F8765F"/>
    <w:rsid w:val="00F90767"/>
    <w:rsid w:val="00F9560E"/>
    <w:rsid w:val="00F97317"/>
    <w:rsid w:val="00FA16D2"/>
    <w:rsid w:val="00FA2582"/>
    <w:rsid w:val="00FA3FD1"/>
    <w:rsid w:val="00FA685B"/>
    <w:rsid w:val="00FB0C01"/>
    <w:rsid w:val="00FB6055"/>
    <w:rsid w:val="00FB754A"/>
    <w:rsid w:val="00FB7D2B"/>
    <w:rsid w:val="00FC18F2"/>
    <w:rsid w:val="00FC39E5"/>
    <w:rsid w:val="00FC3A01"/>
    <w:rsid w:val="00FC3A26"/>
    <w:rsid w:val="00FC3A78"/>
    <w:rsid w:val="00FC5FFE"/>
    <w:rsid w:val="00FD013D"/>
    <w:rsid w:val="00FD1005"/>
    <w:rsid w:val="00FD2669"/>
    <w:rsid w:val="00FD3180"/>
    <w:rsid w:val="00FD39C0"/>
    <w:rsid w:val="00FD587E"/>
    <w:rsid w:val="00FD5B0A"/>
    <w:rsid w:val="00FD62F0"/>
    <w:rsid w:val="00FD6C75"/>
    <w:rsid w:val="00FD71F1"/>
    <w:rsid w:val="00FE71B3"/>
    <w:rsid w:val="00FF0C10"/>
    <w:rsid w:val="00FF2738"/>
    <w:rsid w:val="00FF33AA"/>
    <w:rsid w:val="00FF42C5"/>
    <w:rsid w:val="00FF6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annotation text" w:uiPriority="0"/>
    <w:lsdException w:name="header" w:uiPriority="57"/>
    <w:lsdException w:name="footer" w:uiPriority="57"/>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semiHidden/>
    <w:rsid w:val="00580F59"/>
    <w:pPr>
      <w:jc w:val="both"/>
    </w:pPr>
    <w:rPr>
      <w:rFonts w:eastAsiaTheme="minorEastAsia"/>
      <w:sz w:val="24"/>
    </w:rPr>
  </w:style>
  <w:style w:type="paragraph" w:styleId="Nagwek1">
    <w:name w:val="heading 1"/>
    <w:basedOn w:val="Normalny"/>
    <w:next w:val="Normalny"/>
    <w:link w:val="Nagwek1Znak"/>
    <w:uiPriority w:val="99"/>
    <w:semiHidden/>
    <w:rsid w:val="00A96ED6"/>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A96ED6"/>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A96ED6"/>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A96ED6"/>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A96ED6"/>
    <w:pPr>
      <w:spacing w:before="200"/>
      <w:outlineLvl w:val="4"/>
    </w:pPr>
    <w:rPr>
      <w:rFonts w:asciiTheme="majorHAnsi" w:eastAsiaTheme="majorEastAsia" w:hAnsiTheme="majorHAnsi" w:cstheme="majorBidi"/>
      <w:b/>
      <w:bCs/>
      <w:color w:val="808080"/>
      <w:sz w:val="22"/>
    </w:rPr>
  </w:style>
  <w:style w:type="paragraph" w:styleId="Nagwek6">
    <w:name w:val="heading 6"/>
    <w:basedOn w:val="Normalny"/>
    <w:next w:val="Normalny"/>
    <w:link w:val="Nagwek6Znak"/>
    <w:uiPriority w:val="99"/>
    <w:semiHidden/>
    <w:rsid w:val="00A96ED6"/>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A96ED6"/>
    <w:pPr>
      <w:outlineLvl w:val="6"/>
    </w:pPr>
    <w:rPr>
      <w:rFonts w:asciiTheme="majorHAnsi" w:eastAsiaTheme="majorEastAsia" w:hAnsiTheme="majorHAnsi" w:cstheme="majorBidi"/>
      <w:i/>
      <w:iCs/>
      <w:sz w:val="22"/>
      <w:lang w:bidi="en-US"/>
    </w:rPr>
  </w:style>
  <w:style w:type="paragraph" w:styleId="Nagwek8">
    <w:name w:val="heading 8"/>
    <w:basedOn w:val="Normalny"/>
    <w:next w:val="Normalny"/>
    <w:link w:val="Nagwek8Znak"/>
    <w:uiPriority w:val="99"/>
    <w:semiHidden/>
    <w:qFormat/>
    <w:rsid w:val="00A96ED6"/>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A96ED6"/>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A96ED6"/>
    <w:rPr>
      <w:rFonts w:ascii="Tahoma" w:hAnsi="Tahoma" w:cs="Tahoma"/>
      <w:sz w:val="16"/>
      <w:szCs w:val="16"/>
    </w:rPr>
  </w:style>
  <w:style w:type="character" w:customStyle="1" w:styleId="TekstdymkaZnak">
    <w:name w:val="Tekst dymka Znak"/>
    <w:basedOn w:val="Domylnaczcionkaakapitu"/>
    <w:link w:val="Tekstdymka"/>
    <w:uiPriority w:val="99"/>
    <w:semiHidden/>
    <w:rsid w:val="00A96ED6"/>
    <w:rPr>
      <w:rFonts w:ascii="Tahoma" w:eastAsiaTheme="minorEastAsia" w:hAnsi="Tahoma" w:cs="Tahoma"/>
      <w:sz w:val="16"/>
      <w:szCs w:val="16"/>
    </w:rPr>
  </w:style>
  <w:style w:type="character" w:styleId="Tytuksiki">
    <w:name w:val="Book Title"/>
    <w:uiPriority w:val="99"/>
    <w:semiHidden/>
    <w:qFormat/>
    <w:rsid w:val="00A96ED6"/>
    <w:rPr>
      <w:i/>
      <w:iCs/>
      <w:smallCaps/>
      <w:spacing w:val="5"/>
    </w:rPr>
  </w:style>
  <w:style w:type="paragraph" w:customStyle="1" w:styleId="ECHRHeader">
    <w:name w:val="ECHR_Header"/>
    <w:aliases w:val="Ju_Header"/>
    <w:basedOn w:val="Nagwek"/>
    <w:uiPriority w:val="4"/>
    <w:qFormat/>
    <w:rsid w:val="00A96ED6"/>
    <w:pPr>
      <w:tabs>
        <w:tab w:val="clear" w:pos="4536"/>
        <w:tab w:val="clear" w:pos="9072"/>
        <w:tab w:val="center" w:pos="3686"/>
        <w:tab w:val="right" w:pos="7371"/>
      </w:tabs>
      <w:jc w:val="left"/>
    </w:pPr>
    <w:rPr>
      <w:sz w:val="18"/>
    </w:rPr>
  </w:style>
  <w:style w:type="paragraph" w:customStyle="1" w:styleId="ECHRFooter">
    <w:name w:val="ECHR_Footer"/>
    <w:aliases w:val="Footer_ECHR"/>
    <w:basedOn w:val="Stopka"/>
    <w:uiPriority w:val="57"/>
    <w:semiHidden/>
    <w:rsid w:val="00A96ED6"/>
    <w:pPr>
      <w:jc w:val="left"/>
    </w:pPr>
    <w:rPr>
      <w:sz w:val="8"/>
    </w:rPr>
  </w:style>
  <w:style w:type="character" w:styleId="Pogrubienie">
    <w:name w:val="Strong"/>
    <w:uiPriority w:val="99"/>
    <w:semiHidden/>
    <w:qFormat/>
    <w:rsid w:val="00A96ED6"/>
    <w:rPr>
      <w:b/>
      <w:bCs/>
    </w:rPr>
  </w:style>
  <w:style w:type="paragraph" w:styleId="Bezodstpw">
    <w:name w:val="No Spacing"/>
    <w:basedOn w:val="Normalny"/>
    <w:link w:val="BezodstpwZnak"/>
    <w:semiHidden/>
    <w:qFormat/>
    <w:rsid w:val="00A96ED6"/>
    <w:rPr>
      <w:sz w:val="22"/>
    </w:rPr>
  </w:style>
  <w:style w:type="character" w:customStyle="1" w:styleId="BezodstpwZnak">
    <w:name w:val="Bez odstępów Znak"/>
    <w:basedOn w:val="Domylnaczcionkaakapitu"/>
    <w:link w:val="Bezodstpw"/>
    <w:semiHidden/>
    <w:rsid w:val="00A96ED6"/>
    <w:rPr>
      <w:rFonts w:eastAsiaTheme="minorEastAsia"/>
    </w:rPr>
  </w:style>
  <w:style w:type="paragraph" w:customStyle="1" w:styleId="ECHRFooterLine">
    <w:name w:val="ECHR_Footer_Line"/>
    <w:aliases w:val="Footer_Line"/>
    <w:basedOn w:val="Normalny"/>
    <w:next w:val="ECHRFooter"/>
    <w:uiPriority w:val="57"/>
    <w:semiHidden/>
    <w:rsid w:val="00A96ED6"/>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ny"/>
    <w:uiPriority w:val="5"/>
    <w:rsid w:val="00A96ED6"/>
    <w:pPr>
      <w:numPr>
        <w:numId w:val="14"/>
      </w:numPr>
      <w:jc w:val="left"/>
    </w:pPr>
    <w:rPr>
      <w:b/>
    </w:rPr>
  </w:style>
  <w:style w:type="paragraph" w:customStyle="1" w:styleId="OpiPara">
    <w:name w:val="Opi_Para"/>
    <w:basedOn w:val="ECHRPara"/>
    <w:uiPriority w:val="46"/>
    <w:qFormat/>
    <w:rsid w:val="00A96ED6"/>
  </w:style>
  <w:style w:type="paragraph" w:customStyle="1" w:styleId="JuParaSub">
    <w:name w:val="Ju_Para_Sub"/>
    <w:basedOn w:val="ECHRPara"/>
    <w:uiPriority w:val="13"/>
    <w:qFormat/>
    <w:rsid w:val="00A96ED6"/>
    <w:pPr>
      <w:ind w:left="284"/>
    </w:pPr>
  </w:style>
  <w:style w:type="paragraph" w:customStyle="1" w:styleId="ECHRTitleCentre3">
    <w:name w:val="ECHR_Title_Centre_3"/>
    <w:aliases w:val="Ju_H_Article"/>
    <w:basedOn w:val="Normalny"/>
    <w:next w:val="ECHRParaQuote"/>
    <w:uiPriority w:val="27"/>
    <w:qFormat/>
    <w:rsid w:val="00A96ED6"/>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A96ED6"/>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A96ED6"/>
  </w:style>
  <w:style w:type="paragraph" w:customStyle="1" w:styleId="OpiQuot">
    <w:name w:val="Opi_Quot"/>
    <w:basedOn w:val="ECHRParaQuote"/>
    <w:uiPriority w:val="48"/>
    <w:qFormat/>
    <w:rsid w:val="00A96ED6"/>
  </w:style>
  <w:style w:type="paragraph" w:customStyle="1" w:styleId="OpiQuotSub">
    <w:name w:val="Opi_Quot_Sub"/>
    <w:basedOn w:val="JuQuotSub"/>
    <w:uiPriority w:val="49"/>
    <w:qFormat/>
    <w:rsid w:val="00A96ED6"/>
  </w:style>
  <w:style w:type="paragraph" w:customStyle="1" w:styleId="ECHRTitleCentre2">
    <w:name w:val="ECHR_Title_Centre_2"/>
    <w:aliases w:val="Dec_H_Case"/>
    <w:basedOn w:val="Normalny"/>
    <w:next w:val="ECHRPara"/>
    <w:uiPriority w:val="8"/>
    <w:rsid w:val="00A96ED6"/>
    <w:pPr>
      <w:spacing w:after="240"/>
      <w:jc w:val="center"/>
      <w:outlineLvl w:val="0"/>
    </w:pPr>
    <w:rPr>
      <w:rFonts w:asciiTheme="majorHAnsi" w:hAnsiTheme="majorHAnsi"/>
    </w:rPr>
  </w:style>
  <w:style w:type="paragraph" w:customStyle="1" w:styleId="JuTitle">
    <w:name w:val="Ju_Title"/>
    <w:basedOn w:val="Normalny"/>
    <w:next w:val="ECHRPara"/>
    <w:uiPriority w:val="3"/>
    <w:rsid w:val="00A96ED6"/>
    <w:pPr>
      <w:spacing w:before="720" w:after="240"/>
      <w:jc w:val="center"/>
      <w:outlineLvl w:val="0"/>
    </w:pPr>
    <w:rPr>
      <w:rFonts w:asciiTheme="majorHAnsi" w:hAnsiTheme="majorHAnsi"/>
      <w:b/>
      <w:caps/>
    </w:rPr>
  </w:style>
  <w:style w:type="paragraph" w:styleId="Tytu">
    <w:name w:val="Title"/>
    <w:basedOn w:val="Normalny"/>
    <w:next w:val="Normalny"/>
    <w:link w:val="TytuZnak"/>
    <w:uiPriority w:val="99"/>
    <w:semiHidden/>
    <w:qFormat/>
    <w:rsid w:val="00A96ED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A96ED6"/>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Nagwek3"/>
    <w:next w:val="ECHRPara"/>
    <w:qFormat/>
    <w:rsid w:val="00A96ED6"/>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Nagwek4"/>
    <w:next w:val="ECHRPara"/>
    <w:uiPriority w:val="22"/>
    <w:qFormat/>
    <w:rsid w:val="00A96ED6"/>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A96ED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A96ED6"/>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A96ED6"/>
    <w:pPr>
      <w:keepNext/>
      <w:keepLines/>
      <w:spacing w:before="240" w:after="120"/>
      <w:ind w:left="1236"/>
    </w:pPr>
    <w:rPr>
      <w:sz w:val="20"/>
    </w:rPr>
  </w:style>
  <w:style w:type="paragraph" w:customStyle="1" w:styleId="JuQuotSub">
    <w:name w:val="Ju_Quot_Sub"/>
    <w:basedOn w:val="ECHRParaQuote"/>
    <w:uiPriority w:val="15"/>
    <w:qFormat/>
    <w:rsid w:val="00A96ED6"/>
    <w:pPr>
      <w:ind w:left="567"/>
    </w:pPr>
  </w:style>
  <w:style w:type="paragraph" w:customStyle="1" w:styleId="JuInitialled">
    <w:name w:val="Ju_Initialled"/>
    <w:basedOn w:val="Normalny"/>
    <w:uiPriority w:val="31"/>
    <w:qFormat/>
    <w:rsid w:val="00A96ED6"/>
    <w:pPr>
      <w:tabs>
        <w:tab w:val="center" w:pos="6407"/>
      </w:tabs>
      <w:spacing w:before="720"/>
      <w:jc w:val="right"/>
    </w:pPr>
  </w:style>
  <w:style w:type="paragraph" w:customStyle="1" w:styleId="OpiHA">
    <w:name w:val="Opi_H_A"/>
    <w:basedOn w:val="ECHRHeading1"/>
    <w:next w:val="OpiPara"/>
    <w:uiPriority w:val="41"/>
    <w:qFormat/>
    <w:rsid w:val="00A96ED6"/>
    <w:pPr>
      <w:tabs>
        <w:tab w:val="clear" w:pos="357"/>
      </w:tabs>
      <w:outlineLvl w:val="1"/>
    </w:pPr>
    <w:rPr>
      <w:b/>
    </w:rPr>
  </w:style>
  <w:style w:type="paragraph" w:styleId="Nagwek">
    <w:name w:val="header"/>
    <w:basedOn w:val="Normalny"/>
    <w:link w:val="NagwekZnak"/>
    <w:uiPriority w:val="57"/>
    <w:semiHidden/>
    <w:rsid w:val="00A96ED6"/>
    <w:pPr>
      <w:tabs>
        <w:tab w:val="center" w:pos="4536"/>
        <w:tab w:val="right" w:pos="9072"/>
      </w:tabs>
    </w:pPr>
    <w:rPr>
      <w:rFonts w:eastAsiaTheme="minorHAnsi"/>
    </w:rPr>
  </w:style>
  <w:style w:type="character" w:customStyle="1" w:styleId="NagwekZnak">
    <w:name w:val="Nagłówek Znak"/>
    <w:basedOn w:val="Domylnaczcionkaakapitu"/>
    <w:link w:val="Nagwek"/>
    <w:uiPriority w:val="57"/>
    <w:semiHidden/>
    <w:rsid w:val="00A96ED6"/>
    <w:rPr>
      <w:sz w:val="24"/>
    </w:rPr>
  </w:style>
  <w:style w:type="character" w:customStyle="1" w:styleId="Nagwek1Znak">
    <w:name w:val="Nagłówek 1 Znak"/>
    <w:basedOn w:val="Domylnaczcionkaakapitu"/>
    <w:link w:val="Nagwek1"/>
    <w:uiPriority w:val="99"/>
    <w:semiHidden/>
    <w:rsid w:val="00A96ED6"/>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gwek1"/>
    <w:next w:val="ECHRPara"/>
    <w:qFormat/>
    <w:rsid w:val="00A96ED6"/>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qFormat/>
    <w:rsid w:val="00A96ED6"/>
    <w:pPr>
      <w:keepNext/>
      <w:keepLines/>
      <w:tabs>
        <w:tab w:val="left" w:pos="584"/>
      </w:tabs>
      <w:spacing w:before="360" w:after="240"/>
      <w:ind w:left="584" w:hanging="352"/>
    </w:pPr>
    <w:rPr>
      <w:color w:val="auto"/>
      <w:sz w:val="24"/>
    </w:rPr>
  </w:style>
  <w:style w:type="character" w:customStyle="1" w:styleId="Nagwek2Znak">
    <w:name w:val="Nagłówek 2 Znak"/>
    <w:basedOn w:val="Domylnaczcionkaakapitu"/>
    <w:link w:val="Nagwek2"/>
    <w:uiPriority w:val="99"/>
    <w:semiHidden/>
    <w:rsid w:val="00A96ED6"/>
    <w:rPr>
      <w:rFonts w:asciiTheme="majorHAnsi" w:eastAsiaTheme="majorEastAsia" w:hAnsiTheme="majorHAnsi" w:cstheme="majorBidi"/>
      <w:b/>
      <w:bCs/>
      <w:color w:val="4D4D4D"/>
      <w:sz w:val="26"/>
      <w:szCs w:val="26"/>
    </w:rPr>
  </w:style>
  <w:style w:type="character" w:customStyle="1" w:styleId="JUNAMES">
    <w:name w:val="JU_NAMES"/>
    <w:uiPriority w:val="17"/>
    <w:qFormat/>
    <w:rsid w:val="00A96ED6"/>
    <w:rPr>
      <w:caps w:val="0"/>
      <w:smallCaps/>
    </w:rPr>
  </w:style>
  <w:style w:type="paragraph" w:customStyle="1" w:styleId="JuCase">
    <w:name w:val="Ju_Case"/>
    <w:basedOn w:val="Normalny"/>
    <w:next w:val="ECHRPara"/>
    <w:uiPriority w:val="10"/>
    <w:rsid w:val="00A96ED6"/>
    <w:pPr>
      <w:ind w:firstLine="284"/>
    </w:pPr>
    <w:rPr>
      <w:b/>
    </w:rPr>
  </w:style>
  <w:style w:type="character" w:customStyle="1" w:styleId="Nagwek3Znak">
    <w:name w:val="Nagłówek 3 Znak"/>
    <w:basedOn w:val="Domylnaczcionkaakapitu"/>
    <w:link w:val="Nagwek3"/>
    <w:uiPriority w:val="99"/>
    <w:semiHidden/>
    <w:rsid w:val="00A96ED6"/>
    <w:rPr>
      <w:rFonts w:asciiTheme="majorHAnsi" w:eastAsiaTheme="majorEastAsia" w:hAnsiTheme="majorHAnsi" w:cstheme="majorBidi"/>
      <w:b/>
      <w:bCs/>
      <w:color w:val="5F5F5F"/>
      <w:sz w:val="24"/>
    </w:rPr>
  </w:style>
  <w:style w:type="character" w:customStyle="1" w:styleId="Nagwek4Znak">
    <w:name w:val="Nagłówek 4 Znak"/>
    <w:basedOn w:val="Domylnaczcionkaakapitu"/>
    <w:link w:val="Nagwek4"/>
    <w:uiPriority w:val="99"/>
    <w:semiHidden/>
    <w:rsid w:val="00A96ED6"/>
    <w:rPr>
      <w:rFonts w:asciiTheme="majorHAnsi" w:eastAsiaTheme="majorEastAsia" w:hAnsiTheme="majorHAnsi" w:cstheme="majorBidi"/>
      <w:b/>
      <w:bCs/>
      <w:i/>
      <w:iCs/>
      <w:color w:val="777777"/>
      <w:sz w:val="24"/>
    </w:rPr>
  </w:style>
  <w:style w:type="character" w:customStyle="1" w:styleId="Nagwek5Znak">
    <w:name w:val="Nagłówek 5 Znak"/>
    <w:basedOn w:val="Domylnaczcionkaakapitu"/>
    <w:link w:val="Nagwek5"/>
    <w:uiPriority w:val="99"/>
    <w:semiHidden/>
    <w:rsid w:val="00A96ED6"/>
    <w:rPr>
      <w:rFonts w:asciiTheme="majorHAnsi" w:eastAsiaTheme="majorEastAsia" w:hAnsiTheme="majorHAnsi" w:cstheme="majorBidi"/>
      <w:b/>
      <w:bCs/>
      <w:color w:val="808080"/>
    </w:rPr>
  </w:style>
  <w:style w:type="character" w:styleId="Wyrnieniedelikatne">
    <w:name w:val="Subtle Emphasis"/>
    <w:uiPriority w:val="99"/>
    <w:semiHidden/>
    <w:qFormat/>
    <w:rsid w:val="00A96ED6"/>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ny"/>
    <w:next w:val="ECHRPara"/>
    <w:qFormat/>
    <w:rsid w:val="00A96ED6"/>
    <w:pPr>
      <w:keepNext/>
      <w:keepLines/>
      <w:spacing w:before="720" w:after="240"/>
      <w:outlineLvl w:val="0"/>
    </w:pPr>
    <w:rPr>
      <w:rFonts w:asciiTheme="majorHAnsi" w:hAnsiTheme="majorHAnsi"/>
      <w:sz w:val="28"/>
    </w:rPr>
  </w:style>
  <w:style w:type="character" w:styleId="Uwydatnienie">
    <w:name w:val="Emphasis"/>
    <w:uiPriority w:val="99"/>
    <w:semiHidden/>
    <w:qFormat/>
    <w:rsid w:val="00A96ED6"/>
    <w:rPr>
      <w:b/>
      <w:bCs/>
      <w:i/>
      <w:iCs/>
      <w:spacing w:val="10"/>
      <w:bdr w:val="none" w:sz="0" w:space="0" w:color="auto"/>
      <w:shd w:val="clear" w:color="auto" w:fill="auto"/>
    </w:rPr>
  </w:style>
  <w:style w:type="paragraph" w:styleId="Stopka">
    <w:name w:val="footer"/>
    <w:basedOn w:val="Normalny"/>
    <w:link w:val="StopkaZnak"/>
    <w:uiPriority w:val="57"/>
    <w:semiHidden/>
    <w:rsid w:val="00A96ED6"/>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A96ED6"/>
    <w:rPr>
      <w:sz w:val="24"/>
    </w:rPr>
  </w:style>
  <w:style w:type="character" w:styleId="Odwoanieprzypisudolnego">
    <w:name w:val="footnote reference"/>
    <w:basedOn w:val="Domylnaczcionkaakapitu"/>
    <w:rsid w:val="00A96ED6"/>
    <w:rPr>
      <w:vertAlign w:val="superscript"/>
    </w:rPr>
  </w:style>
  <w:style w:type="paragraph" w:styleId="Tekstprzypisudolnego">
    <w:name w:val="footnote text"/>
    <w:basedOn w:val="Normalny"/>
    <w:link w:val="TekstprzypisudolnegoZnak"/>
    <w:rsid w:val="00A96ED6"/>
    <w:rPr>
      <w:sz w:val="20"/>
      <w:szCs w:val="20"/>
    </w:rPr>
  </w:style>
  <w:style w:type="character" w:customStyle="1" w:styleId="TekstprzypisudolnegoZnak">
    <w:name w:val="Tekst przypisu dolnego Znak"/>
    <w:basedOn w:val="Domylnaczcionkaakapitu"/>
    <w:link w:val="Tekstprzypisudolnego"/>
    <w:rsid w:val="00A96ED6"/>
    <w:rPr>
      <w:rFonts w:eastAsiaTheme="minorEastAsia"/>
      <w:sz w:val="20"/>
      <w:szCs w:val="20"/>
    </w:rPr>
  </w:style>
  <w:style w:type="character" w:customStyle="1" w:styleId="Nagwek6Znak">
    <w:name w:val="Nagłówek 6 Znak"/>
    <w:basedOn w:val="Domylnaczcionkaakapitu"/>
    <w:link w:val="Nagwek6"/>
    <w:uiPriority w:val="99"/>
    <w:semiHidden/>
    <w:rsid w:val="00A96ED6"/>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A96ED6"/>
    <w:rPr>
      <w:rFonts w:asciiTheme="majorHAnsi" w:eastAsiaTheme="majorEastAsia" w:hAnsiTheme="majorHAnsi" w:cstheme="majorBidi"/>
      <w:i/>
      <w:iCs/>
      <w:lang w:bidi="en-US"/>
    </w:rPr>
  </w:style>
  <w:style w:type="character" w:customStyle="1" w:styleId="Nagwek8Znak">
    <w:name w:val="Nagłówek 8 Znak"/>
    <w:basedOn w:val="Domylnaczcionkaakapitu"/>
    <w:link w:val="Nagwek8"/>
    <w:uiPriority w:val="99"/>
    <w:semiHidden/>
    <w:rsid w:val="00A96ED6"/>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A96ED6"/>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A96ED6"/>
    <w:rPr>
      <w:color w:val="0072BC" w:themeColor="hyperlink"/>
      <w:u w:val="single"/>
    </w:rPr>
  </w:style>
  <w:style w:type="character" w:styleId="Wyrnienieintensywne">
    <w:name w:val="Intense Emphasis"/>
    <w:uiPriority w:val="99"/>
    <w:semiHidden/>
    <w:qFormat/>
    <w:rsid w:val="00A96ED6"/>
    <w:rPr>
      <w:b/>
      <w:bCs/>
    </w:rPr>
  </w:style>
  <w:style w:type="paragraph" w:styleId="Cytatintensywny">
    <w:name w:val="Intense Quote"/>
    <w:basedOn w:val="Normalny"/>
    <w:next w:val="Normalny"/>
    <w:link w:val="CytatintensywnyZnak"/>
    <w:uiPriority w:val="99"/>
    <w:semiHidden/>
    <w:qFormat/>
    <w:rsid w:val="00A96ED6"/>
    <w:pPr>
      <w:pBdr>
        <w:bottom w:val="single" w:sz="4" w:space="1" w:color="auto"/>
      </w:pBdr>
      <w:spacing w:before="200" w:after="280"/>
      <w:ind w:left="1008" w:right="1152"/>
    </w:pPr>
    <w:rPr>
      <w:b/>
      <w:bCs/>
      <w:i/>
      <w:iCs/>
      <w:sz w:val="22"/>
      <w:lang w:bidi="en-US"/>
    </w:rPr>
  </w:style>
  <w:style w:type="character" w:customStyle="1" w:styleId="CytatintensywnyZnak">
    <w:name w:val="Cytat intensywny Znak"/>
    <w:basedOn w:val="Domylnaczcionkaakapitu"/>
    <w:link w:val="Cytatintensywny"/>
    <w:uiPriority w:val="99"/>
    <w:semiHidden/>
    <w:rsid w:val="00A96ED6"/>
    <w:rPr>
      <w:rFonts w:eastAsiaTheme="minorEastAsia"/>
      <w:b/>
      <w:bCs/>
      <w:i/>
      <w:iCs/>
      <w:lang w:bidi="en-US"/>
    </w:rPr>
  </w:style>
  <w:style w:type="character" w:styleId="Odwoanieintensywne">
    <w:name w:val="Intense Reference"/>
    <w:uiPriority w:val="99"/>
    <w:semiHidden/>
    <w:qFormat/>
    <w:rsid w:val="00A96ED6"/>
    <w:rPr>
      <w:smallCaps/>
      <w:spacing w:val="5"/>
      <w:u w:val="single"/>
    </w:rPr>
  </w:style>
  <w:style w:type="paragraph" w:styleId="Akapitzlist">
    <w:name w:val="List Paragraph"/>
    <w:basedOn w:val="Normalny"/>
    <w:uiPriority w:val="99"/>
    <w:semiHidden/>
    <w:qFormat/>
    <w:rsid w:val="00A96ED6"/>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A96ED6"/>
    <w:pPr>
      <w:spacing w:before="200"/>
      <w:ind w:left="360" w:right="360"/>
    </w:pPr>
    <w:rPr>
      <w:i/>
      <w:iCs/>
      <w:sz w:val="22"/>
      <w:lang w:bidi="en-US"/>
    </w:rPr>
  </w:style>
  <w:style w:type="character" w:customStyle="1" w:styleId="CytatZnak">
    <w:name w:val="Cytat Znak"/>
    <w:basedOn w:val="Domylnaczcionkaakapitu"/>
    <w:link w:val="Cytat"/>
    <w:uiPriority w:val="99"/>
    <w:semiHidden/>
    <w:rsid w:val="00A96ED6"/>
    <w:rPr>
      <w:rFonts w:eastAsiaTheme="minorEastAsia"/>
      <w:i/>
      <w:iCs/>
      <w:lang w:bidi="en-US"/>
    </w:rPr>
  </w:style>
  <w:style w:type="character" w:styleId="Odwoaniedelikatne">
    <w:name w:val="Subtle Reference"/>
    <w:uiPriority w:val="99"/>
    <w:semiHidden/>
    <w:qFormat/>
    <w:rsid w:val="00A96ED6"/>
    <w:rPr>
      <w:smallCaps/>
    </w:rPr>
  </w:style>
  <w:style w:type="table" w:styleId="Tabela-Siatka">
    <w:name w:val="Table Grid"/>
    <w:basedOn w:val="Standardowy"/>
    <w:uiPriority w:val="59"/>
    <w:semiHidden/>
    <w:rsid w:val="00A96ED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A96ED6"/>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A96ED6"/>
    <w:pPr>
      <w:spacing w:after="60"/>
      <w:ind w:left="680" w:right="340" w:hanging="340"/>
    </w:pPr>
  </w:style>
  <w:style w:type="paragraph" w:styleId="Spistreci3">
    <w:name w:val="toc 3"/>
    <w:basedOn w:val="Normalny"/>
    <w:next w:val="Normalny"/>
    <w:autoRedefine/>
    <w:uiPriority w:val="99"/>
    <w:semiHidden/>
    <w:rsid w:val="00A96ED6"/>
    <w:pPr>
      <w:spacing w:after="60"/>
      <w:ind w:left="1020" w:right="340" w:hanging="340"/>
    </w:pPr>
  </w:style>
  <w:style w:type="paragraph" w:styleId="Spistreci4">
    <w:name w:val="toc 4"/>
    <w:basedOn w:val="Normalny"/>
    <w:next w:val="Normalny"/>
    <w:autoRedefine/>
    <w:uiPriority w:val="99"/>
    <w:semiHidden/>
    <w:rsid w:val="00A96ED6"/>
    <w:pPr>
      <w:tabs>
        <w:tab w:val="right" w:leader="dot" w:pos="9017"/>
      </w:tabs>
      <w:spacing w:after="60"/>
      <w:ind w:left="1361" w:right="340" w:hanging="340"/>
    </w:pPr>
  </w:style>
  <w:style w:type="paragraph" w:styleId="Spistreci5">
    <w:name w:val="toc 5"/>
    <w:basedOn w:val="Normalny"/>
    <w:next w:val="Normalny"/>
    <w:autoRedefine/>
    <w:uiPriority w:val="99"/>
    <w:semiHidden/>
    <w:rsid w:val="00A96ED6"/>
    <w:pPr>
      <w:spacing w:after="60"/>
      <w:ind w:left="1701" w:right="340" w:hanging="340"/>
    </w:pPr>
  </w:style>
  <w:style w:type="paragraph" w:styleId="Nagwekspisutreci">
    <w:name w:val="TOC Heading"/>
    <w:basedOn w:val="Nagwek1"/>
    <w:next w:val="Normalny"/>
    <w:uiPriority w:val="99"/>
    <w:semiHidden/>
    <w:qFormat/>
    <w:rsid w:val="00A96ED6"/>
    <w:pPr>
      <w:outlineLvl w:val="9"/>
    </w:pPr>
    <w:rPr>
      <w:color w:val="474747" w:themeColor="accent3" w:themeShade="BF"/>
    </w:rPr>
  </w:style>
  <w:style w:type="table" w:customStyle="1" w:styleId="UGTable">
    <w:name w:val="UG_Table"/>
    <w:basedOn w:val="Standardowy"/>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A96ED6"/>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ny"/>
    <w:link w:val="JuQuotChar"/>
    <w:qFormat/>
    <w:rsid w:val="00A96ED6"/>
    <w:pPr>
      <w:spacing w:before="120" w:after="120"/>
      <w:ind w:left="425" w:firstLine="142"/>
    </w:pPr>
    <w:rPr>
      <w:sz w:val="20"/>
    </w:rPr>
  </w:style>
  <w:style w:type="paragraph" w:customStyle="1" w:styleId="ECHRPara">
    <w:name w:val="ECHR_Para"/>
    <w:aliases w:val="Ju_Para,Left,First line:  0 cm"/>
    <w:basedOn w:val="Normalny"/>
    <w:link w:val="JuParaChar"/>
    <w:uiPriority w:val="12"/>
    <w:qFormat/>
    <w:rsid w:val="00A96ED6"/>
    <w:pPr>
      <w:ind w:firstLine="284"/>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A96ED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ny"/>
    <w:uiPriority w:val="11"/>
    <w:qFormat/>
    <w:rsid w:val="00A96ED6"/>
    <w:pPr>
      <w:tabs>
        <w:tab w:val="left" w:pos="567"/>
        <w:tab w:val="left" w:pos="1134"/>
      </w:tabs>
      <w:jc w:val="left"/>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ny"/>
    <w:uiPriority w:val="28"/>
    <w:qFormat/>
    <w:rsid w:val="00A96ED6"/>
    <w:pPr>
      <w:ind w:left="340" w:hanging="340"/>
    </w:pPr>
  </w:style>
  <w:style w:type="paragraph" w:customStyle="1" w:styleId="JuSigned">
    <w:name w:val="Ju_Signed"/>
    <w:basedOn w:val="Normalny"/>
    <w:next w:val="JuParaLast"/>
    <w:uiPriority w:val="32"/>
    <w:qFormat/>
    <w:rsid w:val="00A96ED6"/>
    <w:pPr>
      <w:tabs>
        <w:tab w:val="center" w:pos="851"/>
        <w:tab w:val="center" w:pos="6407"/>
      </w:tabs>
      <w:spacing w:before="720"/>
      <w:jc w:val="left"/>
    </w:pPr>
  </w:style>
  <w:style w:type="paragraph" w:customStyle="1" w:styleId="JuParaLast">
    <w:name w:val="Ju_Para_Last"/>
    <w:basedOn w:val="Normalny"/>
    <w:next w:val="ECHRPara"/>
    <w:uiPriority w:val="30"/>
    <w:qFormat/>
    <w:rsid w:val="00A96ED6"/>
    <w:pPr>
      <w:keepNext/>
      <w:keepLines/>
      <w:spacing w:before="240"/>
      <w:ind w:firstLine="284"/>
    </w:pPr>
  </w:style>
  <w:style w:type="paragraph" w:customStyle="1" w:styleId="JuCourt">
    <w:name w:val="Ju_Court"/>
    <w:basedOn w:val="Normalny"/>
    <w:next w:val="Normalny"/>
    <w:uiPriority w:val="16"/>
    <w:qFormat/>
    <w:rsid w:val="00A96ED6"/>
    <w:pPr>
      <w:tabs>
        <w:tab w:val="left" w:pos="907"/>
        <w:tab w:val="left" w:pos="1701"/>
        <w:tab w:val="right" w:pos="7371"/>
      </w:tabs>
      <w:spacing w:before="240"/>
      <w:ind w:left="397" w:hanging="397"/>
      <w:jc w:val="left"/>
    </w:pPr>
    <w:rPr>
      <w:lang w:bidi="en-US"/>
    </w:rPr>
  </w:style>
  <w:style w:type="character" w:styleId="Numerstrony">
    <w:name w:val="page number"/>
    <w:uiPriority w:val="99"/>
    <w:semiHidden/>
    <w:rsid w:val="00014566"/>
    <w:rPr>
      <w:sz w:val="18"/>
    </w:rPr>
  </w:style>
  <w:style w:type="paragraph" w:customStyle="1" w:styleId="JuLista">
    <w:name w:val="Ju_List_a"/>
    <w:basedOn w:val="JuList"/>
    <w:uiPriority w:val="28"/>
    <w:qFormat/>
    <w:rsid w:val="00A96ED6"/>
    <w:pPr>
      <w:ind w:left="346" w:firstLine="0"/>
    </w:pPr>
  </w:style>
  <w:style w:type="paragraph" w:customStyle="1" w:styleId="JuListi">
    <w:name w:val="Ju_List_i"/>
    <w:basedOn w:val="Normalny"/>
    <w:next w:val="JuLista"/>
    <w:uiPriority w:val="28"/>
    <w:qFormat/>
    <w:rsid w:val="00A96ED6"/>
    <w:pPr>
      <w:ind w:left="794"/>
    </w:pPr>
  </w:style>
  <w:style w:type="character" w:styleId="Odwoaniedokomentarza">
    <w:name w:val="annotation reference"/>
    <w:uiPriority w:val="99"/>
    <w:semiHidden/>
    <w:rsid w:val="00014566"/>
    <w:rPr>
      <w:sz w:val="16"/>
    </w:rPr>
  </w:style>
  <w:style w:type="paragraph" w:styleId="Tekstkomentarza">
    <w:name w:val="annotation text"/>
    <w:basedOn w:val="Normalny"/>
    <w:link w:val="TekstkomentarzaZnak"/>
    <w:semiHidden/>
    <w:rsid w:val="00014566"/>
    <w:rPr>
      <w:sz w:val="20"/>
    </w:rPr>
  </w:style>
  <w:style w:type="character" w:customStyle="1" w:styleId="TekstkomentarzaZnak">
    <w:name w:val="Tekst komentarza Znak"/>
    <w:basedOn w:val="Domylnaczcionkaakapitu"/>
    <w:link w:val="Tekstkomentarza"/>
    <w:semiHidden/>
    <w:rsid w:val="00014566"/>
    <w:rPr>
      <w:rFonts w:eastAsiaTheme="minorEastAsia"/>
      <w:sz w:val="20"/>
    </w:rPr>
  </w:style>
  <w:style w:type="paragraph" w:styleId="Tematkomentarza">
    <w:name w:val="annotation subject"/>
    <w:basedOn w:val="Tekstkomentarza"/>
    <w:next w:val="Tekstkomentarza"/>
    <w:link w:val="TematkomentarzaZnak"/>
    <w:uiPriority w:val="99"/>
    <w:semiHidden/>
    <w:rsid w:val="00014566"/>
    <w:rPr>
      <w:b/>
      <w:bCs/>
    </w:rPr>
  </w:style>
  <w:style w:type="character" w:customStyle="1" w:styleId="TematkomentarzaZnak">
    <w:name w:val="Temat komentarza Znak"/>
    <w:basedOn w:val="TekstkomentarzaZnak"/>
    <w:link w:val="Tematkomentarza"/>
    <w:uiPriority w:val="99"/>
    <w:semiHidden/>
    <w:rsid w:val="00014566"/>
    <w:rPr>
      <w:rFonts w:eastAsiaTheme="minorEastAsia"/>
      <w:b/>
      <w:bCs/>
      <w:sz w:val="20"/>
    </w:rPr>
  </w:style>
  <w:style w:type="character" w:styleId="Odwoanieprzypisukocowego">
    <w:name w:val="endnote reference"/>
    <w:uiPriority w:val="99"/>
    <w:semiHidden/>
    <w:rsid w:val="00014566"/>
    <w:rPr>
      <w:vertAlign w:val="superscript"/>
    </w:rPr>
  </w:style>
  <w:style w:type="paragraph" w:styleId="Tekstprzypisukocowego">
    <w:name w:val="endnote text"/>
    <w:basedOn w:val="Normalny"/>
    <w:link w:val="TekstprzypisukocowegoZnak"/>
    <w:uiPriority w:val="99"/>
    <w:semiHidden/>
    <w:rsid w:val="00014566"/>
    <w:rPr>
      <w:sz w:val="20"/>
    </w:rPr>
  </w:style>
  <w:style w:type="character" w:customStyle="1" w:styleId="TekstprzypisukocowegoZnak">
    <w:name w:val="Tekst przypisu końcowego Znak"/>
    <w:basedOn w:val="Domylnaczcionkaakapitu"/>
    <w:link w:val="Tekstprzypisukocowego"/>
    <w:uiPriority w:val="99"/>
    <w:semiHidden/>
    <w:rsid w:val="00014566"/>
    <w:rPr>
      <w:rFonts w:eastAsiaTheme="minorEastAsia"/>
      <w:sz w:val="20"/>
    </w:rPr>
  </w:style>
  <w:style w:type="character" w:styleId="UyteHipercze">
    <w:name w:val="FollowedHyperlink"/>
    <w:uiPriority w:val="99"/>
    <w:semiHidden/>
    <w:rsid w:val="00014566"/>
    <w:rPr>
      <w:color w:val="800080"/>
      <w:u w:val="single"/>
    </w:rPr>
  </w:style>
  <w:style w:type="paragraph" w:styleId="Mapadokumentu">
    <w:name w:val="Document Map"/>
    <w:basedOn w:val="Normalny"/>
    <w:link w:val="MapadokumentuZnak"/>
    <w:uiPriority w:val="99"/>
    <w:semiHidden/>
    <w:rsid w:val="00014566"/>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014566"/>
    <w:rPr>
      <w:rFonts w:ascii="Tahoma" w:eastAsiaTheme="minorEastAsia" w:hAnsi="Tahoma" w:cs="Tahoma"/>
      <w:sz w:val="20"/>
      <w:shd w:val="clear" w:color="auto" w:fill="000080"/>
    </w:rPr>
  </w:style>
  <w:style w:type="character" w:customStyle="1" w:styleId="JuNames0">
    <w:name w:val="Ju_Names"/>
    <w:rsid w:val="00014566"/>
    <w:rPr>
      <w:smallCaps/>
    </w:rPr>
  </w:style>
  <w:style w:type="paragraph" w:styleId="Listapunktowana">
    <w:name w:val="List Bullet"/>
    <w:basedOn w:val="Normalny"/>
    <w:uiPriority w:val="99"/>
    <w:semiHidden/>
    <w:rsid w:val="00014566"/>
    <w:pPr>
      <w:numPr>
        <w:numId w:val="1"/>
      </w:numPr>
    </w:pPr>
  </w:style>
  <w:style w:type="character" w:customStyle="1" w:styleId="JuITMark">
    <w:name w:val="Ju_ITMark"/>
    <w:basedOn w:val="Domylnaczcionkaakapitu"/>
    <w:uiPriority w:val="38"/>
    <w:qFormat/>
    <w:rsid w:val="00A96ED6"/>
    <w:rPr>
      <w:vanish w:val="0"/>
      <w:color w:val="auto"/>
      <w:sz w:val="14"/>
    </w:rPr>
  </w:style>
  <w:style w:type="paragraph" w:styleId="Podtytu">
    <w:name w:val="Subtitle"/>
    <w:basedOn w:val="Normalny"/>
    <w:next w:val="Normalny"/>
    <w:link w:val="PodtytuZnak"/>
    <w:uiPriority w:val="99"/>
    <w:semiHidden/>
    <w:qFormat/>
    <w:rsid w:val="00A96ED6"/>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A96ED6"/>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rsid w:val="00014566"/>
    <w:pPr>
      <w:numPr>
        <w:numId w:val="2"/>
      </w:numPr>
    </w:pPr>
  </w:style>
  <w:style w:type="numbering" w:styleId="1ai">
    <w:name w:val="Outline List 1"/>
    <w:basedOn w:val="Bezlisty"/>
    <w:uiPriority w:val="99"/>
    <w:semiHidden/>
    <w:rsid w:val="00014566"/>
    <w:pPr>
      <w:numPr>
        <w:numId w:val="3"/>
      </w:numPr>
    </w:pPr>
  </w:style>
  <w:style w:type="numbering" w:styleId="Artykusekcja">
    <w:name w:val="Outline List 3"/>
    <w:basedOn w:val="Bezlisty"/>
    <w:uiPriority w:val="99"/>
    <w:semiHidden/>
    <w:rsid w:val="00014566"/>
    <w:pPr>
      <w:numPr>
        <w:numId w:val="4"/>
      </w:numPr>
    </w:pPr>
  </w:style>
  <w:style w:type="paragraph" w:styleId="Bibliografia">
    <w:name w:val="Bibliography"/>
    <w:basedOn w:val="Normalny"/>
    <w:next w:val="Normalny"/>
    <w:uiPriority w:val="99"/>
    <w:semiHidden/>
    <w:unhideWhenUsed/>
    <w:rsid w:val="00014566"/>
  </w:style>
  <w:style w:type="paragraph" w:styleId="Tekstblokowy">
    <w:name w:val="Block Text"/>
    <w:basedOn w:val="Normalny"/>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014566"/>
    <w:pPr>
      <w:spacing w:after="120"/>
    </w:pPr>
  </w:style>
  <w:style w:type="character" w:customStyle="1" w:styleId="TekstpodstawowyZnak">
    <w:name w:val="Tekst podstawowy Znak"/>
    <w:basedOn w:val="Domylnaczcionkaakapitu"/>
    <w:link w:val="Tekstpodstawowy"/>
    <w:uiPriority w:val="99"/>
    <w:semiHidden/>
    <w:rsid w:val="00014566"/>
    <w:rPr>
      <w:rFonts w:eastAsiaTheme="minorEastAsia"/>
      <w:sz w:val="24"/>
    </w:rPr>
  </w:style>
  <w:style w:type="paragraph" w:styleId="Tekstpodstawowy2">
    <w:name w:val="Body Text 2"/>
    <w:basedOn w:val="Normalny"/>
    <w:link w:val="Tekstpodstawowy2Znak"/>
    <w:uiPriority w:val="99"/>
    <w:semiHidden/>
    <w:rsid w:val="00014566"/>
    <w:pPr>
      <w:spacing w:after="120" w:line="480" w:lineRule="auto"/>
    </w:pPr>
  </w:style>
  <w:style w:type="character" w:customStyle="1" w:styleId="Tekstpodstawowy2Znak">
    <w:name w:val="Tekst podstawowy 2 Znak"/>
    <w:basedOn w:val="Domylnaczcionkaakapitu"/>
    <w:link w:val="Tekstpodstawowy2"/>
    <w:uiPriority w:val="99"/>
    <w:semiHidden/>
    <w:rsid w:val="00014566"/>
    <w:rPr>
      <w:rFonts w:eastAsiaTheme="minorEastAsia"/>
      <w:sz w:val="24"/>
    </w:rPr>
  </w:style>
  <w:style w:type="paragraph" w:styleId="Tekstpodstawowy3">
    <w:name w:val="Body Text 3"/>
    <w:basedOn w:val="Normalny"/>
    <w:link w:val="Tekstpodstawowy3Znak"/>
    <w:uiPriority w:val="99"/>
    <w:semiHidden/>
    <w:rsid w:val="00014566"/>
    <w:pPr>
      <w:spacing w:after="120"/>
    </w:pPr>
    <w:rPr>
      <w:sz w:val="16"/>
      <w:szCs w:val="16"/>
    </w:rPr>
  </w:style>
  <w:style w:type="character" w:customStyle="1" w:styleId="Tekstpodstawowy3Znak">
    <w:name w:val="Tekst podstawowy 3 Znak"/>
    <w:basedOn w:val="Domylnaczcionkaakapitu"/>
    <w:link w:val="Tekstpodstawowy3"/>
    <w:uiPriority w:val="99"/>
    <w:semiHidden/>
    <w:rsid w:val="00014566"/>
    <w:rPr>
      <w:rFonts w:eastAsiaTheme="minorEastAsia"/>
      <w:sz w:val="16"/>
      <w:szCs w:val="16"/>
    </w:rPr>
  </w:style>
  <w:style w:type="paragraph" w:styleId="Tekstpodstawowyzwciciem">
    <w:name w:val="Body Text First Indent"/>
    <w:basedOn w:val="Tekstpodstawowy"/>
    <w:link w:val="TekstpodstawowyzwciciemZnak"/>
    <w:uiPriority w:val="99"/>
    <w:semiHidden/>
    <w:rsid w:val="00014566"/>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14566"/>
    <w:rPr>
      <w:rFonts w:eastAsiaTheme="minorEastAsia"/>
      <w:sz w:val="24"/>
    </w:rPr>
  </w:style>
  <w:style w:type="paragraph" w:styleId="Tekstpodstawowywcity">
    <w:name w:val="Body Text Indent"/>
    <w:basedOn w:val="Normalny"/>
    <w:link w:val="TekstpodstawowywcityZnak"/>
    <w:uiPriority w:val="99"/>
    <w:semiHidden/>
    <w:rsid w:val="00014566"/>
    <w:pPr>
      <w:spacing w:after="120"/>
      <w:ind w:left="283"/>
    </w:pPr>
  </w:style>
  <w:style w:type="character" w:customStyle="1" w:styleId="TekstpodstawowywcityZnak">
    <w:name w:val="Tekst podstawowy wcięty Znak"/>
    <w:basedOn w:val="Domylnaczcionkaakapitu"/>
    <w:link w:val="Tekstpodstawowywcity"/>
    <w:uiPriority w:val="99"/>
    <w:semiHidden/>
    <w:rsid w:val="00014566"/>
    <w:rPr>
      <w:rFonts w:eastAsiaTheme="minorEastAsia"/>
      <w:sz w:val="24"/>
    </w:rPr>
  </w:style>
  <w:style w:type="paragraph" w:styleId="Tekstpodstawowyzwciciem2">
    <w:name w:val="Body Text First Indent 2"/>
    <w:basedOn w:val="Tekstpodstawowywcity"/>
    <w:link w:val="Tekstpodstawowyzwciciem2Znak"/>
    <w:uiPriority w:val="99"/>
    <w:semiHidden/>
    <w:rsid w:val="00014566"/>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014566"/>
    <w:rPr>
      <w:rFonts w:eastAsiaTheme="minorEastAsia"/>
      <w:sz w:val="24"/>
    </w:rPr>
  </w:style>
  <w:style w:type="paragraph" w:styleId="Tekstpodstawowywcity2">
    <w:name w:val="Body Text Indent 2"/>
    <w:basedOn w:val="Normalny"/>
    <w:link w:val="Tekstpodstawowywcity2Znak"/>
    <w:uiPriority w:val="99"/>
    <w:semiHidden/>
    <w:rsid w:val="0001456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14566"/>
    <w:rPr>
      <w:rFonts w:eastAsiaTheme="minorEastAsia"/>
      <w:sz w:val="24"/>
    </w:rPr>
  </w:style>
  <w:style w:type="paragraph" w:styleId="Tekstpodstawowywcity3">
    <w:name w:val="Body Text Indent 3"/>
    <w:basedOn w:val="Normalny"/>
    <w:link w:val="Tekstpodstawowywcity3Znak"/>
    <w:uiPriority w:val="99"/>
    <w:semiHidden/>
    <w:rsid w:val="0001456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14566"/>
    <w:rPr>
      <w:rFonts w:eastAsiaTheme="minorEastAsia"/>
      <w:sz w:val="16"/>
      <w:szCs w:val="16"/>
    </w:rPr>
  </w:style>
  <w:style w:type="paragraph" w:styleId="Legenda">
    <w:name w:val="caption"/>
    <w:basedOn w:val="Normalny"/>
    <w:next w:val="Normalny"/>
    <w:uiPriority w:val="99"/>
    <w:semiHidden/>
    <w:qFormat/>
    <w:rsid w:val="00014566"/>
    <w:pPr>
      <w:spacing w:after="200"/>
    </w:pPr>
    <w:rPr>
      <w:b/>
      <w:bCs/>
      <w:color w:val="0072BC" w:themeColor="accent1"/>
      <w:sz w:val="18"/>
      <w:szCs w:val="18"/>
    </w:rPr>
  </w:style>
  <w:style w:type="paragraph" w:styleId="Zwrotpoegnalny">
    <w:name w:val="Closing"/>
    <w:basedOn w:val="Normalny"/>
    <w:link w:val="ZwrotpoegnalnyZnak"/>
    <w:uiPriority w:val="99"/>
    <w:semiHidden/>
    <w:rsid w:val="00014566"/>
    <w:pPr>
      <w:ind w:left="4252"/>
    </w:pPr>
  </w:style>
  <w:style w:type="character" w:customStyle="1" w:styleId="ZwrotpoegnalnyZnak">
    <w:name w:val="Zwrot pożegnalny Znak"/>
    <w:basedOn w:val="Domylnaczcionkaakapitu"/>
    <w:link w:val="Zwrotpoegnalny"/>
    <w:uiPriority w:val="99"/>
    <w:semiHidden/>
    <w:rsid w:val="00014566"/>
    <w:rPr>
      <w:rFonts w:eastAsiaTheme="minorEastAsia"/>
      <w:sz w:val="24"/>
    </w:rPr>
  </w:style>
  <w:style w:type="table" w:styleId="Kolorowasiatka">
    <w:name w:val="Colorful Grid"/>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014566"/>
  </w:style>
  <w:style w:type="character" w:customStyle="1" w:styleId="DataZnak">
    <w:name w:val="Data Znak"/>
    <w:basedOn w:val="Domylnaczcionkaakapitu"/>
    <w:link w:val="Data"/>
    <w:uiPriority w:val="99"/>
    <w:semiHidden/>
    <w:rsid w:val="00014566"/>
    <w:rPr>
      <w:rFonts w:eastAsiaTheme="minorEastAsia"/>
      <w:sz w:val="24"/>
    </w:rPr>
  </w:style>
  <w:style w:type="paragraph" w:styleId="Podpise-mail">
    <w:name w:val="E-mail Signature"/>
    <w:basedOn w:val="Normalny"/>
    <w:link w:val="Podpise-mailZnak"/>
    <w:uiPriority w:val="99"/>
    <w:semiHidden/>
    <w:rsid w:val="00014566"/>
  </w:style>
  <w:style w:type="character" w:customStyle="1" w:styleId="Podpise-mailZnak">
    <w:name w:val="Podpis e-mail Znak"/>
    <w:basedOn w:val="Domylnaczcionkaakapitu"/>
    <w:link w:val="Podpise-mail"/>
    <w:uiPriority w:val="99"/>
    <w:semiHidden/>
    <w:rsid w:val="00014566"/>
    <w:rPr>
      <w:rFonts w:eastAsiaTheme="minorEastAsia"/>
      <w:sz w:val="24"/>
    </w:rPr>
  </w:style>
  <w:style w:type="paragraph" w:styleId="Adresnakopercie">
    <w:name w:val="envelope address"/>
    <w:basedOn w:val="Normalny"/>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014566"/>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014566"/>
  </w:style>
  <w:style w:type="paragraph" w:styleId="HTML-adres">
    <w:name w:val="HTML Address"/>
    <w:basedOn w:val="Normalny"/>
    <w:link w:val="HTML-adresZnak"/>
    <w:uiPriority w:val="99"/>
    <w:semiHidden/>
    <w:rsid w:val="00014566"/>
    <w:rPr>
      <w:i/>
      <w:iCs/>
    </w:rPr>
  </w:style>
  <w:style w:type="character" w:customStyle="1" w:styleId="HTML-adresZnak">
    <w:name w:val="HTML - adres Znak"/>
    <w:basedOn w:val="Domylnaczcionkaakapitu"/>
    <w:link w:val="HTML-adres"/>
    <w:uiPriority w:val="99"/>
    <w:semiHidden/>
    <w:rsid w:val="00014566"/>
    <w:rPr>
      <w:rFonts w:eastAsiaTheme="minorEastAsia"/>
      <w:i/>
      <w:iCs/>
      <w:sz w:val="24"/>
    </w:rPr>
  </w:style>
  <w:style w:type="character" w:styleId="HTML-cytat">
    <w:name w:val="HTML Cite"/>
    <w:basedOn w:val="Domylnaczcionkaakapitu"/>
    <w:uiPriority w:val="99"/>
    <w:semiHidden/>
    <w:rsid w:val="00014566"/>
    <w:rPr>
      <w:i/>
      <w:iCs/>
    </w:rPr>
  </w:style>
  <w:style w:type="character" w:styleId="HTML-kod">
    <w:name w:val="HTML Code"/>
    <w:basedOn w:val="Domylnaczcionkaakapitu"/>
    <w:uiPriority w:val="99"/>
    <w:semiHidden/>
    <w:rsid w:val="00014566"/>
    <w:rPr>
      <w:rFonts w:ascii="Consolas" w:hAnsi="Consolas" w:cs="Consolas"/>
      <w:sz w:val="20"/>
      <w:szCs w:val="20"/>
    </w:rPr>
  </w:style>
  <w:style w:type="character" w:styleId="HTML-definicja">
    <w:name w:val="HTML Definition"/>
    <w:basedOn w:val="Domylnaczcionkaakapitu"/>
    <w:uiPriority w:val="99"/>
    <w:semiHidden/>
    <w:rsid w:val="00014566"/>
    <w:rPr>
      <w:i/>
      <w:iCs/>
    </w:rPr>
  </w:style>
  <w:style w:type="character" w:styleId="HTML-klawiatura">
    <w:name w:val="HTML Keyboard"/>
    <w:basedOn w:val="Domylnaczcionkaakapitu"/>
    <w:uiPriority w:val="99"/>
    <w:semiHidden/>
    <w:rsid w:val="00014566"/>
    <w:rPr>
      <w:rFonts w:ascii="Consolas" w:hAnsi="Consolas" w:cs="Consolas"/>
      <w:sz w:val="20"/>
      <w:szCs w:val="20"/>
    </w:rPr>
  </w:style>
  <w:style w:type="paragraph" w:styleId="HTML-wstpniesformatowany">
    <w:name w:val="HTML Preformatted"/>
    <w:basedOn w:val="Normalny"/>
    <w:link w:val="HTML-wstpniesformatowanyZnak"/>
    <w:uiPriority w:val="99"/>
    <w:semiHidden/>
    <w:rsid w:val="00014566"/>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014566"/>
    <w:rPr>
      <w:rFonts w:ascii="Consolas" w:eastAsiaTheme="minorEastAsia" w:hAnsi="Consolas" w:cs="Consolas"/>
      <w:sz w:val="20"/>
      <w:szCs w:val="20"/>
    </w:rPr>
  </w:style>
  <w:style w:type="character" w:styleId="HTML-przykad">
    <w:name w:val="HTML Sample"/>
    <w:basedOn w:val="Domylnaczcionkaakapitu"/>
    <w:uiPriority w:val="99"/>
    <w:semiHidden/>
    <w:rsid w:val="00014566"/>
    <w:rPr>
      <w:rFonts w:ascii="Consolas" w:hAnsi="Consolas" w:cs="Consolas"/>
      <w:sz w:val="24"/>
      <w:szCs w:val="24"/>
    </w:rPr>
  </w:style>
  <w:style w:type="character" w:styleId="HTML-staaszeroko">
    <w:name w:val="HTML Typewriter"/>
    <w:basedOn w:val="Domylnaczcionkaakapitu"/>
    <w:uiPriority w:val="99"/>
    <w:semiHidden/>
    <w:rsid w:val="00014566"/>
    <w:rPr>
      <w:rFonts w:ascii="Consolas" w:hAnsi="Consolas" w:cs="Consolas"/>
      <w:sz w:val="20"/>
      <w:szCs w:val="20"/>
    </w:rPr>
  </w:style>
  <w:style w:type="character" w:styleId="HTML-zmienna">
    <w:name w:val="HTML Variable"/>
    <w:basedOn w:val="Domylnaczcionkaakapitu"/>
    <w:uiPriority w:val="99"/>
    <w:semiHidden/>
    <w:rsid w:val="00014566"/>
    <w:rPr>
      <w:i/>
      <w:iCs/>
    </w:rPr>
  </w:style>
  <w:style w:type="paragraph" w:styleId="Indeks1">
    <w:name w:val="index 1"/>
    <w:basedOn w:val="Normalny"/>
    <w:next w:val="Normalny"/>
    <w:autoRedefine/>
    <w:uiPriority w:val="99"/>
    <w:semiHidden/>
    <w:rsid w:val="00014566"/>
    <w:pPr>
      <w:ind w:left="240" w:hanging="240"/>
    </w:pPr>
  </w:style>
  <w:style w:type="paragraph" w:styleId="Indeks2">
    <w:name w:val="index 2"/>
    <w:basedOn w:val="Normalny"/>
    <w:next w:val="Normalny"/>
    <w:autoRedefine/>
    <w:uiPriority w:val="99"/>
    <w:semiHidden/>
    <w:rsid w:val="00014566"/>
    <w:pPr>
      <w:ind w:left="480" w:hanging="240"/>
    </w:pPr>
  </w:style>
  <w:style w:type="paragraph" w:styleId="Indeks3">
    <w:name w:val="index 3"/>
    <w:basedOn w:val="Normalny"/>
    <w:next w:val="Normalny"/>
    <w:autoRedefine/>
    <w:uiPriority w:val="99"/>
    <w:semiHidden/>
    <w:rsid w:val="00014566"/>
    <w:pPr>
      <w:ind w:left="720" w:hanging="240"/>
    </w:pPr>
  </w:style>
  <w:style w:type="paragraph" w:styleId="Indeks4">
    <w:name w:val="index 4"/>
    <w:basedOn w:val="Normalny"/>
    <w:next w:val="Normalny"/>
    <w:autoRedefine/>
    <w:uiPriority w:val="99"/>
    <w:semiHidden/>
    <w:rsid w:val="00014566"/>
    <w:pPr>
      <w:ind w:left="960" w:hanging="240"/>
    </w:pPr>
  </w:style>
  <w:style w:type="paragraph" w:styleId="Indeks5">
    <w:name w:val="index 5"/>
    <w:basedOn w:val="Normalny"/>
    <w:next w:val="Normalny"/>
    <w:autoRedefine/>
    <w:uiPriority w:val="99"/>
    <w:semiHidden/>
    <w:rsid w:val="00014566"/>
    <w:pPr>
      <w:ind w:left="1200" w:hanging="240"/>
    </w:pPr>
  </w:style>
  <w:style w:type="paragraph" w:styleId="Indeks6">
    <w:name w:val="index 6"/>
    <w:basedOn w:val="Normalny"/>
    <w:next w:val="Normalny"/>
    <w:autoRedefine/>
    <w:uiPriority w:val="99"/>
    <w:semiHidden/>
    <w:rsid w:val="00014566"/>
    <w:pPr>
      <w:ind w:left="1440" w:hanging="240"/>
    </w:pPr>
  </w:style>
  <w:style w:type="paragraph" w:styleId="Indeks7">
    <w:name w:val="index 7"/>
    <w:basedOn w:val="Normalny"/>
    <w:next w:val="Normalny"/>
    <w:autoRedefine/>
    <w:uiPriority w:val="99"/>
    <w:semiHidden/>
    <w:rsid w:val="00014566"/>
    <w:pPr>
      <w:ind w:left="1680" w:hanging="240"/>
    </w:pPr>
  </w:style>
  <w:style w:type="paragraph" w:styleId="Indeks8">
    <w:name w:val="index 8"/>
    <w:basedOn w:val="Normalny"/>
    <w:next w:val="Normalny"/>
    <w:autoRedefine/>
    <w:uiPriority w:val="99"/>
    <w:semiHidden/>
    <w:rsid w:val="00014566"/>
    <w:pPr>
      <w:ind w:left="1920" w:hanging="240"/>
    </w:pPr>
  </w:style>
  <w:style w:type="paragraph" w:styleId="Indeks9">
    <w:name w:val="index 9"/>
    <w:basedOn w:val="Normalny"/>
    <w:next w:val="Normalny"/>
    <w:autoRedefine/>
    <w:uiPriority w:val="99"/>
    <w:semiHidden/>
    <w:rsid w:val="00014566"/>
    <w:pPr>
      <w:ind w:left="2160" w:hanging="240"/>
    </w:pPr>
  </w:style>
  <w:style w:type="paragraph" w:styleId="Nagwekindeksu">
    <w:name w:val="index heading"/>
    <w:basedOn w:val="Normalny"/>
    <w:next w:val="Indeks1"/>
    <w:uiPriority w:val="99"/>
    <w:semiHidden/>
    <w:rsid w:val="00014566"/>
    <w:rPr>
      <w:rFonts w:asciiTheme="majorHAnsi" w:eastAsiaTheme="majorEastAsia" w:hAnsiTheme="majorHAnsi" w:cstheme="majorBidi"/>
      <w:b/>
      <w:bCs/>
    </w:rPr>
  </w:style>
  <w:style w:type="table" w:styleId="Jasnasiatka">
    <w:name w:val="Light Grid"/>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014566"/>
  </w:style>
  <w:style w:type="paragraph" w:styleId="Lista">
    <w:name w:val="List"/>
    <w:basedOn w:val="Normalny"/>
    <w:uiPriority w:val="99"/>
    <w:semiHidden/>
    <w:rsid w:val="00014566"/>
    <w:pPr>
      <w:ind w:left="283" w:hanging="283"/>
      <w:contextualSpacing/>
    </w:pPr>
  </w:style>
  <w:style w:type="paragraph" w:styleId="Lista2">
    <w:name w:val="List 2"/>
    <w:basedOn w:val="Normalny"/>
    <w:uiPriority w:val="99"/>
    <w:semiHidden/>
    <w:rsid w:val="00014566"/>
    <w:pPr>
      <w:ind w:left="566" w:hanging="283"/>
      <w:contextualSpacing/>
    </w:pPr>
  </w:style>
  <w:style w:type="paragraph" w:styleId="Lista3">
    <w:name w:val="List 3"/>
    <w:basedOn w:val="Normalny"/>
    <w:uiPriority w:val="99"/>
    <w:semiHidden/>
    <w:rsid w:val="00014566"/>
    <w:pPr>
      <w:ind w:left="849" w:hanging="283"/>
      <w:contextualSpacing/>
    </w:pPr>
  </w:style>
  <w:style w:type="paragraph" w:styleId="Lista4">
    <w:name w:val="List 4"/>
    <w:basedOn w:val="Normalny"/>
    <w:uiPriority w:val="99"/>
    <w:semiHidden/>
    <w:rsid w:val="00014566"/>
    <w:pPr>
      <w:ind w:left="1132" w:hanging="283"/>
      <w:contextualSpacing/>
    </w:pPr>
  </w:style>
  <w:style w:type="paragraph" w:styleId="Lista5">
    <w:name w:val="List 5"/>
    <w:basedOn w:val="Normalny"/>
    <w:uiPriority w:val="99"/>
    <w:semiHidden/>
    <w:rsid w:val="00014566"/>
    <w:pPr>
      <w:ind w:left="1415" w:hanging="283"/>
      <w:contextualSpacing/>
    </w:pPr>
  </w:style>
  <w:style w:type="paragraph" w:styleId="Listapunktowana2">
    <w:name w:val="List Bullet 2"/>
    <w:basedOn w:val="Normalny"/>
    <w:uiPriority w:val="99"/>
    <w:semiHidden/>
    <w:rsid w:val="00014566"/>
    <w:pPr>
      <w:numPr>
        <w:numId w:val="5"/>
      </w:numPr>
      <w:contextualSpacing/>
    </w:pPr>
  </w:style>
  <w:style w:type="paragraph" w:styleId="Listapunktowana3">
    <w:name w:val="List Bullet 3"/>
    <w:basedOn w:val="Normalny"/>
    <w:uiPriority w:val="99"/>
    <w:semiHidden/>
    <w:rsid w:val="00014566"/>
    <w:pPr>
      <w:numPr>
        <w:numId w:val="6"/>
      </w:numPr>
      <w:contextualSpacing/>
    </w:pPr>
  </w:style>
  <w:style w:type="paragraph" w:styleId="Listapunktowana4">
    <w:name w:val="List Bullet 4"/>
    <w:basedOn w:val="Normalny"/>
    <w:uiPriority w:val="99"/>
    <w:semiHidden/>
    <w:rsid w:val="00014566"/>
    <w:pPr>
      <w:numPr>
        <w:numId w:val="7"/>
      </w:numPr>
      <w:contextualSpacing/>
    </w:pPr>
  </w:style>
  <w:style w:type="paragraph" w:styleId="Listapunktowana5">
    <w:name w:val="List Bullet 5"/>
    <w:basedOn w:val="Normalny"/>
    <w:uiPriority w:val="99"/>
    <w:semiHidden/>
    <w:rsid w:val="00014566"/>
    <w:pPr>
      <w:numPr>
        <w:numId w:val="8"/>
      </w:numPr>
      <w:contextualSpacing/>
    </w:pPr>
  </w:style>
  <w:style w:type="paragraph" w:styleId="Lista-kontynuacja">
    <w:name w:val="List Continue"/>
    <w:basedOn w:val="Normalny"/>
    <w:uiPriority w:val="99"/>
    <w:semiHidden/>
    <w:rsid w:val="00014566"/>
    <w:pPr>
      <w:spacing w:after="120"/>
      <w:ind w:left="283"/>
      <w:contextualSpacing/>
    </w:pPr>
  </w:style>
  <w:style w:type="paragraph" w:styleId="Lista-kontynuacja2">
    <w:name w:val="List Continue 2"/>
    <w:basedOn w:val="Normalny"/>
    <w:uiPriority w:val="99"/>
    <w:semiHidden/>
    <w:rsid w:val="00014566"/>
    <w:pPr>
      <w:spacing w:after="120"/>
      <w:ind w:left="566"/>
      <w:contextualSpacing/>
    </w:pPr>
  </w:style>
  <w:style w:type="paragraph" w:styleId="Lista-kontynuacja3">
    <w:name w:val="List Continue 3"/>
    <w:basedOn w:val="Normalny"/>
    <w:uiPriority w:val="99"/>
    <w:semiHidden/>
    <w:rsid w:val="00014566"/>
    <w:pPr>
      <w:spacing w:after="120"/>
      <w:ind w:left="849"/>
      <w:contextualSpacing/>
    </w:pPr>
  </w:style>
  <w:style w:type="paragraph" w:styleId="Lista-kontynuacja4">
    <w:name w:val="List Continue 4"/>
    <w:basedOn w:val="Normalny"/>
    <w:uiPriority w:val="99"/>
    <w:semiHidden/>
    <w:rsid w:val="00014566"/>
    <w:pPr>
      <w:spacing w:after="120"/>
      <w:ind w:left="1132"/>
      <w:contextualSpacing/>
    </w:pPr>
  </w:style>
  <w:style w:type="paragraph" w:styleId="Lista-kontynuacja5">
    <w:name w:val="List Continue 5"/>
    <w:basedOn w:val="Normalny"/>
    <w:uiPriority w:val="99"/>
    <w:semiHidden/>
    <w:rsid w:val="00014566"/>
    <w:pPr>
      <w:spacing w:after="120"/>
      <w:ind w:left="1415"/>
      <w:contextualSpacing/>
    </w:pPr>
  </w:style>
  <w:style w:type="paragraph" w:styleId="Listanumerowana">
    <w:name w:val="List Number"/>
    <w:basedOn w:val="Normalny"/>
    <w:uiPriority w:val="99"/>
    <w:semiHidden/>
    <w:rsid w:val="00014566"/>
    <w:pPr>
      <w:numPr>
        <w:numId w:val="9"/>
      </w:numPr>
      <w:contextualSpacing/>
    </w:pPr>
  </w:style>
  <w:style w:type="paragraph" w:styleId="Listanumerowana2">
    <w:name w:val="List Number 2"/>
    <w:basedOn w:val="Normalny"/>
    <w:uiPriority w:val="99"/>
    <w:semiHidden/>
    <w:rsid w:val="00014566"/>
    <w:pPr>
      <w:numPr>
        <w:numId w:val="10"/>
      </w:numPr>
      <w:contextualSpacing/>
    </w:pPr>
  </w:style>
  <w:style w:type="paragraph" w:styleId="Listanumerowana3">
    <w:name w:val="List Number 3"/>
    <w:basedOn w:val="Normalny"/>
    <w:uiPriority w:val="99"/>
    <w:semiHidden/>
    <w:rsid w:val="00014566"/>
    <w:pPr>
      <w:numPr>
        <w:numId w:val="11"/>
      </w:numPr>
      <w:contextualSpacing/>
    </w:pPr>
  </w:style>
  <w:style w:type="paragraph" w:styleId="Listanumerowana4">
    <w:name w:val="List Number 4"/>
    <w:basedOn w:val="Normalny"/>
    <w:uiPriority w:val="99"/>
    <w:semiHidden/>
    <w:rsid w:val="00014566"/>
    <w:pPr>
      <w:numPr>
        <w:numId w:val="12"/>
      </w:numPr>
      <w:contextualSpacing/>
    </w:pPr>
  </w:style>
  <w:style w:type="paragraph" w:styleId="Listanumerowana5">
    <w:name w:val="List Number 5"/>
    <w:basedOn w:val="Normalny"/>
    <w:uiPriority w:val="99"/>
    <w:semiHidden/>
    <w:rsid w:val="00014566"/>
    <w:pPr>
      <w:numPr>
        <w:numId w:val="13"/>
      </w:numPr>
      <w:contextualSpacing/>
    </w:pPr>
  </w:style>
  <w:style w:type="paragraph" w:styleId="Tekstmakra">
    <w:name w:val="macro"/>
    <w:link w:val="TekstmakraZnak"/>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kstmakraZnak">
    <w:name w:val="Tekst makra Znak"/>
    <w:basedOn w:val="Domylnaczcionkaakapitu"/>
    <w:link w:val="Tekstmakra"/>
    <w:uiPriority w:val="99"/>
    <w:semiHidden/>
    <w:rsid w:val="00014566"/>
    <w:rPr>
      <w:rFonts w:ascii="Consolas" w:hAnsi="Consolas" w:cs="Consolas"/>
      <w:sz w:val="20"/>
      <w:szCs w:val="20"/>
      <w:lang w:val="en-GB" w:eastAsia="fr-FR"/>
    </w:rPr>
  </w:style>
  <w:style w:type="table" w:styleId="redniasiatka1">
    <w:name w:val="Medium Grid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014566"/>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014566"/>
    <w:rPr>
      <w:rFonts w:ascii="Times New Roman" w:hAnsi="Times New Roman" w:cs="Times New Roman"/>
      <w:szCs w:val="24"/>
    </w:rPr>
  </w:style>
  <w:style w:type="paragraph" w:styleId="Wcicienormalne">
    <w:name w:val="Normal Indent"/>
    <w:basedOn w:val="Normalny"/>
    <w:uiPriority w:val="99"/>
    <w:semiHidden/>
    <w:rsid w:val="00014566"/>
    <w:pPr>
      <w:ind w:left="720"/>
    </w:pPr>
  </w:style>
  <w:style w:type="paragraph" w:styleId="Nagweknotatki">
    <w:name w:val="Note Heading"/>
    <w:basedOn w:val="Normalny"/>
    <w:next w:val="Normalny"/>
    <w:link w:val="NagweknotatkiZnak"/>
    <w:uiPriority w:val="99"/>
    <w:semiHidden/>
    <w:rsid w:val="00014566"/>
  </w:style>
  <w:style w:type="character" w:customStyle="1" w:styleId="NagweknotatkiZnak">
    <w:name w:val="Nagłówek notatki Znak"/>
    <w:basedOn w:val="Domylnaczcionkaakapitu"/>
    <w:link w:val="Nagweknotatki"/>
    <w:uiPriority w:val="99"/>
    <w:semiHidden/>
    <w:rsid w:val="00014566"/>
    <w:rPr>
      <w:rFonts w:eastAsiaTheme="minorEastAsia"/>
      <w:sz w:val="24"/>
    </w:rPr>
  </w:style>
  <w:style w:type="character" w:styleId="Tekstzastpczy">
    <w:name w:val="Placeholder Text"/>
    <w:basedOn w:val="Domylnaczcionkaakapitu"/>
    <w:uiPriority w:val="99"/>
    <w:semiHidden/>
    <w:rsid w:val="00014566"/>
    <w:rPr>
      <w:color w:val="808080"/>
    </w:rPr>
  </w:style>
  <w:style w:type="paragraph" w:styleId="Zwykytekst">
    <w:name w:val="Plain Text"/>
    <w:basedOn w:val="Normalny"/>
    <w:link w:val="ZwykytekstZnak"/>
    <w:uiPriority w:val="99"/>
    <w:semiHidden/>
    <w:rsid w:val="00014566"/>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14566"/>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014566"/>
  </w:style>
  <w:style w:type="character" w:customStyle="1" w:styleId="ZwrotgrzecznociowyZnak">
    <w:name w:val="Zwrot grzecznościowy Znak"/>
    <w:basedOn w:val="Domylnaczcionkaakapitu"/>
    <w:link w:val="Zwrotgrzecznociowy"/>
    <w:uiPriority w:val="99"/>
    <w:semiHidden/>
    <w:rsid w:val="00014566"/>
    <w:rPr>
      <w:rFonts w:eastAsiaTheme="minorEastAsia"/>
      <w:sz w:val="24"/>
    </w:rPr>
  </w:style>
  <w:style w:type="paragraph" w:styleId="Podpis">
    <w:name w:val="Signature"/>
    <w:basedOn w:val="Normalny"/>
    <w:link w:val="PodpisZnak"/>
    <w:uiPriority w:val="99"/>
    <w:semiHidden/>
    <w:rsid w:val="00014566"/>
    <w:pPr>
      <w:ind w:left="4252"/>
    </w:pPr>
  </w:style>
  <w:style w:type="character" w:customStyle="1" w:styleId="PodpisZnak">
    <w:name w:val="Podpis Znak"/>
    <w:basedOn w:val="Domylnaczcionkaakapitu"/>
    <w:link w:val="Podpis"/>
    <w:uiPriority w:val="99"/>
    <w:semiHidden/>
    <w:rsid w:val="00014566"/>
    <w:rPr>
      <w:rFonts w:eastAsiaTheme="minorEastAsia"/>
      <w:sz w:val="24"/>
    </w:rPr>
  </w:style>
  <w:style w:type="table" w:styleId="Tabela-Efekty3W1">
    <w:name w:val="Table 3D effects 1"/>
    <w:basedOn w:val="Standardowy"/>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014566"/>
    <w:pPr>
      <w:ind w:left="240" w:hanging="240"/>
    </w:pPr>
  </w:style>
  <w:style w:type="paragraph" w:styleId="Spisilustracji">
    <w:name w:val="table of figures"/>
    <w:basedOn w:val="Normalny"/>
    <w:next w:val="Normalny"/>
    <w:uiPriority w:val="99"/>
    <w:semiHidden/>
    <w:rsid w:val="00014566"/>
  </w:style>
  <w:style w:type="table" w:styleId="Tabela-Profesjonalny">
    <w:name w:val="Table Professional"/>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014566"/>
    <w:pPr>
      <w:spacing w:after="100"/>
      <w:ind w:left="1200"/>
    </w:pPr>
  </w:style>
  <w:style w:type="paragraph" w:styleId="Spistreci7">
    <w:name w:val="toc 7"/>
    <w:basedOn w:val="Normalny"/>
    <w:next w:val="Normalny"/>
    <w:autoRedefine/>
    <w:uiPriority w:val="99"/>
    <w:semiHidden/>
    <w:rsid w:val="00014566"/>
    <w:pPr>
      <w:spacing w:after="100"/>
      <w:ind w:left="1440"/>
    </w:pPr>
  </w:style>
  <w:style w:type="paragraph" w:styleId="Spistreci8">
    <w:name w:val="toc 8"/>
    <w:basedOn w:val="Normalny"/>
    <w:next w:val="Normalny"/>
    <w:autoRedefine/>
    <w:uiPriority w:val="99"/>
    <w:semiHidden/>
    <w:rsid w:val="00014566"/>
    <w:pPr>
      <w:spacing w:after="100"/>
      <w:ind w:left="1680"/>
    </w:pPr>
  </w:style>
  <w:style w:type="paragraph" w:styleId="Spistreci9">
    <w:name w:val="toc 9"/>
    <w:basedOn w:val="Normalny"/>
    <w:next w:val="Normalny"/>
    <w:autoRedefine/>
    <w:uiPriority w:val="99"/>
    <w:semiHidden/>
    <w:rsid w:val="00014566"/>
    <w:pPr>
      <w:spacing w:after="100"/>
      <w:ind w:left="1920"/>
    </w:pPr>
  </w:style>
  <w:style w:type="paragraph" w:customStyle="1" w:styleId="OpiTranslation">
    <w:name w:val="Opi_Translation"/>
    <w:basedOn w:val="Normalny"/>
    <w:next w:val="OpiPara"/>
    <w:uiPriority w:val="40"/>
    <w:qFormat/>
    <w:rsid w:val="00A96ED6"/>
    <w:pPr>
      <w:jc w:val="center"/>
      <w:outlineLvl w:val="0"/>
    </w:pPr>
    <w:rPr>
      <w:i/>
    </w:rPr>
  </w:style>
  <w:style w:type="paragraph" w:customStyle="1" w:styleId="DecHTitle">
    <w:name w:val="Dec_H_Title"/>
    <w:basedOn w:val="ECHRTitleCentre1"/>
    <w:uiPriority w:val="7"/>
    <w:rsid w:val="00A96ED6"/>
  </w:style>
  <w:style w:type="paragraph" w:customStyle="1" w:styleId="DecList">
    <w:name w:val="Dec_List"/>
    <w:basedOn w:val="Normalny"/>
    <w:uiPriority w:val="9"/>
    <w:rsid w:val="00A96ED6"/>
    <w:pPr>
      <w:spacing w:before="240"/>
      <w:ind w:left="284"/>
    </w:pPr>
  </w:style>
  <w:style w:type="paragraph" w:customStyle="1" w:styleId="OpiH1">
    <w:name w:val="Opi_H_1"/>
    <w:basedOn w:val="ECHRHeading2"/>
    <w:uiPriority w:val="42"/>
    <w:qFormat/>
    <w:rsid w:val="00A96ED6"/>
    <w:pPr>
      <w:ind w:left="635" w:hanging="357"/>
      <w:outlineLvl w:val="2"/>
    </w:pPr>
  </w:style>
  <w:style w:type="paragraph" w:customStyle="1" w:styleId="OpiHa0">
    <w:name w:val="Opi_H_a"/>
    <w:basedOn w:val="ECHRHeading3"/>
    <w:uiPriority w:val="43"/>
    <w:qFormat/>
    <w:rsid w:val="00A96ED6"/>
    <w:pPr>
      <w:ind w:left="833" w:hanging="357"/>
      <w:outlineLvl w:val="3"/>
    </w:pPr>
    <w:rPr>
      <w:b/>
      <w:i w:val="0"/>
      <w:sz w:val="20"/>
    </w:rPr>
  </w:style>
  <w:style w:type="paragraph" w:customStyle="1" w:styleId="OpiHi">
    <w:name w:val="Opi_H_i"/>
    <w:basedOn w:val="ECHRHeading4"/>
    <w:uiPriority w:val="44"/>
    <w:qFormat/>
    <w:rsid w:val="00A96ED6"/>
    <w:pPr>
      <w:ind w:left="1037" w:hanging="357"/>
      <w:outlineLvl w:val="4"/>
    </w:pPr>
    <w:rPr>
      <w:b w:val="0"/>
      <w:i/>
    </w:rPr>
  </w:style>
  <w:style w:type="paragraph" w:customStyle="1" w:styleId="DummyStyle">
    <w:name w:val="Dummy_Style"/>
    <w:basedOn w:val="Normalny"/>
    <w:semiHidden/>
    <w:qFormat/>
    <w:rsid w:val="00A96ED6"/>
    <w:rPr>
      <w:color w:val="00B050"/>
    </w:rPr>
  </w:style>
  <w:style w:type="character" w:customStyle="1" w:styleId="JuParaChar">
    <w:name w:val="Ju_Para Char"/>
    <w:basedOn w:val="Domylnaczcionkaakapitu"/>
    <w:link w:val="ECHRPara"/>
    <w:uiPriority w:val="12"/>
    <w:rsid w:val="009D7A23"/>
    <w:rPr>
      <w:rFonts w:eastAsiaTheme="minorEastAsia"/>
      <w:sz w:val="24"/>
    </w:rPr>
  </w:style>
  <w:style w:type="character" w:customStyle="1" w:styleId="JuParaCar">
    <w:name w:val="Ju_Para Car"/>
    <w:uiPriority w:val="12"/>
    <w:rsid w:val="006D4E47"/>
    <w:rPr>
      <w:rFonts w:eastAsiaTheme="minorEastAsia"/>
      <w:sz w:val="24"/>
    </w:rPr>
  </w:style>
  <w:style w:type="character" w:customStyle="1" w:styleId="sb8d990e2">
    <w:name w:val="sb8d990e2"/>
    <w:basedOn w:val="Domylnaczcionkaakapitu"/>
    <w:rsid w:val="002737E3"/>
  </w:style>
  <w:style w:type="character" w:customStyle="1" w:styleId="s6b621b36">
    <w:name w:val="s6b621b36"/>
    <w:basedOn w:val="Domylnaczcionkaakapitu"/>
    <w:rsid w:val="002737E3"/>
  </w:style>
  <w:style w:type="character" w:customStyle="1" w:styleId="wordhighlighted">
    <w:name w:val="wordhighlighted"/>
    <w:basedOn w:val="Domylnaczcionkaakapitu"/>
    <w:rsid w:val="002737E3"/>
  </w:style>
  <w:style w:type="character" w:customStyle="1" w:styleId="s23c0e8e7">
    <w:name w:val="s23c0e8e7"/>
    <w:basedOn w:val="Domylnaczcionkaakapitu"/>
    <w:rsid w:val="002737E3"/>
  </w:style>
  <w:style w:type="character" w:customStyle="1" w:styleId="ju-005fpara--char">
    <w:name w:val="ju-005fpara--char"/>
    <w:basedOn w:val="Domylnaczcionkaakapitu"/>
    <w:rsid w:val="00E85206"/>
  </w:style>
  <w:style w:type="character" w:customStyle="1" w:styleId="JuQuotChar">
    <w:name w:val="Ju_Quot Char"/>
    <w:basedOn w:val="JuParaChar"/>
    <w:link w:val="ECHRParaQuote"/>
    <w:rsid w:val="00E27C22"/>
    <w:rPr>
      <w:rFonts w:eastAsiaTheme="minorEastAsia"/>
      <w:sz w:val="20"/>
    </w:rPr>
  </w:style>
  <w:style w:type="character" w:customStyle="1" w:styleId="ju-005fpara-0020car1-002cleft-0020car-002cfirst-0020line-003a-0020-00200-0020cm-0020car--char">
    <w:name w:val="ju-005fpara-0020car1-002cleft-0020car-002cfirst-0020line-003a-0020-00200-0020cm-0020car--char"/>
    <w:basedOn w:val="Domylnaczcionkaakapitu"/>
    <w:rsid w:val="00E27C22"/>
  </w:style>
  <w:style w:type="character" w:customStyle="1" w:styleId="apple-converted-space">
    <w:name w:val="apple-converted-space"/>
    <w:rsid w:val="00EE7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annotation text" w:uiPriority="0"/>
    <w:lsdException w:name="header" w:uiPriority="57"/>
    <w:lsdException w:name="footer" w:uiPriority="57"/>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semiHidden/>
    <w:rsid w:val="00580F59"/>
    <w:pPr>
      <w:jc w:val="both"/>
    </w:pPr>
    <w:rPr>
      <w:rFonts w:eastAsiaTheme="minorEastAsia"/>
      <w:sz w:val="24"/>
    </w:rPr>
  </w:style>
  <w:style w:type="paragraph" w:styleId="Nagwek1">
    <w:name w:val="heading 1"/>
    <w:basedOn w:val="Normalny"/>
    <w:next w:val="Normalny"/>
    <w:link w:val="Nagwek1Znak"/>
    <w:uiPriority w:val="99"/>
    <w:semiHidden/>
    <w:rsid w:val="00A96ED6"/>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A96ED6"/>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A96ED6"/>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A96ED6"/>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A96ED6"/>
    <w:pPr>
      <w:spacing w:before="200"/>
      <w:outlineLvl w:val="4"/>
    </w:pPr>
    <w:rPr>
      <w:rFonts w:asciiTheme="majorHAnsi" w:eastAsiaTheme="majorEastAsia" w:hAnsiTheme="majorHAnsi" w:cstheme="majorBidi"/>
      <w:b/>
      <w:bCs/>
      <w:color w:val="808080"/>
      <w:sz w:val="22"/>
    </w:rPr>
  </w:style>
  <w:style w:type="paragraph" w:styleId="Nagwek6">
    <w:name w:val="heading 6"/>
    <w:basedOn w:val="Normalny"/>
    <w:next w:val="Normalny"/>
    <w:link w:val="Nagwek6Znak"/>
    <w:uiPriority w:val="99"/>
    <w:semiHidden/>
    <w:rsid w:val="00A96ED6"/>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A96ED6"/>
    <w:pPr>
      <w:outlineLvl w:val="6"/>
    </w:pPr>
    <w:rPr>
      <w:rFonts w:asciiTheme="majorHAnsi" w:eastAsiaTheme="majorEastAsia" w:hAnsiTheme="majorHAnsi" w:cstheme="majorBidi"/>
      <w:i/>
      <w:iCs/>
      <w:sz w:val="22"/>
      <w:lang w:bidi="en-US"/>
    </w:rPr>
  </w:style>
  <w:style w:type="paragraph" w:styleId="Nagwek8">
    <w:name w:val="heading 8"/>
    <w:basedOn w:val="Normalny"/>
    <w:next w:val="Normalny"/>
    <w:link w:val="Nagwek8Znak"/>
    <w:uiPriority w:val="99"/>
    <w:semiHidden/>
    <w:qFormat/>
    <w:rsid w:val="00A96ED6"/>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A96ED6"/>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A96ED6"/>
    <w:rPr>
      <w:rFonts w:ascii="Tahoma" w:hAnsi="Tahoma" w:cs="Tahoma"/>
      <w:sz w:val="16"/>
      <w:szCs w:val="16"/>
    </w:rPr>
  </w:style>
  <w:style w:type="character" w:customStyle="1" w:styleId="TekstdymkaZnak">
    <w:name w:val="Tekst dymka Znak"/>
    <w:basedOn w:val="Domylnaczcionkaakapitu"/>
    <w:link w:val="Tekstdymka"/>
    <w:uiPriority w:val="99"/>
    <w:semiHidden/>
    <w:rsid w:val="00A96ED6"/>
    <w:rPr>
      <w:rFonts w:ascii="Tahoma" w:eastAsiaTheme="minorEastAsia" w:hAnsi="Tahoma" w:cs="Tahoma"/>
      <w:sz w:val="16"/>
      <w:szCs w:val="16"/>
    </w:rPr>
  </w:style>
  <w:style w:type="character" w:styleId="Tytuksiki">
    <w:name w:val="Book Title"/>
    <w:uiPriority w:val="99"/>
    <w:semiHidden/>
    <w:qFormat/>
    <w:rsid w:val="00A96ED6"/>
    <w:rPr>
      <w:i/>
      <w:iCs/>
      <w:smallCaps/>
      <w:spacing w:val="5"/>
    </w:rPr>
  </w:style>
  <w:style w:type="paragraph" w:customStyle="1" w:styleId="ECHRHeader">
    <w:name w:val="ECHR_Header"/>
    <w:aliases w:val="Ju_Header"/>
    <w:basedOn w:val="Nagwek"/>
    <w:uiPriority w:val="4"/>
    <w:qFormat/>
    <w:rsid w:val="00A96ED6"/>
    <w:pPr>
      <w:tabs>
        <w:tab w:val="clear" w:pos="4536"/>
        <w:tab w:val="clear" w:pos="9072"/>
        <w:tab w:val="center" w:pos="3686"/>
        <w:tab w:val="right" w:pos="7371"/>
      </w:tabs>
      <w:jc w:val="left"/>
    </w:pPr>
    <w:rPr>
      <w:sz w:val="18"/>
    </w:rPr>
  </w:style>
  <w:style w:type="paragraph" w:customStyle="1" w:styleId="ECHRFooter">
    <w:name w:val="ECHR_Footer"/>
    <w:aliases w:val="Footer_ECHR"/>
    <w:basedOn w:val="Stopka"/>
    <w:uiPriority w:val="57"/>
    <w:semiHidden/>
    <w:rsid w:val="00A96ED6"/>
    <w:pPr>
      <w:jc w:val="left"/>
    </w:pPr>
    <w:rPr>
      <w:sz w:val="8"/>
    </w:rPr>
  </w:style>
  <w:style w:type="character" w:styleId="Pogrubienie">
    <w:name w:val="Strong"/>
    <w:uiPriority w:val="99"/>
    <w:semiHidden/>
    <w:qFormat/>
    <w:rsid w:val="00A96ED6"/>
    <w:rPr>
      <w:b/>
      <w:bCs/>
    </w:rPr>
  </w:style>
  <w:style w:type="paragraph" w:styleId="Bezodstpw">
    <w:name w:val="No Spacing"/>
    <w:basedOn w:val="Normalny"/>
    <w:link w:val="BezodstpwZnak"/>
    <w:semiHidden/>
    <w:qFormat/>
    <w:rsid w:val="00A96ED6"/>
    <w:rPr>
      <w:sz w:val="22"/>
    </w:rPr>
  </w:style>
  <w:style w:type="character" w:customStyle="1" w:styleId="BezodstpwZnak">
    <w:name w:val="Bez odstępów Znak"/>
    <w:basedOn w:val="Domylnaczcionkaakapitu"/>
    <w:link w:val="Bezodstpw"/>
    <w:semiHidden/>
    <w:rsid w:val="00A96ED6"/>
    <w:rPr>
      <w:rFonts w:eastAsiaTheme="minorEastAsia"/>
    </w:rPr>
  </w:style>
  <w:style w:type="paragraph" w:customStyle="1" w:styleId="ECHRFooterLine">
    <w:name w:val="ECHR_Footer_Line"/>
    <w:aliases w:val="Footer_Line"/>
    <w:basedOn w:val="Normalny"/>
    <w:next w:val="ECHRFooter"/>
    <w:uiPriority w:val="57"/>
    <w:semiHidden/>
    <w:rsid w:val="00A96ED6"/>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ny"/>
    <w:uiPriority w:val="5"/>
    <w:rsid w:val="00A96ED6"/>
    <w:pPr>
      <w:numPr>
        <w:numId w:val="14"/>
      </w:numPr>
      <w:jc w:val="left"/>
    </w:pPr>
    <w:rPr>
      <w:b/>
    </w:rPr>
  </w:style>
  <w:style w:type="paragraph" w:customStyle="1" w:styleId="OpiPara">
    <w:name w:val="Opi_Para"/>
    <w:basedOn w:val="ECHRPara"/>
    <w:uiPriority w:val="46"/>
    <w:qFormat/>
    <w:rsid w:val="00A96ED6"/>
  </w:style>
  <w:style w:type="paragraph" w:customStyle="1" w:styleId="JuParaSub">
    <w:name w:val="Ju_Para_Sub"/>
    <w:basedOn w:val="ECHRPara"/>
    <w:uiPriority w:val="13"/>
    <w:qFormat/>
    <w:rsid w:val="00A96ED6"/>
    <w:pPr>
      <w:ind w:left="284"/>
    </w:pPr>
  </w:style>
  <w:style w:type="paragraph" w:customStyle="1" w:styleId="ECHRTitleCentre3">
    <w:name w:val="ECHR_Title_Centre_3"/>
    <w:aliases w:val="Ju_H_Article"/>
    <w:basedOn w:val="Normalny"/>
    <w:next w:val="ECHRParaQuote"/>
    <w:uiPriority w:val="27"/>
    <w:qFormat/>
    <w:rsid w:val="00A96ED6"/>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A96ED6"/>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A96ED6"/>
  </w:style>
  <w:style w:type="paragraph" w:customStyle="1" w:styleId="OpiQuot">
    <w:name w:val="Opi_Quot"/>
    <w:basedOn w:val="ECHRParaQuote"/>
    <w:uiPriority w:val="48"/>
    <w:qFormat/>
    <w:rsid w:val="00A96ED6"/>
  </w:style>
  <w:style w:type="paragraph" w:customStyle="1" w:styleId="OpiQuotSub">
    <w:name w:val="Opi_Quot_Sub"/>
    <w:basedOn w:val="JuQuotSub"/>
    <w:uiPriority w:val="49"/>
    <w:qFormat/>
    <w:rsid w:val="00A96ED6"/>
  </w:style>
  <w:style w:type="paragraph" w:customStyle="1" w:styleId="ECHRTitleCentre2">
    <w:name w:val="ECHR_Title_Centre_2"/>
    <w:aliases w:val="Dec_H_Case"/>
    <w:basedOn w:val="Normalny"/>
    <w:next w:val="ECHRPara"/>
    <w:uiPriority w:val="8"/>
    <w:rsid w:val="00A96ED6"/>
    <w:pPr>
      <w:spacing w:after="240"/>
      <w:jc w:val="center"/>
      <w:outlineLvl w:val="0"/>
    </w:pPr>
    <w:rPr>
      <w:rFonts w:asciiTheme="majorHAnsi" w:hAnsiTheme="majorHAnsi"/>
    </w:rPr>
  </w:style>
  <w:style w:type="paragraph" w:customStyle="1" w:styleId="JuTitle">
    <w:name w:val="Ju_Title"/>
    <w:basedOn w:val="Normalny"/>
    <w:next w:val="ECHRPara"/>
    <w:uiPriority w:val="3"/>
    <w:rsid w:val="00A96ED6"/>
    <w:pPr>
      <w:spacing w:before="720" w:after="240"/>
      <w:jc w:val="center"/>
      <w:outlineLvl w:val="0"/>
    </w:pPr>
    <w:rPr>
      <w:rFonts w:asciiTheme="majorHAnsi" w:hAnsiTheme="majorHAnsi"/>
      <w:b/>
      <w:caps/>
    </w:rPr>
  </w:style>
  <w:style w:type="paragraph" w:styleId="Tytu">
    <w:name w:val="Title"/>
    <w:basedOn w:val="Normalny"/>
    <w:next w:val="Normalny"/>
    <w:link w:val="TytuZnak"/>
    <w:uiPriority w:val="99"/>
    <w:semiHidden/>
    <w:qFormat/>
    <w:rsid w:val="00A96ED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A96ED6"/>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Nagwek3"/>
    <w:next w:val="ECHRPara"/>
    <w:qFormat/>
    <w:rsid w:val="00A96ED6"/>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Nagwek4"/>
    <w:next w:val="ECHRPara"/>
    <w:uiPriority w:val="22"/>
    <w:qFormat/>
    <w:rsid w:val="00A96ED6"/>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A96ED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A96ED6"/>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A96ED6"/>
    <w:pPr>
      <w:keepNext/>
      <w:keepLines/>
      <w:spacing w:before="240" w:after="120"/>
      <w:ind w:left="1236"/>
    </w:pPr>
    <w:rPr>
      <w:sz w:val="20"/>
    </w:rPr>
  </w:style>
  <w:style w:type="paragraph" w:customStyle="1" w:styleId="JuQuotSub">
    <w:name w:val="Ju_Quot_Sub"/>
    <w:basedOn w:val="ECHRParaQuote"/>
    <w:uiPriority w:val="15"/>
    <w:qFormat/>
    <w:rsid w:val="00A96ED6"/>
    <w:pPr>
      <w:ind w:left="567"/>
    </w:pPr>
  </w:style>
  <w:style w:type="paragraph" w:customStyle="1" w:styleId="JuInitialled">
    <w:name w:val="Ju_Initialled"/>
    <w:basedOn w:val="Normalny"/>
    <w:uiPriority w:val="31"/>
    <w:qFormat/>
    <w:rsid w:val="00A96ED6"/>
    <w:pPr>
      <w:tabs>
        <w:tab w:val="center" w:pos="6407"/>
      </w:tabs>
      <w:spacing w:before="720"/>
      <w:jc w:val="right"/>
    </w:pPr>
  </w:style>
  <w:style w:type="paragraph" w:customStyle="1" w:styleId="OpiHA">
    <w:name w:val="Opi_H_A"/>
    <w:basedOn w:val="ECHRHeading1"/>
    <w:next w:val="OpiPara"/>
    <w:uiPriority w:val="41"/>
    <w:qFormat/>
    <w:rsid w:val="00A96ED6"/>
    <w:pPr>
      <w:tabs>
        <w:tab w:val="clear" w:pos="357"/>
      </w:tabs>
      <w:outlineLvl w:val="1"/>
    </w:pPr>
    <w:rPr>
      <w:b/>
    </w:rPr>
  </w:style>
  <w:style w:type="paragraph" w:styleId="Nagwek">
    <w:name w:val="header"/>
    <w:basedOn w:val="Normalny"/>
    <w:link w:val="NagwekZnak"/>
    <w:uiPriority w:val="57"/>
    <w:semiHidden/>
    <w:rsid w:val="00A96ED6"/>
    <w:pPr>
      <w:tabs>
        <w:tab w:val="center" w:pos="4536"/>
        <w:tab w:val="right" w:pos="9072"/>
      </w:tabs>
    </w:pPr>
    <w:rPr>
      <w:rFonts w:eastAsiaTheme="minorHAnsi"/>
    </w:rPr>
  </w:style>
  <w:style w:type="character" w:customStyle="1" w:styleId="NagwekZnak">
    <w:name w:val="Nagłówek Znak"/>
    <w:basedOn w:val="Domylnaczcionkaakapitu"/>
    <w:link w:val="Nagwek"/>
    <w:uiPriority w:val="57"/>
    <w:semiHidden/>
    <w:rsid w:val="00A96ED6"/>
    <w:rPr>
      <w:sz w:val="24"/>
    </w:rPr>
  </w:style>
  <w:style w:type="character" w:customStyle="1" w:styleId="Nagwek1Znak">
    <w:name w:val="Nagłówek 1 Znak"/>
    <w:basedOn w:val="Domylnaczcionkaakapitu"/>
    <w:link w:val="Nagwek1"/>
    <w:uiPriority w:val="99"/>
    <w:semiHidden/>
    <w:rsid w:val="00A96ED6"/>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gwek1"/>
    <w:next w:val="ECHRPara"/>
    <w:qFormat/>
    <w:rsid w:val="00A96ED6"/>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qFormat/>
    <w:rsid w:val="00A96ED6"/>
    <w:pPr>
      <w:keepNext/>
      <w:keepLines/>
      <w:tabs>
        <w:tab w:val="left" w:pos="584"/>
      </w:tabs>
      <w:spacing w:before="360" w:after="240"/>
      <w:ind w:left="584" w:hanging="352"/>
    </w:pPr>
    <w:rPr>
      <w:color w:val="auto"/>
      <w:sz w:val="24"/>
    </w:rPr>
  </w:style>
  <w:style w:type="character" w:customStyle="1" w:styleId="Nagwek2Znak">
    <w:name w:val="Nagłówek 2 Znak"/>
    <w:basedOn w:val="Domylnaczcionkaakapitu"/>
    <w:link w:val="Nagwek2"/>
    <w:uiPriority w:val="99"/>
    <w:semiHidden/>
    <w:rsid w:val="00A96ED6"/>
    <w:rPr>
      <w:rFonts w:asciiTheme="majorHAnsi" w:eastAsiaTheme="majorEastAsia" w:hAnsiTheme="majorHAnsi" w:cstheme="majorBidi"/>
      <w:b/>
      <w:bCs/>
      <w:color w:val="4D4D4D"/>
      <w:sz w:val="26"/>
      <w:szCs w:val="26"/>
    </w:rPr>
  </w:style>
  <w:style w:type="character" w:customStyle="1" w:styleId="JUNAMES">
    <w:name w:val="JU_NAMES"/>
    <w:uiPriority w:val="17"/>
    <w:qFormat/>
    <w:rsid w:val="00A96ED6"/>
    <w:rPr>
      <w:caps w:val="0"/>
      <w:smallCaps/>
    </w:rPr>
  </w:style>
  <w:style w:type="paragraph" w:customStyle="1" w:styleId="JuCase">
    <w:name w:val="Ju_Case"/>
    <w:basedOn w:val="Normalny"/>
    <w:next w:val="ECHRPara"/>
    <w:uiPriority w:val="10"/>
    <w:rsid w:val="00A96ED6"/>
    <w:pPr>
      <w:ind w:firstLine="284"/>
    </w:pPr>
    <w:rPr>
      <w:b/>
    </w:rPr>
  </w:style>
  <w:style w:type="character" w:customStyle="1" w:styleId="Nagwek3Znak">
    <w:name w:val="Nagłówek 3 Znak"/>
    <w:basedOn w:val="Domylnaczcionkaakapitu"/>
    <w:link w:val="Nagwek3"/>
    <w:uiPriority w:val="99"/>
    <w:semiHidden/>
    <w:rsid w:val="00A96ED6"/>
    <w:rPr>
      <w:rFonts w:asciiTheme="majorHAnsi" w:eastAsiaTheme="majorEastAsia" w:hAnsiTheme="majorHAnsi" w:cstheme="majorBidi"/>
      <w:b/>
      <w:bCs/>
      <w:color w:val="5F5F5F"/>
      <w:sz w:val="24"/>
    </w:rPr>
  </w:style>
  <w:style w:type="character" w:customStyle="1" w:styleId="Nagwek4Znak">
    <w:name w:val="Nagłówek 4 Znak"/>
    <w:basedOn w:val="Domylnaczcionkaakapitu"/>
    <w:link w:val="Nagwek4"/>
    <w:uiPriority w:val="99"/>
    <w:semiHidden/>
    <w:rsid w:val="00A96ED6"/>
    <w:rPr>
      <w:rFonts w:asciiTheme="majorHAnsi" w:eastAsiaTheme="majorEastAsia" w:hAnsiTheme="majorHAnsi" w:cstheme="majorBidi"/>
      <w:b/>
      <w:bCs/>
      <w:i/>
      <w:iCs/>
      <w:color w:val="777777"/>
      <w:sz w:val="24"/>
    </w:rPr>
  </w:style>
  <w:style w:type="character" w:customStyle="1" w:styleId="Nagwek5Znak">
    <w:name w:val="Nagłówek 5 Znak"/>
    <w:basedOn w:val="Domylnaczcionkaakapitu"/>
    <w:link w:val="Nagwek5"/>
    <w:uiPriority w:val="99"/>
    <w:semiHidden/>
    <w:rsid w:val="00A96ED6"/>
    <w:rPr>
      <w:rFonts w:asciiTheme="majorHAnsi" w:eastAsiaTheme="majorEastAsia" w:hAnsiTheme="majorHAnsi" w:cstheme="majorBidi"/>
      <w:b/>
      <w:bCs/>
      <w:color w:val="808080"/>
    </w:rPr>
  </w:style>
  <w:style w:type="character" w:styleId="Wyrnieniedelikatne">
    <w:name w:val="Subtle Emphasis"/>
    <w:uiPriority w:val="99"/>
    <w:semiHidden/>
    <w:qFormat/>
    <w:rsid w:val="00A96ED6"/>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ny"/>
    <w:next w:val="ECHRPara"/>
    <w:qFormat/>
    <w:rsid w:val="00A96ED6"/>
    <w:pPr>
      <w:keepNext/>
      <w:keepLines/>
      <w:spacing w:before="720" w:after="240"/>
      <w:outlineLvl w:val="0"/>
    </w:pPr>
    <w:rPr>
      <w:rFonts w:asciiTheme="majorHAnsi" w:hAnsiTheme="majorHAnsi"/>
      <w:sz w:val="28"/>
    </w:rPr>
  </w:style>
  <w:style w:type="character" w:styleId="Uwydatnienie">
    <w:name w:val="Emphasis"/>
    <w:uiPriority w:val="99"/>
    <w:semiHidden/>
    <w:qFormat/>
    <w:rsid w:val="00A96ED6"/>
    <w:rPr>
      <w:b/>
      <w:bCs/>
      <w:i/>
      <w:iCs/>
      <w:spacing w:val="10"/>
      <w:bdr w:val="none" w:sz="0" w:space="0" w:color="auto"/>
      <w:shd w:val="clear" w:color="auto" w:fill="auto"/>
    </w:rPr>
  </w:style>
  <w:style w:type="paragraph" w:styleId="Stopka">
    <w:name w:val="footer"/>
    <w:basedOn w:val="Normalny"/>
    <w:link w:val="StopkaZnak"/>
    <w:uiPriority w:val="57"/>
    <w:semiHidden/>
    <w:rsid w:val="00A96ED6"/>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A96ED6"/>
    <w:rPr>
      <w:sz w:val="24"/>
    </w:rPr>
  </w:style>
  <w:style w:type="character" w:styleId="Odwoanieprzypisudolnego">
    <w:name w:val="footnote reference"/>
    <w:basedOn w:val="Domylnaczcionkaakapitu"/>
    <w:rsid w:val="00A96ED6"/>
    <w:rPr>
      <w:vertAlign w:val="superscript"/>
    </w:rPr>
  </w:style>
  <w:style w:type="paragraph" w:styleId="Tekstprzypisudolnego">
    <w:name w:val="footnote text"/>
    <w:basedOn w:val="Normalny"/>
    <w:link w:val="TekstprzypisudolnegoZnak"/>
    <w:rsid w:val="00A96ED6"/>
    <w:rPr>
      <w:sz w:val="20"/>
      <w:szCs w:val="20"/>
    </w:rPr>
  </w:style>
  <w:style w:type="character" w:customStyle="1" w:styleId="TekstprzypisudolnegoZnak">
    <w:name w:val="Tekst przypisu dolnego Znak"/>
    <w:basedOn w:val="Domylnaczcionkaakapitu"/>
    <w:link w:val="Tekstprzypisudolnego"/>
    <w:rsid w:val="00A96ED6"/>
    <w:rPr>
      <w:rFonts w:eastAsiaTheme="minorEastAsia"/>
      <w:sz w:val="20"/>
      <w:szCs w:val="20"/>
    </w:rPr>
  </w:style>
  <w:style w:type="character" w:customStyle="1" w:styleId="Nagwek6Znak">
    <w:name w:val="Nagłówek 6 Znak"/>
    <w:basedOn w:val="Domylnaczcionkaakapitu"/>
    <w:link w:val="Nagwek6"/>
    <w:uiPriority w:val="99"/>
    <w:semiHidden/>
    <w:rsid w:val="00A96ED6"/>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A96ED6"/>
    <w:rPr>
      <w:rFonts w:asciiTheme="majorHAnsi" w:eastAsiaTheme="majorEastAsia" w:hAnsiTheme="majorHAnsi" w:cstheme="majorBidi"/>
      <w:i/>
      <w:iCs/>
      <w:lang w:bidi="en-US"/>
    </w:rPr>
  </w:style>
  <w:style w:type="character" w:customStyle="1" w:styleId="Nagwek8Znak">
    <w:name w:val="Nagłówek 8 Znak"/>
    <w:basedOn w:val="Domylnaczcionkaakapitu"/>
    <w:link w:val="Nagwek8"/>
    <w:uiPriority w:val="99"/>
    <w:semiHidden/>
    <w:rsid w:val="00A96ED6"/>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A96ED6"/>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A96ED6"/>
    <w:rPr>
      <w:color w:val="0072BC" w:themeColor="hyperlink"/>
      <w:u w:val="single"/>
    </w:rPr>
  </w:style>
  <w:style w:type="character" w:styleId="Wyrnienieintensywne">
    <w:name w:val="Intense Emphasis"/>
    <w:uiPriority w:val="99"/>
    <w:semiHidden/>
    <w:qFormat/>
    <w:rsid w:val="00A96ED6"/>
    <w:rPr>
      <w:b/>
      <w:bCs/>
    </w:rPr>
  </w:style>
  <w:style w:type="paragraph" w:styleId="Cytatintensywny">
    <w:name w:val="Intense Quote"/>
    <w:basedOn w:val="Normalny"/>
    <w:next w:val="Normalny"/>
    <w:link w:val="CytatintensywnyZnak"/>
    <w:uiPriority w:val="99"/>
    <w:semiHidden/>
    <w:qFormat/>
    <w:rsid w:val="00A96ED6"/>
    <w:pPr>
      <w:pBdr>
        <w:bottom w:val="single" w:sz="4" w:space="1" w:color="auto"/>
      </w:pBdr>
      <w:spacing w:before="200" w:after="280"/>
      <w:ind w:left="1008" w:right="1152"/>
    </w:pPr>
    <w:rPr>
      <w:b/>
      <w:bCs/>
      <w:i/>
      <w:iCs/>
      <w:sz w:val="22"/>
      <w:lang w:bidi="en-US"/>
    </w:rPr>
  </w:style>
  <w:style w:type="character" w:customStyle="1" w:styleId="CytatintensywnyZnak">
    <w:name w:val="Cytat intensywny Znak"/>
    <w:basedOn w:val="Domylnaczcionkaakapitu"/>
    <w:link w:val="Cytatintensywny"/>
    <w:uiPriority w:val="99"/>
    <w:semiHidden/>
    <w:rsid w:val="00A96ED6"/>
    <w:rPr>
      <w:rFonts w:eastAsiaTheme="minorEastAsia"/>
      <w:b/>
      <w:bCs/>
      <w:i/>
      <w:iCs/>
      <w:lang w:bidi="en-US"/>
    </w:rPr>
  </w:style>
  <w:style w:type="character" w:styleId="Odwoanieintensywne">
    <w:name w:val="Intense Reference"/>
    <w:uiPriority w:val="99"/>
    <w:semiHidden/>
    <w:qFormat/>
    <w:rsid w:val="00A96ED6"/>
    <w:rPr>
      <w:smallCaps/>
      <w:spacing w:val="5"/>
      <w:u w:val="single"/>
    </w:rPr>
  </w:style>
  <w:style w:type="paragraph" w:styleId="Akapitzlist">
    <w:name w:val="List Paragraph"/>
    <w:basedOn w:val="Normalny"/>
    <w:uiPriority w:val="99"/>
    <w:semiHidden/>
    <w:qFormat/>
    <w:rsid w:val="00A96ED6"/>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A96ED6"/>
    <w:pPr>
      <w:spacing w:before="200"/>
      <w:ind w:left="360" w:right="360"/>
    </w:pPr>
    <w:rPr>
      <w:i/>
      <w:iCs/>
      <w:sz w:val="22"/>
      <w:lang w:bidi="en-US"/>
    </w:rPr>
  </w:style>
  <w:style w:type="character" w:customStyle="1" w:styleId="CytatZnak">
    <w:name w:val="Cytat Znak"/>
    <w:basedOn w:val="Domylnaczcionkaakapitu"/>
    <w:link w:val="Cytat"/>
    <w:uiPriority w:val="99"/>
    <w:semiHidden/>
    <w:rsid w:val="00A96ED6"/>
    <w:rPr>
      <w:rFonts w:eastAsiaTheme="minorEastAsia"/>
      <w:i/>
      <w:iCs/>
      <w:lang w:bidi="en-US"/>
    </w:rPr>
  </w:style>
  <w:style w:type="character" w:styleId="Odwoaniedelikatne">
    <w:name w:val="Subtle Reference"/>
    <w:uiPriority w:val="99"/>
    <w:semiHidden/>
    <w:qFormat/>
    <w:rsid w:val="00A96ED6"/>
    <w:rPr>
      <w:smallCaps/>
    </w:rPr>
  </w:style>
  <w:style w:type="table" w:styleId="Tabela-Siatka">
    <w:name w:val="Table Grid"/>
    <w:basedOn w:val="Standardowy"/>
    <w:uiPriority w:val="59"/>
    <w:semiHidden/>
    <w:rsid w:val="00A96ED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A96ED6"/>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A96ED6"/>
    <w:pPr>
      <w:spacing w:after="60"/>
      <w:ind w:left="680" w:right="340" w:hanging="340"/>
    </w:pPr>
  </w:style>
  <w:style w:type="paragraph" w:styleId="Spistreci3">
    <w:name w:val="toc 3"/>
    <w:basedOn w:val="Normalny"/>
    <w:next w:val="Normalny"/>
    <w:autoRedefine/>
    <w:uiPriority w:val="99"/>
    <w:semiHidden/>
    <w:rsid w:val="00A96ED6"/>
    <w:pPr>
      <w:spacing w:after="60"/>
      <w:ind w:left="1020" w:right="340" w:hanging="340"/>
    </w:pPr>
  </w:style>
  <w:style w:type="paragraph" w:styleId="Spistreci4">
    <w:name w:val="toc 4"/>
    <w:basedOn w:val="Normalny"/>
    <w:next w:val="Normalny"/>
    <w:autoRedefine/>
    <w:uiPriority w:val="99"/>
    <w:semiHidden/>
    <w:rsid w:val="00A96ED6"/>
    <w:pPr>
      <w:tabs>
        <w:tab w:val="right" w:leader="dot" w:pos="9017"/>
      </w:tabs>
      <w:spacing w:after="60"/>
      <w:ind w:left="1361" w:right="340" w:hanging="340"/>
    </w:pPr>
  </w:style>
  <w:style w:type="paragraph" w:styleId="Spistreci5">
    <w:name w:val="toc 5"/>
    <w:basedOn w:val="Normalny"/>
    <w:next w:val="Normalny"/>
    <w:autoRedefine/>
    <w:uiPriority w:val="99"/>
    <w:semiHidden/>
    <w:rsid w:val="00A96ED6"/>
    <w:pPr>
      <w:spacing w:after="60"/>
      <w:ind w:left="1701" w:right="340" w:hanging="340"/>
    </w:pPr>
  </w:style>
  <w:style w:type="paragraph" w:styleId="Nagwekspisutreci">
    <w:name w:val="TOC Heading"/>
    <w:basedOn w:val="Nagwek1"/>
    <w:next w:val="Normalny"/>
    <w:uiPriority w:val="99"/>
    <w:semiHidden/>
    <w:qFormat/>
    <w:rsid w:val="00A96ED6"/>
    <w:pPr>
      <w:outlineLvl w:val="9"/>
    </w:pPr>
    <w:rPr>
      <w:color w:val="474747" w:themeColor="accent3" w:themeShade="BF"/>
    </w:rPr>
  </w:style>
  <w:style w:type="table" w:customStyle="1" w:styleId="UGTable">
    <w:name w:val="UG_Table"/>
    <w:basedOn w:val="Standardowy"/>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A96ED6"/>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ny"/>
    <w:link w:val="JuQuotChar"/>
    <w:qFormat/>
    <w:rsid w:val="00A96ED6"/>
    <w:pPr>
      <w:spacing w:before="120" w:after="120"/>
      <w:ind w:left="425" w:firstLine="142"/>
    </w:pPr>
    <w:rPr>
      <w:sz w:val="20"/>
    </w:rPr>
  </w:style>
  <w:style w:type="paragraph" w:customStyle="1" w:styleId="ECHRPara">
    <w:name w:val="ECHR_Para"/>
    <w:aliases w:val="Ju_Para,Left,First line:  0 cm"/>
    <w:basedOn w:val="Normalny"/>
    <w:link w:val="JuParaChar"/>
    <w:uiPriority w:val="12"/>
    <w:qFormat/>
    <w:rsid w:val="00A96ED6"/>
    <w:pPr>
      <w:ind w:firstLine="284"/>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A96ED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ny"/>
    <w:uiPriority w:val="11"/>
    <w:qFormat/>
    <w:rsid w:val="00A96ED6"/>
    <w:pPr>
      <w:tabs>
        <w:tab w:val="left" w:pos="567"/>
        <w:tab w:val="left" w:pos="1134"/>
      </w:tabs>
      <w:jc w:val="left"/>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ny"/>
    <w:uiPriority w:val="28"/>
    <w:qFormat/>
    <w:rsid w:val="00A96ED6"/>
    <w:pPr>
      <w:ind w:left="340" w:hanging="340"/>
    </w:pPr>
  </w:style>
  <w:style w:type="paragraph" w:customStyle="1" w:styleId="JuSigned">
    <w:name w:val="Ju_Signed"/>
    <w:basedOn w:val="Normalny"/>
    <w:next w:val="JuParaLast"/>
    <w:uiPriority w:val="32"/>
    <w:qFormat/>
    <w:rsid w:val="00A96ED6"/>
    <w:pPr>
      <w:tabs>
        <w:tab w:val="center" w:pos="851"/>
        <w:tab w:val="center" w:pos="6407"/>
      </w:tabs>
      <w:spacing w:before="720"/>
      <w:jc w:val="left"/>
    </w:pPr>
  </w:style>
  <w:style w:type="paragraph" w:customStyle="1" w:styleId="JuParaLast">
    <w:name w:val="Ju_Para_Last"/>
    <w:basedOn w:val="Normalny"/>
    <w:next w:val="ECHRPara"/>
    <w:uiPriority w:val="30"/>
    <w:qFormat/>
    <w:rsid w:val="00A96ED6"/>
    <w:pPr>
      <w:keepNext/>
      <w:keepLines/>
      <w:spacing w:before="240"/>
      <w:ind w:firstLine="284"/>
    </w:pPr>
  </w:style>
  <w:style w:type="paragraph" w:customStyle="1" w:styleId="JuCourt">
    <w:name w:val="Ju_Court"/>
    <w:basedOn w:val="Normalny"/>
    <w:next w:val="Normalny"/>
    <w:uiPriority w:val="16"/>
    <w:qFormat/>
    <w:rsid w:val="00A96ED6"/>
    <w:pPr>
      <w:tabs>
        <w:tab w:val="left" w:pos="907"/>
        <w:tab w:val="left" w:pos="1701"/>
        <w:tab w:val="right" w:pos="7371"/>
      </w:tabs>
      <w:spacing w:before="240"/>
      <w:ind w:left="397" w:hanging="397"/>
      <w:jc w:val="left"/>
    </w:pPr>
    <w:rPr>
      <w:lang w:bidi="en-US"/>
    </w:rPr>
  </w:style>
  <w:style w:type="character" w:styleId="Numerstrony">
    <w:name w:val="page number"/>
    <w:uiPriority w:val="99"/>
    <w:semiHidden/>
    <w:rsid w:val="00014566"/>
    <w:rPr>
      <w:sz w:val="18"/>
    </w:rPr>
  </w:style>
  <w:style w:type="paragraph" w:customStyle="1" w:styleId="JuLista">
    <w:name w:val="Ju_List_a"/>
    <w:basedOn w:val="JuList"/>
    <w:uiPriority w:val="28"/>
    <w:qFormat/>
    <w:rsid w:val="00A96ED6"/>
    <w:pPr>
      <w:ind w:left="346" w:firstLine="0"/>
    </w:pPr>
  </w:style>
  <w:style w:type="paragraph" w:customStyle="1" w:styleId="JuListi">
    <w:name w:val="Ju_List_i"/>
    <w:basedOn w:val="Normalny"/>
    <w:next w:val="JuLista"/>
    <w:uiPriority w:val="28"/>
    <w:qFormat/>
    <w:rsid w:val="00A96ED6"/>
    <w:pPr>
      <w:ind w:left="794"/>
    </w:pPr>
  </w:style>
  <w:style w:type="character" w:styleId="Odwoaniedokomentarza">
    <w:name w:val="annotation reference"/>
    <w:uiPriority w:val="99"/>
    <w:semiHidden/>
    <w:rsid w:val="00014566"/>
    <w:rPr>
      <w:sz w:val="16"/>
    </w:rPr>
  </w:style>
  <w:style w:type="paragraph" w:styleId="Tekstkomentarza">
    <w:name w:val="annotation text"/>
    <w:basedOn w:val="Normalny"/>
    <w:link w:val="TekstkomentarzaZnak"/>
    <w:semiHidden/>
    <w:rsid w:val="00014566"/>
    <w:rPr>
      <w:sz w:val="20"/>
    </w:rPr>
  </w:style>
  <w:style w:type="character" w:customStyle="1" w:styleId="TekstkomentarzaZnak">
    <w:name w:val="Tekst komentarza Znak"/>
    <w:basedOn w:val="Domylnaczcionkaakapitu"/>
    <w:link w:val="Tekstkomentarza"/>
    <w:semiHidden/>
    <w:rsid w:val="00014566"/>
    <w:rPr>
      <w:rFonts w:eastAsiaTheme="minorEastAsia"/>
      <w:sz w:val="20"/>
    </w:rPr>
  </w:style>
  <w:style w:type="paragraph" w:styleId="Tematkomentarza">
    <w:name w:val="annotation subject"/>
    <w:basedOn w:val="Tekstkomentarza"/>
    <w:next w:val="Tekstkomentarza"/>
    <w:link w:val="TematkomentarzaZnak"/>
    <w:uiPriority w:val="99"/>
    <w:semiHidden/>
    <w:rsid w:val="00014566"/>
    <w:rPr>
      <w:b/>
      <w:bCs/>
    </w:rPr>
  </w:style>
  <w:style w:type="character" w:customStyle="1" w:styleId="TematkomentarzaZnak">
    <w:name w:val="Temat komentarza Znak"/>
    <w:basedOn w:val="TekstkomentarzaZnak"/>
    <w:link w:val="Tematkomentarza"/>
    <w:uiPriority w:val="99"/>
    <w:semiHidden/>
    <w:rsid w:val="00014566"/>
    <w:rPr>
      <w:rFonts w:eastAsiaTheme="minorEastAsia"/>
      <w:b/>
      <w:bCs/>
      <w:sz w:val="20"/>
    </w:rPr>
  </w:style>
  <w:style w:type="character" w:styleId="Odwoanieprzypisukocowego">
    <w:name w:val="endnote reference"/>
    <w:uiPriority w:val="99"/>
    <w:semiHidden/>
    <w:rsid w:val="00014566"/>
    <w:rPr>
      <w:vertAlign w:val="superscript"/>
    </w:rPr>
  </w:style>
  <w:style w:type="paragraph" w:styleId="Tekstprzypisukocowego">
    <w:name w:val="endnote text"/>
    <w:basedOn w:val="Normalny"/>
    <w:link w:val="TekstprzypisukocowegoZnak"/>
    <w:uiPriority w:val="99"/>
    <w:semiHidden/>
    <w:rsid w:val="00014566"/>
    <w:rPr>
      <w:sz w:val="20"/>
    </w:rPr>
  </w:style>
  <w:style w:type="character" w:customStyle="1" w:styleId="TekstprzypisukocowegoZnak">
    <w:name w:val="Tekst przypisu końcowego Znak"/>
    <w:basedOn w:val="Domylnaczcionkaakapitu"/>
    <w:link w:val="Tekstprzypisukocowego"/>
    <w:uiPriority w:val="99"/>
    <w:semiHidden/>
    <w:rsid w:val="00014566"/>
    <w:rPr>
      <w:rFonts w:eastAsiaTheme="minorEastAsia"/>
      <w:sz w:val="20"/>
    </w:rPr>
  </w:style>
  <w:style w:type="character" w:styleId="UyteHipercze">
    <w:name w:val="FollowedHyperlink"/>
    <w:uiPriority w:val="99"/>
    <w:semiHidden/>
    <w:rsid w:val="00014566"/>
    <w:rPr>
      <w:color w:val="800080"/>
      <w:u w:val="single"/>
    </w:rPr>
  </w:style>
  <w:style w:type="paragraph" w:styleId="Mapadokumentu">
    <w:name w:val="Document Map"/>
    <w:basedOn w:val="Normalny"/>
    <w:link w:val="MapadokumentuZnak"/>
    <w:uiPriority w:val="99"/>
    <w:semiHidden/>
    <w:rsid w:val="00014566"/>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014566"/>
    <w:rPr>
      <w:rFonts w:ascii="Tahoma" w:eastAsiaTheme="minorEastAsia" w:hAnsi="Tahoma" w:cs="Tahoma"/>
      <w:sz w:val="20"/>
      <w:shd w:val="clear" w:color="auto" w:fill="000080"/>
    </w:rPr>
  </w:style>
  <w:style w:type="character" w:customStyle="1" w:styleId="JuNames0">
    <w:name w:val="Ju_Names"/>
    <w:rsid w:val="00014566"/>
    <w:rPr>
      <w:smallCaps/>
    </w:rPr>
  </w:style>
  <w:style w:type="paragraph" w:styleId="Listapunktowana">
    <w:name w:val="List Bullet"/>
    <w:basedOn w:val="Normalny"/>
    <w:uiPriority w:val="99"/>
    <w:semiHidden/>
    <w:rsid w:val="00014566"/>
    <w:pPr>
      <w:numPr>
        <w:numId w:val="1"/>
      </w:numPr>
    </w:pPr>
  </w:style>
  <w:style w:type="character" w:customStyle="1" w:styleId="JuITMark">
    <w:name w:val="Ju_ITMark"/>
    <w:basedOn w:val="Domylnaczcionkaakapitu"/>
    <w:uiPriority w:val="38"/>
    <w:qFormat/>
    <w:rsid w:val="00A96ED6"/>
    <w:rPr>
      <w:vanish w:val="0"/>
      <w:color w:val="auto"/>
      <w:sz w:val="14"/>
    </w:rPr>
  </w:style>
  <w:style w:type="paragraph" w:styleId="Podtytu">
    <w:name w:val="Subtitle"/>
    <w:basedOn w:val="Normalny"/>
    <w:next w:val="Normalny"/>
    <w:link w:val="PodtytuZnak"/>
    <w:uiPriority w:val="99"/>
    <w:semiHidden/>
    <w:qFormat/>
    <w:rsid w:val="00A96ED6"/>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A96ED6"/>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rsid w:val="00014566"/>
    <w:pPr>
      <w:numPr>
        <w:numId w:val="2"/>
      </w:numPr>
    </w:pPr>
  </w:style>
  <w:style w:type="numbering" w:styleId="1ai">
    <w:name w:val="Outline List 1"/>
    <w:basedOn w:val="Bezlisty"/>
    <w:uiPriority w:val="99"/>
    <w:semiHidden/>
    <w:rsid w:val="00014566"/>
    <w:pPr>
      <w:numPr>
        <w:numId w:val="3"/>
      </w:numPr>
    </w:pPr>
  </w:style>
  <w:style w:type="numbering" w:styleId="Artykusekcja">
    <w:name w:val="Outline List 3"/>
    <w:basedOn w:val="Bezlisty"/>
    <w:uiPriority w:val="99"/>
    <w:semiHidden/>
    <w:rsid w:val="00014566"/>
    <w:pPr>
      <w:numPr>
        <w:numId w:val="4"/>
      </w:numPr>
    </w:pPr>
  </w:style>
  <w:style w:type="paragraph" w:styleId="Bibliografia">
    <w:name w:val="Bibliography"/>
    <w:basedOn w:val="Normalny"/>
    <w:next w:val="Normalny"/>
    <w:uiPriority w:val="99"/>
    <w:semiHidden/>
    <w:unhideWhenUsed/>
    <w:rsid w:val="00014566"/>
  </w:style>
  <w:style w:type="paragraph" w:styleId="Tekstblokowy">
    <w:name w:val="Block Text"/>
    <w:basedOn w:val="Normalny"/>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014566"/>
    <w:pPr>
      <w:spacing w:after="120"/>
    </w:pPr>
  </w:style>
  <w:style w:type="character" w:customStyle="1" w:styleId="TekstpodstawowyZnak">
    <w:name w:val="Tekst podstawowy Znak"/>
    <w:basedOn w:val="Domylnaczcionkaakapitu"/>
    <w:link w:val="Tekstpodstawowy"/>
    <w:uiPriority w:val="99"/>
    <w:semiHidden/>
    <w:rsid w:val="00014566"/>
    <w:rPr>
      <w:rFonts w:eastAsiaTheme="minorEastAsia"/>
      <w:sz w:val="24"/>
    </w:rPr>
  </w:style>
  <w:style w:type="paragraph" w:styleId="Tekstpodstawowy2">
    <w:name w:val="Body Text 2"/>
    <w:basedOn w:val="Normalny"/>
    <w:link w:val="Tekstpodstawowy2Znak"/>
    <w:uiPriority w:val="99"/>
    <w:semiHidden/>
    <w:rsid w:val="00014566"/>
    <w:pPr>
      <w:spacing w:after="120" w:line="480" w:lineRule="auto"/>
    </w:pPr>
  </w:style>
  <w:style w:type="character" w:customStyle="1" w:styleId="Tekstpodstawowy2Znak">
    <w:name w:val="Tekst podstawowy 2 Znak"/>
    <w:basedOn w:val="Domylnaczcionkaakapitu"/>
    <w:link w:val="Tekstpodstawowy2"/>
    <w:uiPriority w:val="99"/>
    <w:semiHidden/>
    <w:rsid w:val="00014566"/>
    <w:rPr>
      <w:rFonts w:eastAsiaTheme="minorEastAsia"/>
      <w:sz w:val="24"/>
    </w:rPr>
  </w:style>
  <w:style w:type="paragraph" w:styleId="Tekstpodstawowy3">
    <w:name w:val="Body Text 3"/>
    <w:basedOn w:val="Normalny"/>
    <w:link w:val="Tekstpodstawowy3Znak"/>
    <w:uiPriority w:val="99"/>
    <w:semiHidden/>
    <w:rsid w:val="00014566"/>
    <w:pPr>
      <w:spacing w:after="120"/>
    </w:pPr>
    <w:rPr>
      <w:sz w:val="16"/>
      <w:szCs w:val="16"/>
    </w:rPr>
  </w:style>
  <w:style w:type="character" w:customStyle="1" w:styleId="Tekstpodstawowy3Znak">
    <w:name w:val="Tekst podstawowy 3 Znak"/>
    <w:basedOn w:val="Domylnaczcionkaakapitu"/>
    <w:link w:val="Tekstpodstawowy3"/>
    <w:uiPriority w:val="99"/>
    <w:semiHidden/>
    <w:rsid w:val="00014566"/>
    <w:rPr>
      <w:rFonts w:eastAsiaTheme="minorEastAsia"/>
      <w:sz w:val="16"/>
      <w:szCs w:val="16"/>
    </w:rPr>
  </w:style>
  <w:style w:type="paragraph" w:styleId="Tekstpodstawowyzwciciem">
    <w:name w:val="Body Text First Indent"/>
    <w:basedOn w:val="Tekstpodstawowy"/>
    <w:link w:val="TekstpodstawowyzwciciemZnak"/>
    <w:uiPriority w:val="99"/>
    <w:semiHidden/>
    <w:rsid w:val="00014566"/>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14566"/>
    <w:rPr>
      <w:rFonts w:eastAsiaTheme="minorEastAsia"/>
      <w:sz w:val="24"/>
    </w:rPr>
  </w:style>
  <w:style w:type="paragraph" w:styleId="Tekstpodstawowywcity">
    <w:name w:val="Body Text Indent"/>
    <w:basedOn w:val="Normalny"/>
    <w:link w:val="TekstpodstawowywcityZnak"/>
    <w:uiPriority w:val="99"/>
    <w:semiHidden/>
    <w:rsid w:val="00014566"/>
    <w:pPr>
      <w:spacing w:after="120"/>
      <w:ind w:left="283"/>
    </w:pPr>
  </w:style>
  <w:style w:type="character" w:customStyle="1" w:styleId="TekstpodstawowywcityZnak">
    <w:name w:val="Tekst podstawowy wcięty Znak"/>
    <w:basedOn w:val="Domylnaczcionkaakapitu"/>
    <w:link w:val="Tekstpodstawowywcity"/>
    <w:uiPriority w:val="99"/>
    <w:semiHidden/>
    <w:rsid w:val="00014566"/>
    <w:rPr>
      <w:rFonts w:eastAsiaTheme="minorEastAsia"/>
      <w:sz w:val="24"/>
    </w:rPr>
  </w:style>
  <w:style w:type="paragraph" w:styleId="Tekstpodstawowyzwciciem2">
    <w:name w:val="Body Text First Indent 2"/>
    <w:basedOn w:val="Tekstpodstawowywcity"/>
    <w:link w:val="Tekstpodstawowyzwciciem2Znak"/>
    <w:uiPriority w:val="99"/>
    <w:semiHidden/>
    <w:rsid w:val="00014566"/>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014566"/>
    <w:rPr>
      <w:rFonts w:eastAsiaTheme="minorEastAsia"/>
      <w:sz w:val="24"/>
    </w:rPr>
  </w:style>
  <w:style w:type="paragraph" w:styleId="Tekstpodstawowywcity2">
    <w:name w:val="Body Text Indent 2"/>
    <w:basedOn w:val="Normalny"/>
    <w:link w:val="Tekstpodstawowywcity2Znak"/>
    <w:uiPriority w:val="99"/>
    <w:semiHidden/>
    <w:rsid w:val="0001456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14566"/>
    <w:rPr>
      <w:rFonts w:eastAsiaTheme="minorEastAsia"/>
      <w:sz w:val="24"/>
    </w:rPr>
  </w:style>
  <w:style w:type="paragraph" w:styleId="Tekstpodstawowywcity3">
    <w:name w:val="Body Text Indent 3"/>
    <w:basedOn w:val="Normalny"/>
    <w:link w:val="Tekstpodstawowywcity3Znak"/>
    <w:uiPriority w:val="99"/>
    <w:semiHidden/>
    <w:rsid w:val="0001456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14566"/>
    <w:rPr>
      <w:rFonts w:eastAsiaTheme="minorEastAsia"/>
      <w:sz w:val="16"/>
      <w:szCs w:val="16"/>
    </w:rPr>
  </w:style>
  <w:style w:type="paragraph" w:styleId="Legenda">
    <w:name w:val="caption"/>
    <w:basedOn w:val="Normalny"/>
    <w:next w:val="Normalny"/>
    <w:uiPriority w:val="99"/>
    <w:semiHidden/>
    <w:qFormat/>
    <w:rsid w:val="00014566"/>
    <w:pPr>
      <w:spacing w:after="200"/>
    </w:pPr>
    <w:rPr>
      <w:b/>
      <w:bCs/>
      <w:color w:val="0072BC" w:themeColor="accent1"/>
      <w:sz w:val="18"/>
      <w:szCs w:val="18"/>
    </w:rPr>
  </w:style>
  <w:style w:type="paragraph" w:styleId="Zwrotpoegnalny">
    <w:name w:val="Closing"/>
    <w:basedOn w:val="Normalny"/>
    <w:link w:val="ZwrotpoegnalnyZnak"/>
    <w:uiPriority w:val="99"/>
    <w:semiHidden/>
    <w:rsid w:val="00014566"/>
    <w:pPr>
      <w:ind w:left="4252"/>
    </w:pPr>
  </w:style>
  <w:style w:type="character" w:customStyle="1" w:styleId="ZwrotpoegnalnyZnak">
    <w:name w:val="Zwrot pożegnalny Znak"/>
    <w:basedOn w:val="Domylnaczcionkaakapitu"/>
    <w:link w:val="Zwrotpoegnalny"/>
    <w:uiPriority w:val="99"/>
    <w:semiHidden/>
    <w:rsid w:val="00014566"/>
    <w:rPr>
      <w:rFonts w:eastAsiaTheme="minorEastAsia"/>
      <w:sz w:val="24"/>
    </w:rPr>
  </w:style>
  <w:style w:type="table" w:styleId="Kolorowasiatka">
    <w:name w:val="Colorful Grid"/>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014566"/>
  </w:style>
  <w:style w:type="character" w:customStyle="1" w:styleId="DataZnak">
    <w:name w:val="Data Znak"/>
    <w:basedOn w:val="Domylnaczcionkaakapitu"/>
    <w:link w:val="Data"/>
    <w:uiPriority w:val="99"/>
    <w:semiHidden/>
    <w:rsid w:val="00014566"/>
    <w:rPr>
      <w:rFonts w:eastAsiaTheme="minorEastAsia"/>
      <w:sz w:val="24"/>
    </w:rPr>
  </w:style>
  <w:style w:type="paragraph" w:styleId="Podpise-mail">
    <w:name w:val="E-mail Signature"/>
    <w:basedOn w:val="Normalny"/>
    <w:link w:val="Podpise-mailZnak"/>
    <w:uiPriority w:val="99"/>
    <w:semiHidden/>
    <w:rsid w:val="00014566"/>
  </w:style>
  <w:style w:type="character" w:customStyle="1" w:styleId="Podpise-mailZnak">
    <w:name w:val="Podpis e-mail Znak"/>
    <w:basedOn w:val="Domylnaczcionkaakapitu"/>
    <w:link w:val="Podpise-mail"/>
    <w:uiPriority w:val="99"/>
    <w:semiHidden/>
    <w:rsid w:val="00014566"/>
    <w:rPr>
      <w:rFonts w:eastAsiaTheme="minorEastAsia"/>
      <w:sz w:val="24"/>
    </w:rPr>
  </w:style>
  <w:style w:type="paragraph" w:styleId="Adresnakopercie">
    <w:name w:val="envelope address"/>
    <w:basedOn w:val="Normalny"/>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014566"/>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014566"/>
  </w:style>
  <w:style w:type="paragraph" w:styleId="HTML-adres">
    <w:name w:val="HTML Address"/>
    <w:basedOn w:val="Normalny"/>
    <w:link w:val="HTML-adresZnak"/>
    <w:uiPriority w:val="99"/>
    <w:semiHidden/>
    <w:rsid w:val="00014566"/>
    <w:rPr>
      <w:i/>
      <w:iCs/>
    </w:rPr>
  </w:style>
  <w:style w:type="character" w:customStyle="1" w:styleId="HTML-adresZnak">
    <w:name w:val="HTML - adres Znak"/>
    <w:basedOn w:val="Domylnaczcionkaakapitu"/>
    <w:link w:val="HTML-adres"/>
    <w:uiPriority w:val="99"/>
    <w:semiHidden/>
    <w:rsid w:val="00014566"/>
    <w:rPr>
      <w:rFonts w:eastAsiaTheme="minorEastAsia"/>
      <w:i/>
      <w:iCs/>
      <w:sz w:val="24"/>
    </w:rPr>
  </w:style>
  <w:style w:type="character" w:styleId="HTML-cytat">
    <w:name w:val="HTML Cite"/>
    <w:basedOn w:val="Domylnaczcionkaakapitu"/>
    <w:uiPriority w:val="99"/>
    <w:semiHidden/>
    <w:rsid w:val="00014566"/>
    <w:rPr>
      <w:i/>
      <w:iCs/>
    </w:rPr>
  </w:style>
  <w:style w:type="character" w:styleId="HTML-kod">
    <w:name w:val="HTML Code"/>
    <w:basedOn w:val="Domylnaczcionkaakapitu"/>
    <w:uiPriority w:val="99"/>
    <w:semiHidden/>
    <w:rsid w:val="00014566"/>
    <w:rPr>
      <w:rFonts w:ascii="Consolas" w:hAnsi="Consolas" w:cs="Consolas"/>
      <w:sz w:val="20"/>
      <w:szCs w:val="20"/>
    </w:rPr>
  </w:style>
  <w:style w:type="character" w:styleId="HTML-definicja">
    <w:name w:val="HTML Definition"/>
    <w:basedOn w:val="Domylnaczcionkaakapitu"/>
    <w:uiPriority w:val="99"/>
    <w:semiHidden/>
    <w:rsid w:val="00014566"/>
    <w:rPr>
      <w:i/>
      <w:iCs/>
    </w:rPr>
  </w:style>
  <w:style w:type="character" w:styleId="HTML-klawiatura">
    <w:name w:val="HTML Keyboard"/>
    <w:basedOn w:val="Domylnaczcionkaakapitu"/>
    <w:uiPriority w:val="99"/>
    <w:semiHidden/>
    <w:rsid w:val="00014566"/>
    <w:rPr>
      <w:rFonts w:ascii="Consolas" w:hAnsi="Consolas" w:cs="Consolas"/>
      <w:sz w:val="20"/>
      <w:szCs w:val="20"/>
    </w:rPr>
  </w:style>
  <w:style w:type="paragraph" w:styleId="HTML-wstpniesformatowany">
    <w:name w:val="HTML Preformatted"/>
    <w:basedOn w:val="Normalny"/>
    <w:link w:val="HTML-wstpniesformatowanyZnak"/>
    <w:uiPriority w:val="99"/>
    <w:semiHidden/>
    <w:rsid w:val="00014566"/>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014566"/>
    <w:rPr>
      <w:rFonts w:ascii="Consolas" w:eastAsiaTheme="minorEastAsia" w:hAnsi="Consolas" w:cs="Consolas"/>
      <w:sz w:val="20"/>
      <w:szCs w:val="20"/>
    </w:rPr>
  </w:style>
  <w:style w:type="character" w:styleId="HTML-przykad">
    <w:name w:val="HTML Sample"/>
    <w:basedOn w:val="Domylnaczcionkaakapitu"/>
    <w:uiPriority w:val="99"/>
    <w:semiHidden/>
    <w:rsid w:val="00014566"/>
    <w:rPr>
      <w:rFonts w:ascii="Consolas" w:hAnsi="Consolas" w:cs="Consolas"/>
      <w:sz w:val="24"/>
      <w:szCs w:val="24"/>
    </w:rPr>
  </w:style>
  <w:style w:type="character" w:styleId="HTML-staaszeroko">
    <w:name w:val="HTML Typewriter"/>
    <w:basedOn w:val="Domylnaczcionkaakapitu"/>
    <w:uiPriority w:val="99"/>
    <w:semiHidden/>
    <w:rsid w:val="00014566"/>
    <w:rPr>
      <w:rFonts w:ascii="Consolas" w:hAnsi="Consolas" w:cs="Consolas"/>
      <w:sz w:val="20"/>
      <w:szCs w:val="20"/>
    </w:rPr>
  </w:style>
  <w:style w:type="character" w:styleId="HTML-zmienna">
    <w:name w:val="HTML Variable"/>
    <w:basedOn w:val="Domylnaczcionkaakapitu"/>
    <w:uiPriority w:val="99"/>
    <w:semiHidden/>
    <w:rsid w:val="00014566"/>
    <w:rPr>
      <w:i/>
      <w:iCs/>
    </w:rPr>
  </w:style>
  <w:style w:type="paragraph" w:styleId="Indeks1">
    <w:name w:val="index 1"/>
    <w:basedOn w:val="Normalny"/>
    <w:next w:val="Normalny"/>
    <w:autoRedefine/>
    <w:uiPriority w:val="99"/>
    <w:semiHidden/>
    <w:rsid w:val="00014566"/>
    <w:pPr>
      <w:ind w:left="240" w:hanging="240"/>
    </w:pPr>
  </w:style>
  <w:style w:type="paragraph" w:styleId="Indeks2">
    <w:name w:val="index 2"/>
    <w:basedOn w:val="Normalny"/>
    <w:next w:val="Normalny"/>
    <w:autoRedefine/>
    <w:uiPriority w:val="99"/>
    <w:semiHidden/>
    <w:rsid w:val="00014566"/>
    <w:pPr>
      <w:ind w:left="480" w:hanging="240"/>
    </w:pPr>
  </w:style>
  <w:style w:type="paragraph" w:styleId="Indeks3">
    <w:name w:val="index 3"/>
    <w:basedOn w:val="Normalny"/>
    <w:next w:val="Normalny"/>
    <w:autoRedefine/>
    <w:uiPriority w:val="99"/>
    <w:semiHidden/>
    <w:rsid w:val="00014566"/>
    <w:pPr>
      <w:ind w:left="720" w:hanging="240"/>
    </w:pPr>
  </w:style>
  <w:style w:type="paragraph" w:styleId="Indeks4">
    <w:name w:val="index 4"/>
    <w:basedOn w:val="Normalny"/>
    <w:next w:val="Normalny"/>
    <w:autoRedefine/>
    <w:uiPriority w:val="99"/>
    <w:semiHidden/>
    <w:rsid w:val="00014566"/>
    <w:pPr>
      <w:ind w:left="960" w:hanging="240"/>
    </w:pPr>
  </w:style>
  <w:style w:type="paragraph" w:styleId="Indeks5">
    <w:name w:val="index 5"/>
    <w:basedOn w:val="Normalny"/>
    <w:next w:val="Normalny"/>
    <w:autoRedefine/>
    <w:uiPriority w:val="99"/>
    <w:semiHidden/>
    <w:rsid w:val="00014566"/>
    <w:pPr>
      <w:ind w:left="1200" w:hanging="240"/>
    </w:pPr>
  </w:style>
  <w:style w:type="paragraph" w:styleId="Indeks6">
    <w:name w:val="index 6"/>
    <w:basedOn w:val="Normalny"/>
    <w:next w:val="Normalny"/>
    <w:autoRedefine/>
    <w:uiPriority w:val="99"/>
    <w:semiHidden/>
    <w:rsid w:val="00014566"/>
    <w:pPr>
      <w:ind w:left="1440" w:hanging="240"/>
    </w:pPr>
  </w:style>
  <w:style w:type="paragraph" w:styleId="Indeks7">
    <w:name w:val="index 7"/>
    <w:basedOn w:val="Normalny"/>
    <w:next w:val="Normalny"/>
    <w:autoRedefine/>
    <w:uiPriority w:val="99"/>
    <w:semiHidden/>
    <w:rsid w:val="00014566"/>
    <w:pPr>
      <w:ind w:left="1680" w:hanging="240"/>
    </w:pPr>
  </w:style>
  <w:style w:type="paragraph" w:styleId="Indeks8">
    <w:name w:val="index 8"/>
    <w:basedOn w:val="Normalny"/>
    <w:next w:val="Normalny"/>
    <w:autoRedefine/>
    <w:uiPriority w:val="99"/>
    <w:semiHidden/>
    <w:rsid w:val="00014566"/>
    <w:pPr>
      <w:ind w:left="1920" w:hanging="240"/>
    </w:pPr>
  </w:style>
  <w:style w:type="paragraph" w:styleId="Indeks9">
    <w:name w:val="index 9"/>
    <w:basedOn w:val="Normalny"/>
    <w:next w:val="Normalny"/>
    <w:autoRedefine/>
    <w:uiPriority w:val="99"/>
    <w:semiHidden/>
    <w:rsid w:val="00014566"/>
    <w:pPr>
      <w:ind w:left="2160" w:hanging="240"/>
    </w:pPr>
  </w:style>
  <w:style w:type="paragraph" w:styleId="Nagwekindeksu">
    <w:name w:val="index heading"/>
    <w:basedOn w:val="Normalny"/>
    <w:next w:val="Indeks1"/>
    <w:uiPriority w:val="99"/>
    <w:semiHidden/>
    <w:rsid w:val="00014566"/>
    <w:rPr>
      <w:rFonts w:asciiTheme="majorHAnsi" w:eastAsiaTheme="majorEastAsia" w:hAnsiTheme="majorHAnsi" w:cstheme="majorBidi"/>
      <w:b/>
      <w:bCs/>
    </w:rPr>
  </w:style>
  <w:style w:type="table" w:styleId="Jasnasiatka">
    <w:name w:val="Light Grid"/>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014566"/>
  </w:style>
  <w:style w:type="paragraph" w:styleId="Lista">
    <w:name w:val="List"/>
    <w:basedOn w:val="Normalny"/>
    <w:uiPriority w:val="99"/>
    <w:semiHidden/>
    <w:rsid w:val="00014566"/>
    <w:pPr>
      <w:ind w:left="283" w:hanging="283"/>
      <w:contextualSpacing/>
    </w:pPr>
  </w:style>
  <w:style w:type="paragraph" w:styleId="Lista2">
    <w:name w:val="List 2"/>
    <w:basedOn w:val="Normalny"/>
    <w:uiPriority w:val="99"/>
    <w:semiHidden/>
    <w:rsid w:val="00014566"/>
    <w:pPr>
      <w:ind w:left="566" w:hanging="283"/>
      <w:contextualSpacing/>
    </w:pPr>
  </w:style>
  <w:style w:type="paragraph" w:styleId="Lista3">
    <w:name w:val="List 3"/>
    <w:basedOn w:val="Normalny"/>
    <w:uiPriority w:val="99"/>
    <w:semiHidden/>
    <w:rsid w:val="00014566"/>
    <w:pPr>
      <w:ind w:left="849" w:hanging="283"/>
      <w:contextualSpacing/>
    </w:pPr>
  </w:style>
  <w:style w:type="paragraph" w:styleId="Lista4">
    <w:name w:val="List 4"/>
    <w:basedOn w:val="Normalny"/>
    <w:uiPriority w:val="99"/>
    <w:semiHidden/>
    <w:rsid w:val="00014566"/>
    <w:pPr>
      <w:ind w:left="1132" w:hanging="283"/>
      <w:contextualSpacing/>
    </w:pPr>
  </w:style>
  <w:style w:type="paragraph" w:styleId="Lista5">
    <w:name w:val="List 5"/>
    <w:basedOn w:val="Normalny"/>
    <w:uiPriority w:val="99"/>
    <w:semiHidden/>
    <w:rsid w:val="00014566"/>
    <w:pPr>
      <w:ind w:left="1415" w:hanging="283"/>
      <w:contextualSpacing/>
    </w:pPr>
  </w:style>
  <w:style w:type="paragraph" w:styleId="Listapunktowana2">
    <w:name w:val="List Bullet 2"/>
    <w:basedOn w:val="Normalny"/>
    <w:uiPriority w:val="99"/>
    <w:semiHidden/>
    <w:rsid w:val="00014566"/>
    <w:pPr>
      <w:numPr>
        <w:numId w:val="5"/>
      </w:numPr>
      <w:contextualSpacing/>
    </w:pPr>
  </w:style>
  <w:style w:type="paragraph" w:styleId="Listapunktowana3">
    <w:name w:val="List Bullet 3"/>
    <w:basedOn w:val="Normalny"/>
    <w:uiPriority w:val="99"/>
    <w:semiHidden/>
    <w:rsid w:val="00014566"/>
    <w:pPr>
      <w:numPr>
        <w:numId w:val="6"/>
      </w:numPr>
      <w:contextualSpacing/>
    </w:pPr>
  </w:style>
  <w:style w:type="paragraph" w:styleId="Listapunktowana4">
    <w:name w:val="List Bullet 4"/>
    <w:basedOn w:val="Normalny"/>
    <w:uiPriority w:val="99"/>
    <w:semiHidden/>
    <w:rsid w:val="00014566"/>
    <w:pPr>
      <w:numPr>
        <w:numId w:val="7"/>
      </w:numPr>
      <w:contextualSpacing/>
    </w:pPr>
  </w:style>
  <w:style w:type="paragraph" w:styleId="Listapunktowana5">
    <w:name w:val="List Bullet 5"/>
    <w:basedOn w:val="Normalny"/>
    <w:uiPriority w:val="99"/>
    <w:semiHidden/>
    <w:rsid w:val="00014566"/>
    <w:pPr>
      <w:numPr>
        <w:numId w:val="8"/>
      </w:numPr>
      <w:contextualSpacing/>
    </w:pPr>
  </w:style>
  <w:style w:type="paragraph" w:styleId="Lista-kontynuacja">
    <w:name w:val="List Continue"/>
    <w:basedOn w:val="Normalny"/>
    <w:uiPriority w:val="99"/>
    <w:semiHidden/>
    <w:rsid w:val="00014566"/>
    <w:pPr>
      <w:spacing w:after="120"/>
      <w:ind w:left="283"/>
      <w:contextualSpacing/>
    </w:pPr>
  </w:style>
  <w:style w:type="paragraph" w:styleId="Lista-kontynuacja2">
    <w:name w:val="List Continue 2"/>
    <w:basedOn w:val="Normalny"/>
    <w:uiPriority w:val="99"/>
    <w:semiHidden/>
    <w:rsid w:val="00014566"/>
    <w:pPr>
      <w:spacing w:after="120"/>
      <w:ind w:left="566"/>
      <w:contextualSpacing/>
    </w:pPr>
  </w:style>
  <w:style w:type="paragraph" w:styleId="Lista-kontynuacja3">
    <w:name w:val="List Continue 3"/>
    <w:basedOn w:val="Normalny"/>
    <w:uiPriority w:val="99"/>
    <w:semiHidden/>
    <w:rsid w:val="00014566"/>
    <w:pPr>
      <w:spacing w:after="120"/>
      <w:ind w:left="849"/>
      <w:contextualSpacing/>
    </w:pPr>
  </w:style>
  <w:style w:type="paragraph" w:styleId="Lista-kontynuacja4">
    <w:name w:val="List Continue 4"/>
    <w:basedOn w:val="Normalny"/>
    <w:uiPriority w:val="99"/>
    <w:semiHidden/>
    <w:rsid w:val="00014566"/>
    <w:pPr>
      <w:spacing w:after="120"/>
      <w:ind w:left="1132"/>
      <w:contextualSpacing/>
    </w:pPr>
  </w:style>
  <w:style w:type="paragraph" w:styleId="Lista-kontynuacja5">
    <w:name w:val="List Continue 5"/>
    <w:basedOn w:val="Normalny"/>
    <w:uiPriority w:val="99"/>
    <w:semiHidden/>
    <w:rsid w:val="00014566"/>
    <w:pPr>
      <w:spacing w:after="120"/>
      <w:ind w:left="1415"/>
      <w:contextualSpacing/>
    </w:pPr>
  </w:style>
  <w:style w:type="paragraph" w:styleId="Listanumerowana">
    <w:name w:val="List Number"/>
    <w:basedOn w:val="Normalny"/>
    <w:uiPriority w:val="99"/>
    <w:semiHidden/>
    <w:rsid w:val="00014566"/>
    <w:pPr>
      <w:numPr>
        <w:numId w:val="9"/>
      </w:numPr>
      <w:contextualSpacing/>
    </w:pPr>
  </w:style>
  <w:style w:type="paragraph" w:styleId="Listanumerowana2">
    <w:name w:val="List Number 2"/>
    <w:basedOn w:val="Normalny"/>
    <w:uiPriority w:val="99"/>
    <w:semiHidden/>
    <w:rsid w:val="00014566"/>
    <w:pPr>
      <w:numPr>
        <w:numId w:val="10"/>
      </w:numPr>
      <w:contextualSpacing/>
    </w:pPr>
  </w:style>
  <w:style w:type="paragraph" w:styleId="Listanumerowana3">
    <w:name w:val="List Number 3"/>
    <w:basedOn w:val="Normalny"/>
    <w:uiPriority w:val="99"/>
    <w:semiHidden/>
    <w:rsid w:val="00014566"/>
    <w:pPr>
      <w:numPr>
        <w:numId w:val="11"/>
      </w:numPr>
      <w:contextualSpacing/>
    </w:pPr>
  </w:style>
  <w:style w:type="paragraph" w:styleId="Listanumerowana4">
    <w:name w:val="List Number 4"/>
    <w:basedOn w:val="Normalny"/>
    <w:uiPriority w:val="99"/>
    <w:semiHidden/>
    <w:rsid w:val="00014566"/>
    <w:pPr>
      <w:numPr>
        <w:numId w:val="12"/>
      </w:numPr>
      <w:contextualSpacing/>
    </w:pPr>
  </w:style>
  <w:style w:type="paragraph" w:styleId="Listanumerowana5">
    <w:name w:val="List Number 5"/>
    <w:basedOn w:val="Normalny"/>
    <w:uiPriority w:val="99"/>
    <w:semiHidden/>
    <w:rsid w:val="00014566"/>
    <w:pPr>
      <w:numPr>
        <w:numId w:val="13"/>
      </w:numPr>
      <w:contextualSpacing/>
    </w:pPr>
  </w:style>
  <w:style w:type="paragraph" w:styleId="Tekstmakra">
    <w:name w:val="macro"/>
    <w:link w:val="TekstmakraZnak"/>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kstmakraZnak">
    <w:name w:val="Tekst makra Znak"/>
    <w:basedOn w:val="Domylnaczcionkaakapitu"/>
    <w:link w:val="Tekstmakra"/>
    <w:uiPriority w:val="99"/>
    <w:semiHidden/>
    <w:rsid w:val="00014566"/>
    <w:rPr>
      <w:rFonts w:ascii="Consolas" w:hAnsi="Consolas" w:cs="Consolas"/>
      <w:sz w:val="20"/>
      <w:szCs w:val="20"/>
      <w:lang w:val="en-GB" w:eastAsia="fr-FR"/>
    </w:rPr>
  </w:style>
  <w:style w:type="table" w:styleId="redniasiatka1">
    <w:name w:val="Medium Grid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014566"/>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014566"/>
    <w:rPr>
      <w:rFonts w:ascii="Times New Roman" w:hAnsi="Times New Roman" w:cs="Times New Roman"/>
      <w:szCs w:val="24"/>
    </w:rPr>
  </w:style>
  <w:style w:type="paragraph" w:styleId="Wcicienormalne">
    <w:name w:val="Normal Indent"/>
    <w:basedOn w:val="Normalny"/>
    <w:uiPriority w:val="99"/>
    <w:semiHidden/>
    <w:rsid w:val="00014566"/>
    <w:pPr>
      <w:ind w:left="720"/>
    </w:pPr>
  </w:style>
  <w:style w:type="paragraph" w:styleId="Nagweknotatki">
    <w:name w:val="Note Heading"/>
    <w:basedOn w:val="Normalny"/>
    <w:next w:val="Normalny"/>
    <w:link w:val="NagweknotatkiZnak"/>
    <w:uiPriority w:val="99"/>
    <w:semiHidden/>
    <w:rsid w:val="00014566"/>
  </w:style>
  <w:style w:type="character" w:customStyle="1" w:styleId="NagweknotatkiZnak">
    <w:name w:val="Nagłówek notatki Znak"/>
    <w:basedOn w:val="Domylnaczcionkaakapitu"/>
    <w:link w:val="Nagweknotatki"/>
    <w:uiPriority w:val="99"/>
    <w:semiHidden/>
    <w:rsid w:val="00014566"/>
    <w:rPr>
      <w:rFonts w:eastAsiaTheme="minorEastAsia"/>
      <w:sz w:val="24"/>
    </w:rPr>
  </w:style>
  <w:style w:type="character" w:styleId="Tekstzastpczy">
    <w:name w:val="Placeholder Text"/>
    <w:basedOn w:val="Domylnaczcionkaakapitu"/>
    <w:uiPriority w:val="99"/>
    <w:semiHidden/>
    <w:rsid w:val="00014566"/>
    <w:rPr>
      <w:color w:val="808080"/>
    </w:rPr>
  </w:style>
  <w:style w:type="paragraph" w:styleId="Zwykytekst">
    <w:name w:val="Plain Text"/>
    <w:basedOn w:val="Normalny"/>
    <w:link w:val="ZwykytekstZnak"/>
    <w:uiPriority w:val="99"/>
    <w:semiHidden/>
    <w:rsid w:val="00014566"/>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14566"/>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014566"/>
  </w:style>
  <w:style w:type="character" w:customStyle="1" w:styleId="ZwrotgrzecznociowyZnak">
    <w:name w:val="Zwrot grzecznościowy Znak"/>
    <w:basedOn w:val="Domylnaczcionkaakapitu"/>
    <w:link w:val="Zwrotgrzecznociowy"/>
    <w:uiPriority w:val="99"/>
    <w:semiHidden/>
    <w:rsid w:val="00014566"/>
    <w:rPr>
      <w:rFonts w:eastAsiaTheme="minorEastAsia"/>
      <w:sz w:val="24"/>
    </w:rPr>
  </w:style>
  <w:style w:type="paragraph" w:styleId="Podpis">
    <w:name w:val="Signature"/>
    <w:basedOn w:val="Normalny"/>
    <w:link w:val="PodpisZnak"/>
    <w:uiPriority w:val="99"/>
    <w:semiHidden/>
    <w:rsid w:val="00014566"/>
    <w:pPr>
      <w:ind w:left="4252"/>
    </w:pPr>
  </w:style>
  <w:style w:type="character" w:customStyle="1" w:styleId="PodpisZnak">
    <w:name w:val="Podpis Znak"/>
    <w:basedOn w:val="Domylnaczcionkaakapitu"/>
    <w:link w:val="Podpis"/>
    <w:uiPriority w:val="99"/>
    <w:semiHidden/>
    <w:rsid w:val="00014566"/>
    <w:rPr>
      <w:rFonts w:eastAsiaTheme="minorEastAsia"/>
      <w:sz w:val="24"/>
    </w:rPr>
  </w:style>
  <w:style w:type="table" w:styleId="Tabela-Efekty3W1">
    <w:name w:val="Table 3D effects 1"/>
    <w:basedOn w:val="Standardowy"/>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014566"/>
    <w:pPr>
      <w:ind w:left="240" w:hanging="240"/>
    </w:pPr>
  </w:style>
  <w:style w:type="paragraph" w:styleId="Spisilustracji">
    <w:name w:val="table of figures"/>
    <w:basedOn w:val="Normalny"/>
    <w:next w:val="Normalny"/>
    <w:uiPriority w:val="99"/>
    <w:semiHidden/>
    <w:rsid w:val="00014566"/>
  </w:style>
  <w:style w:type="table" w:styleId="Tabela-Profesjonalny">
    <w:name w:val="Table Professional"/>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014566"/>
    <w:pPr>
      <w:spacing w:after="100"/>
      <w:ind w:left="1200"/>
    </w:pPr>
  </w:style>
  <w:style w:type="paragraph" w:styleId="Spistreci7">
    <w:name w:val="toc 7"/>
    <w:basedOn w:val="Normalny"/>
    <w:next w:val="Normalny"/>
    <w:autoRedefine/>
    <w:uiPriority w:val="99"/>
    <w:semiHidden/>
    <w:rsid w:val="00014566"/>
    <w:pPr>
      <w:spacing w:after="100"/>
      <w:ind w:left="1440"/>
    </w:pPr>
  </w:style>
  <w:style w:type="paragraph" w:styleId="Spistreci8">
    <w:name w:val="toc 8"/>
    <w:basedOn w:val="Normalny"/>
    <w:next w:val="Normalny"/>
    <w:autoRedefine/>
    <w:uiPriority w:val="99"/>
    <w:semiHidden/>
    <w:rsid w:val="00014566"/>
    <w:pPr>
      <w:spacing w:after="100"/>
      <w:ind w:left="1680"/>
    </w:pPr>
  </w:style>
  <w:style w:type="paragraph" w:styleId="Spistreci9">
    <w:name w:val="toc 9"/>
    <w:basedOn w:val="Normalny"/>
    <w:next w:val="Normalny"/>
    <w:autoRedefine/>
    <w:uiPriority w:val="99"/>
    <w:semiHidden/>
    <w:rsid w:val="00014566"/>
    <w:pPr>
      <w:spacing w:after="100"/>
      <w:ind w:left="1920"/>
    </w:pPr>
  </w:style>
  <w:style w:type="paragraph" w:customStyle="1" w:styleId="OpiTranslation">
    <w:name w:val="Opi_Translation"/>
    <w:basedOn w:val="Normalny"/>
    <w:next w:val="OpiPara"/>
    <w:uiPriority w:val="40"/>
    <w:qFormat/>
    <w:rsid w:val="00A96ED6"/>
    <w:pPr>
      <w:jc w:val="center"/>
      <w:outlineLvl w:val="0"/>
    </w:pPr>
    <w:rPr>
      <w:i/>
    </w:rPr>
  </w:style>
  <w:style w:type="paragraph" w:customStyle="1" w:styleId="DecHTitle">
    <w:name w:val="Dec_H_Title"/>
    <w:basedOn w:val="ECHRTitleCentre1"/>
    <w:uiPriority w:val="7"/>
    <w:rsid w:val="00A96ED6"/>
  </w:style>
  <w:style w:type="paragraph" w:customStyle="1" w:styleId="DecList">
    <w:name w:val="Dec_List"/>
    <w:basedOn w:val="Normalny"/>
    <w:uiPriority w:val="9"/>
    <w:rsid w:val="00A96ED6"/>
    <w:pPr>
      <w:spacing w:before="240"/>
      <w:ind w:left="284"/>
    </w:pPr>
  </w:style>
  <w:style w:type="paragraph" w:customStyle="1" w:styleId="OpiH1">
    <w:name w:val="Opi_H_1"/>
    <w:basedOn w:val="ECHRHeading2"/>
    <w:uiPriority w:val="42"/>
    <w:qFormat/>
    <w:rsid w:val="00A96ED6"/>
    <w:pPr>
      <w:ind w:left="635" w:hanging="357"/>
      <w:outlineLvl w:val="2"/>
    </w:pPr>
  </w:style>
  <w:style w:type="paragraph" w:customStyle="1" w:styleId="OpiHa0">
    <w:name w:val="Opi_H_a"/>
    <w:basedOn w:val="ECHRHeading3"/>
    <w:uiPriority w:val="43"/>
    <w:qFormat/>
    <w:rsid w:val="00A96ED6"/>
    <w:pPr>
      <w:ind w:left="833" w:hanging="357"/>
      <w:outlineLvl w:val="3"/>
    </w:pPr>
    <w:rPr>
      <w:b/>
      <w:i w:val="0"/>
      <w:sz w:val="20"/>
    </w:rPr>
  </w:style>
  <w:style w:type="paragraph" w:customStyle="1" w:styleId="OpiHi">
    <w:name w:val="Opi_H_i"/>
    <w:basedOn w:val="ECHRHeading4"/>
    <w:uiPriority w:val="44"/>
    <w:qFormat/>
    <w:rsid w:val="00A96ED6"/>
    <w:pPr>
      <w:ind w:left="1037" w:hanging="357"/>
      <w:outlineLvl w:val="4"/>
    </w:pPr>
    <w:rPr>
      <w:b w:val="0"/>
      <w:i/>
    </w:rPr>
  </w:style>
  <w:style w:type="paragraph" w:customStyle="1" w:styleId="DummyStyle">
    <w:name w:val="Dummy_Style"/>
    <w:basedOn w:val="Normalny"/>
    <w:semiHidden/>
    <w:qFormat/>
    <w:rsid w:val="00A96ED6"/>
    <w:rPr>
      <w:color w:val="00B050"/>
    </w:rPr>
  </w:style>
  <w:style w:type="character" w:customStyle="1" w:styleId="JuParaChar">
    <w:name w:val="Ju_Para Char"/>
    <w:basedOn w:val="Domylnaczcionkaakapitu"/>
    <w:link w:val="ECHRPara"/>
    <w:uiPriority w:val="12"/>
    <w:rsid w:val="009D7A23"/>
    <w:rPr>
      <w:rFonts w:eastAsiaTheme="minorEastAsia"/>
      <w:sz w:val="24"/>
    </w:rPr>
  </w:style>
  <w:style w:type="character" w:customStyle="1" w:styleId="JuParaCar">
    <w:name w:val="Ju_Para Car"/>
    <w:uiPriority w:val="12"/>
    <w:rsid w:val="006D4E47"/>
    <w:rPr>
      <w:rFonts w:eastAsiaTheme="minorEastAsia"/>
      <w:sz w:val="24"/>
    </w:rPr>
  </w:style>
  <w:style w:type="character" w:customStyle="1" w:styleId="sb8d990e2">
    <w:name w:val="sb8d990e2"/>
    <w:basedOn w:val="Domylnaczcionkaakapitu"/>
    <w:rsid w:val="002737E3"/>
  </w:style>
  <w:style w:type="character" w:customStyle="1" w:styleId="s6b621b36">
    <w:name w:val="s6b621b36"/>
    <w:basedOn w:val="Domylnaczcionkaakapitu"/>
    <w:rsid w:val="002737E3"/>
  </w:style>
  <w:style w:type="character" w:customStyle="1" w:styleId="wordhighlighted">
    <w:name w:val="wordhighlighted"/>
    <w:basedOn w:val="Domylnaczcionkaakapitu"/>
    <w:rsid w:val="002737E3"/>
  </w:style>
  <w:style w:type="character" w:customStyle="1" w:styleId="s23c0e8e7">
    <w:name w:val="s23c0e8e7"/>
    <w:basedOn w:val="Domylnaczcionkaakapitu"/>
    <w:rsid w:val="002737E3"/>
  </w:style>
  <w:style w:type="character" w:customStyle="1" w:styleId="ju-005fpara--char">
    <w:name w:val="ju-005fpara--char"/>
    <w:basedOn w:val="Domylnaczcionkaakapitu"/>
    <w:rsid w:val="00E85206"/>
  </w:style>
  <w:style w:type="character" w:customStyle="1" w:styleId="JuQuotChar">
    <w:name w:val="Ju_Quot Char"/>
    <w:basedOn w:val="JuParaChar"/>
    <w:link w:val="ECHRParaQuote"/>
    <w:rsid w:val="00E27C22"/>
    <w:rPr>
      <w:rFonts w:eastAsiaTheme="minorEastAsia"/>
      <w:sz w:val="20"/>
    </w:rPr>
  </w:style>
  <w:style w:type="character" w:customStyle="1" w:styleId="ju-005fpara-0020car1-002cleft-0020car-002cfirst-0020line-003a-0020-00200-0020cm-0020car--char">
    <w:name w:val="ju-005fpara-0020car1-002cleft-0020car-002cfirst-0020line-003a-0020-00200-0020cm-0020car--char"/>
    <w:basedOn w:val="Domylnaczcionkaakapitu"/>
    <w:rsid w:val="00E27C22"/>
  </w:style>
  <w:style w:type="character" w:customStyle="1" w:styleId="apple-converted-space">
    <w:name w:val="apple-converted-space"/>
    <w:rsid w:val="00EE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1363">
      <w:bodyDiv w:val="1"/>
      <w:marLeft w:val="0"/>
      <w:marRight w:val="0"/>
      <w:marTop w:val="0"/>
      <w:marBottom w:val="0"/>
      <w:divBdr>
        <w:top w:val="none" w:sz="0" w:space="0" w:color="auto"/>
        <w:left w:val="none" w:sz="0" w:space="0" w:color="auto"/>
        <w:bottom w:val="none" w:sz="0" w:space="0" w:color="auto"/>
        <w:right w:val="none" w:sz="0" w:space="0" w:color="auto"/>
      </w:divBdr>
      <w:divsChild>
        <w:div w:id="1030105034">
          <w:marLeft w:val="0"/>
          <w:marRight w:val="0"/>
          <w:marTop w:val="0"/>
          <w:marBottom w:val="0"/>
          <w:divBdr>
            <w:top w:val="single" w:sz="2" w:space="0" w:color="D7D7D7"/>
            <w:left w:val="single" w:sz="6" w:space="15" w:color="D7D7D7"/>
            <w:bottom w:val="single" w:sz="2" w:space="0" w:color="D7D7D7"/>
            <w:right w:val="single" w:sz="6" w:space="15" w:color="D7D7D7"/>
          </w:divBdr>
          <w:divsChild>
            <w:div w:id="15193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4529">
      <w:bodyDiv w:val="1"/>
      <w:marLeft w:val="0"/>
      <w:marRight w:val="0"/>
      <w:marTop w:val="0"/>
      <w:marBottom w:val="0"/>
      <w:divBdr>
        <w:top w:val="none" w:sz="0" w:space="0" w:color="auto"/>
        <w:left w:val="none" w:sz="0" w:space="0" w:color="auto"/>
        <w:bottom w:val="none" w:sz="0" w:space="0" w:color="auto"/>
        <w:right w:val="none" w:sz="0" w:space="0" w:color="auto"/>
      </w:divBdr>
      <w:divsChild>
        <w:div w:id="2065057207">
          <w:marLeft w:val="1"/>
          <w:marRight w:val="1"/>
          <w:marTop w:val="0"/>
          <w:marBottom w:val="0"/>
          <w:divBdr>
            <w:top w:val="none" w:sz="0" w:space="0" w:color="auto"/>
            <w:left w:val="none" w:sz="0" w:space="0" w:color="auto"/>
            <w:bottom w:val="none" w:sz="0" w:space="0" w:color="auto"/>
            <w:right w:val="none" w:sz="0" w:space="0" w:color="auto"/>
          </w:divBdr>
          <w:divsChild>
            <w:div w:id="557322998">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477040593">
      <w:bodyDiv w:val="1"/>
      <w:marLeft w:val="0"/>
      <w:marRight w:val="0"/>
      <w:marTop w:val="0"/>
      <w:marBottom w:val="0"/>
      <w:divBdr>
        <w:top w:val="none" w:sz="0" w:space="0" w:color="auto"/>
        <w:left w:val="none" w:sz="0" w:space="0" w:color="auto"/>
        <w:bottom w:val="none" w:sz="0" w:space="0" w:color="auto"/>
        <w:right w:val="none" w:sz="0" w:space="0" w:color="auto"/>
      </w:divBdr>
      <w:divsChild>
        <w:div w:id="2130736390">
          <w:marLeft w:val="0"/>
          <w:marRight w:val="0"/>
          <w:marTop w:val="0"/>
          <w:marBottom w:val="0"/>
          <w:divBdr>
            <w:top w:val="none" w:sz="0" w:space="0" w:color="auto"/>
            <w:left w:val="none" w:sz="0" w:space="0" w:color="auto"/>
            <w:bottom w:val="none" w:sz="0" w:space="0" w:color="auto"/>
            <w:right w:val="none" w:sz="0" w:space="0" w:color="auto"/>
          </w:divBdr>
          <w:divsChild>
            <w:div w:id="1364018324">
              <w:marLeft w:val="0"/>
              <w:marRight w:val="0"/>
              <w:marTop w:val="0"/>
              <w:marBottom w:val="0"/>
              <w:divBdr>
                <w:top w:val="none" w:sz="0" w:space="0" w:color="auto"/>
                <w:left w:val="none" w:sz="0" w:space="0" w:color="auto"/>
                <w:bottom w:val="none" w:sz="0" w:space="0" w:color="auto"/>
                <w:right w:val="none" w:sz="0" w:space="0" w:color="auto"/>
              </w:divBdr>
              <w:divsChild>
                <w:div w:id="161311697">
                  <w:marLeft w:val="0"/>
                  <w:marRight w:val="0"/>
                  <w:marTop w:val="0"/>
                  <w:marBottom w:val="0"/>
                  <w:divBdr>
                    <w:top w:val="none" w:sz="0" w:space="0" w:color="auto"/>
                    <w:left w:val="none" w:sz="0" w:space="0" w:color="auto"/>
                    <w:bottom w:val="none" w:sz="0" w:space="0" w:color="auto"/>
                    <w:right w:val="none" w:sz="0" w:space="0" w:color="auto"/>
                  </w:divBdr>
                  <w:divsChild>
                    <w:div w:id="1425954532">
                      <w:marLeft w:val="0"/>
                      <w:marRight w:val="0"/>
                      <w:marTop w:val="0"/>
                      <w:marBottom w:val="0"/>
                      <w:divBdr>
                        <w:top w:val="none" w:sz="0" w:space="0" w:color="auto"/>
                        <w:left w:val="none" w:sz="0" w:space="0" w:color="auto"/>
                        <w:bottom w:val="none" w:sz="0" w:space="0" w:color="auto"/>
                        <w:right w:val="none" w:sz="0" w:space="0" w:color="auto"/>
                      </w:divBdr>
                      <w:divsChild>
                        <w:div w:id="469714654">
                          <w:marLeft w:val="0"/>
                          <w:marRight w:val="0"/>
                          <w:marTop w:val="0"/>
                          <w:marBottom w:val="0"/>
                          <w:divBdr>
                            <w:top w:val="none" w:sz="0" w:space="0" w:color="auto"/>
                            <w:left w:val="none" w:sz="0" w:space="0" w:color="auto"/>
                            <w:bottom w:val="none" w:sz="0" w:space="0" w:color="auto"/>
                            <w:right w:val="none" w:sz="0" w:space="0" w:color="auto"/>
                          </w:divBdr>
                          <w:divsChild>
                            <w:div w:id="7211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13433">
      <w:bodyDiv w:val="1"/>
      <w:marLeft w:val="0"/>
      <w:marRight w:val="0"/>
      <w:marTop w:val="0"/>
      <w:marBottom w:val="0"/>
      <w:divBdr>
        <w:top w:val="none" w:sz="0" w:space="0" w:color="auto"/>
        <w:left w:val="none" w:sz="0" w:space="0" w:color="auto"/>
        <w:bottom w:val="none" w:sz="0" w:space="0" w:color="auto"/>
        <w:right w:val="none" w:sz="0" w:space="0" w:color="auto"/>
      </w:divBdr>
      <w:divsChild>
        <w:div w:id="1960070278">
          <w:marLeft w:val="0"/>
          <w:marRight w:val="0"/>
          <w:marTop w:val="0"/>
          <w:marBottom w:val="0"/>
          <w:divBdr>
            <w:top w:val="none" w:sz="0" w:space="0" w:color="auto"/>
            <w:left w:val="none" w:sz="0" w:space="0" w:color="auto"/>
            <w:bottom w:val="none" w:sz="0" w:space="0" w:color="auto"/>
            <w:right w:val="none" w:sz="0" w:space="0" w:color="auto"/>
          </w:divBdr>
          <w:divsChild>
            <w:div w:id="770442186">
              <w:marLeft w:val="0"/>
              <w:marRight w:val="0"/>
              <w:marTop w:val="0"/>
              <w:marBottom w:val="0"/>
              <w:divBdr>
                <w:top w:val="none" w:sz="0" w:space="0" w:color="auto"/>
                <w:left w:val="none" w:sz="0" w:space="0" w:color="auto"/>
                <w:bottom w:val="none" w:sz="0" w:space="0" w:color="auto"/>
                <w:right w:val="none" w:sz="0" w:space="0" w:color="auto"/>
              </w:divBdr>
              <w:divsChild>
                <w:div w:id="1700470394">
                  <w:marLeft w:val="0"/>
                  <w:marRight w:val="0"/>
                  <w:marTop w:val="0"/>
                  <w:marBottom w:val="0"/>
                  <w:divBdr>
                    <w:top w:val="none" w:sz="0" w:space="0" w:color="auto"/>
                    <w:left w:val="none" w:sz="0" w:space="0" w:color="auto"/>
                    <w:bottom w:val="none" w:sz="0" w:space="0" w:color="auto"/>
                    <w:right w:val="none" w:sz="0" w:space="0" w:color="auto"/>
                  </w:divBdr>
                  <w:divsChild>
                    <w:div w:id="2119444115">
                      <w:marLeft w:val="0"/>
                      <w:marRight w:val="0"/>
                      <w:marTop w:val="0"/>
                      <w:marBottom w:val="0"/>
                      <w:divBdr>
                        <w:top w:val="none" w:sz="0" w:space="0" w:color="auto"/>
                        <w:left w:val="none" w:sz="0" w:space="0" w:color="auto"/>
                        <w:bottom w:val="none" w:sz="0" w:space="0" w:color="auto"/>
                        <w:right w:val="none" w:sz="0" w:space="0" w:color="auto"/>
                      </w:divBdr>
                      <w:divsChild>
                        <w:div w:id="247689831">
                          <w:marLeft w:val="0"/>
                          <w:marRight w:val="0"/>
                          <w:marTop w:val="0"/>
                          <w:marBottom w:val="0"/>
                          <w:divBdr>
                            <w:top w:val="none" w:sz="0" w:space="0" w:color="auto"/>
                            <w:left w:val="none" w:sz="0" w:space="0" w:color="auto"/>
                            <w:bottom w:val="none" w:sz="0" w:space="0" w:color="auto"/>
                            <w:right w:val="none" w:sz="0" w:space="0" w:color="auto"/>
                          </w:divBdr>
                          <w:divsChild>
                            <w:div w:id="7190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36339992">
      <w:bodyDiv w:val="1"/>
      <w:marLeft w:val="0"/>
      <w:marRight w:val="0"/>
      <w:marTop w:val="0"/>
      <w:marBottom w:val="0"/>
      <w:divBdr>
        <w:top w:val="none" w:sz="0" w:space="0" w:color="auto"/>
        <w:left w:val="none" w:sz="0" w:space="0" w:color="auto"/>
        <w:bottom w:val="none" w:sz="0" w:space="0" w:color="auto"/>
        <w:right w:val="none" w:sz="0" w:space="0" w:color="auto"/>
      </w:divBdr>
      <w:divsChild>
        <w:div w:id="393819571">
          <w:marLeft w:val="0"/>
          <w:marRight w:val="0"/>
          <w:marTop w:val="0"/>
          <w:marBottom w:val="0"/>
          <w:divBdr>
            <w:top w:val="none" w:sz="0" w:space="0" w:color="auto"/>
            <w:left w:val="none" w:sz="0" w:space="0" w:color="auto"/>
            <w:bottom w:val="none" w:sz="0" w:space="0" w:color="auto"/>
            <w:right w:val="none" w:sz="0" w:space="0" w:color="auto"/>
          </w:divBdr>
          <w:divsChild>
            <w:div w:id="1520507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3351384">
      <w:bodyDiv w:val="1"/>
      <w:marLeft w:val="0"/>
      <w:marRight w:val="0"/>
      <w:marTop w:val="0"/>
      <w:marBottom w:val="0"/>
      <w:divBdr>
        <w:top w:val="none" w:sz="0" w:space="0" w:color="auto"/>
        <w:left w:val="none" w:sz="0" w:space="0" w:color="auto"/>
        <w:bottom w:val="none" w:sz="0" w:space="0" w:color="auto"/>
        <w:right w:val="none" w:sz="0" w:space="0" w:color="auto"/>
      </w:divBdr>
      <w:divsChild>
        <w:div w:id="158540658">
          <w:marLeft w:val="1"/>
          <w:marRight w:val="1"/>
          <w:marTop w:val="0"/>
          <w:marBottom w:val="0"/>
          <w:divBdr>
            <w:top w:val="none" w:sz="0" w:space="0" w:color="auto"/>
            <w:left w:val="none" w:sz="0" w:space="0" w:color="auto"/>
            <w:bottom w:val="none" w:sz="0" w:space="0" w:color="auto"/>
            <w:right w:val="none" w:sz="0" w:space="0" w:color="auto"/>
          </w:divBdr>
          <w:divsChild>
            <w:div w:id="198457756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brpo.gov.pl" TargetMode="Externa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C790-1947-4142-B281-39B71BA1F6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DBCDA2-4BE0-40A2-B36D-7164FDDB8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0DD4A4-7AAA-4A25-BD38-6DD9F12451DE}">
  <ds:schemaRefs>
    <ds:schemaRef ds:uri="http://schemas.microsoft.com/sharepoint/v3/contenttype/forms"/>
  </ds:schemaRefs>
</ds:datastoreItem>
</file>

<file path=customXml/itemProps4.xml><?xml version="1.0" encoding="utf-8"?>
<ds:datastoreItem xmlns:ds="http://schemas.openxmlformats.org/officeDocument/2006/customXml" ds:itemID="{60DF9BEF-CC90-4EBC-879C-D9C66BF2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6096</Words>
  <Characters>36576</Characters>
  <Application>Microsoft Office Word</Application>
  <DocSecurity>0</DocSecurity>
  <Lines>304</Lines>
  <Paragraphs>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ECHR</vt:lpstr>
      <vt:lpstr>ECHR</vt:lpstr>
    </vt:vector>
  </TitlesOfParts>
  <Manager/>
  <Company/>
  <LinksUpToDate>false</LinksUpToDate>
  <CharactersWithSpaces>42587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2015-08-27T13:12:00Z</dcterms:created>
  <dcterms:modified xsi:type="dcterms:W3CDTF">2015-08-27T13:21:00Z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