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78" w:rsidRPr="00323E6A" w:rsidRDefault="002D1D78" w:rsidP="002D1D78">
      <w:pPr>
        <w:jc w:val="center"/>
        <w:rPr>
          <w:b/>
        </w:rPr>
      </w:pPr>
      <w:bookmarkStart w:id="0" w:name="To"/>
      <w:r>
        <w:rPr>
          <w:b/>
        </w:rPr>
        <w:t xml:space="preserve">SPRAWA </w:t>
      </w:r>
      <w:bookmarkEnd w:id="0"/>
      <w:r>
        <w:rPr>
          <w:b/>
        </w:rPr>
        <w:t>DOCHNAL przeciwko POLSCE</w:t>
      </w:r>
    </w:p>
    <w:p w:rsidR="002D1D78" w:rsidRPr="00323E6A" w:rsidRDefault="002D1D78" w:rsidP="002D1D78">
      <w:pPr>
        <w:jc w:val="center"/>
      </w:pPr>
    </w:p>
    <w:p w:rsidR="002D1D78" w:rsidRPr="00323E6A" w:rsidRDefault="002D1D78" w:rsidP="002D1D78">
      <w:pPr>
        <w:jc w:val="center"/>
        <w:rPr>
          <w:i/>
        </w:rPr>
      </w:pPr>
      <w:r>
        <w:rPr>
          <w:i/>
        </w:rPr>
        <w:t>(Skarga nr 31622/07)</w:t>
      </w:r>
    </w:p>
    <w:p w:rsidR="00C03642" w:rsidRPr="002D1D78" w:rsidRDefault="00C03642">
      <w:pPr>
        <w:rPr>
          <w:color w:val="FF0000"/>
        </w:rPr>
      </w:pPr>
    </w:p>
    <w:p w:rsidR="0042466C" w:rsidRPr="002D1D78" w:rsidRDefault="0042466C">
      <w:pPr>
        <w:rPr>
          <w:color w:val="FF0000"/>
          <w:lang w:val="pl-PL"/>
        </w:rPr>
      </w:pPr>
    </w:p>
    <w:p w:rsidR="0042466C" w:rsidRDefault="0042466C" w:rsidP="0042466C">
      <w:pPr>
        <w:pStyle w:val="Akapitzlist"/>
        <w:numPr>
          <w:ilvl w:val="0"/>
          <w:numId w:val="1"/>
        </w:numPr>
        <w:rPr>
          <w:lang w:val="pl-PL"/>
        </w:rPr>
      </w:pPr>
      <w:r w:rsidRPr="002D1D78">
        <w:rPr>
          <w:lang w:val="pl-PL"/>
        </w:rPr>
        <w:t>Przedmiot skargi</w:t>
      </w:r>
    </w:p>
    <w:p w:rsidR="00147226" w:rsidRPr="002D1D78" w:rsidRDefault="00147226" w:rsidP="00147226">
      <w:pPr>
        <w:pStyle w:val="Akapitzlist"/>
        <w:rPr>
          <w:lang w:val="pl-PL"/>
        </w:rPr>
      </w:pPr>
    </w:p>
    <w:p w:rsidR="002D1D78" w:rsidRDefault="002D1D78" w:rsidP="002D1D78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2D1D78">
        <w:rPr>
          <w:lang w:val="pl-PL"/>
        </w:rPr>
        <w:t>skarżący zarzucił w szczególności, że jego tymczasowe aresztowanie w trakcie postępowania przygotowawczego było sprzeczne z artykułem 5 Konwencji</w:t>
      </w:r>
    </w:p>
    <w:p w:rsidR="002D1D78" w:rsidRPr="002D1D78" w:rsidRDefault="002D1D78" w:rsidP="002D1D78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t>skarżący zarzucił, że długość zastosowanego wobec niego aresztowania tymczasowego była nadmierna, zgodnie z artykułem 5 ust. 3 Konwencj</w:t>
      </w:r>
      <w:r w:rsidR="00455C5B">
        <w:t>i</w:t>
      </w:r>
    </w:p>
    <w:p w:rsidR="00EA6B78" w:rsidRDefault="002D1D78" w:rsidP="002D1D78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2D1D78">
        <w:rPr>
          <w:lang w:val="pl-PL"/>
        </w:rPr>
        <w:t>skarżący zarzucił, że postępowanie karne przeciwko niemu oparte było na motywach politycznych niezgodnie z artykułem 18 Konwencji</w:t>
      </w:r>
    </w:p>
    <w:p w:rsidR="002D1D78" w:rsidRDefault="002D1D78" w:rsidP="002D1D78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s</w:t>
      </w:r>
      <w:r w:rsidRPr="002D1D78">
        <w:rPr>
          <w:lang w:val="pl-PL"/>
        </w:rPr>
        <w:t>karżący podniósł następnie zarzut naruszenia artykułu 5 ust. 4 Konwencji, twierdząc, iż w drugim postępowaniu karnym nie miał dostępu do akt sprawy. Skarżący podniósł, iż ograniczyło to w znacznym stopniu możliwość zakwestionowania postanowień o przedłużeniu tymczasowego aresztowania. Skarżący podkreślił, iż powyższe postawiło go w szczególnie niekorzystnej pozycji w stosunku do prokuratury, która posiadała nieograniczony dostęp do akt sprawy</w:t>
      </w:r>
    </w:p>
    <w:p w:rsidR="00144F6A" w:rsidRDefault="00144F6A" w:rsidP="00144F6A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2D1D78">
        <w:rPr>
          <w:lang w:val="pl-PL"/>
        </w:rPr>
        <w:t xml:space="preserve">brak kontaktów z rodziną, co jest niezgodne z artykułem 8 Konwencji </w:t>
      </w:r>
    </w:p>
    <w:p w:rsidR="00144F6A" w:rsidRDefault="00144F6A" w:rsidP="00144F6A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s</w:t>
      </w:r>
      <w:r w:rsidRPr="00144F6A">
        <w:rPr>
          <w:lang w:val="pl-PL"/>
        </w:rPr>
        <w:t>karżący podniósł zarzut, iż w okresie aresztowania tymczasowego pozbawiony był kontaktów osobistych z rodziną przez znaczący okres czasu. Zarzucił, że decyzje prokuratora miały charakter arbitralny i nie przysługiwało prawo złożenia odwołania od nich</w:t>
      </w:r>
    </w:p>
    <w:p w:rsidR="00144F6A" w:rsidRDefault="00144F6A" w:rsidP="00144F6A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s</w:t>
      </w:r>
      <w:r w:rsidRPr="00144F6A">
        <w:rPr>
          <w:lang w:val="pl-PL"/>
        </w:rPr>
        <w:t>karżący podniósł zarzut naruszenia artykułu 5 ust. 1 Konwencji, twierdząc, że tymczasowe aresztowanie zostało zastosowane przy braku uzasadnionego podejrzenia, że popełnił przestępstwo oraz zarzut naruszenia artykułu 18 w ten sposób, że jego aresztowanie miało cel inny niż przewidziany w artykule 5 ust. 1 lit. (c</w:t>
      </w:r>
      <w:r>
        <w:rPr>
          <w:lang w:val="pl-PL"/>
        </w:rPr>
        <w:t>)</w:t>
      </w:r>
    </w:p>
    <w:p w:rsidR="00CB1419" w:rsidRPr="00CB1419" w:rsidRDefault="00CB1419" w:rsidP="00144F6A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spacing w:val="-4"/>
        </w:rPr>
        <w:t>skarżący podniósł zarzut naruszenia artykułu 5 ust. 4 Konwencji przez to, że jego zażalenie na postanowienie z dnia 19 lutego 2007 r. o przedłużeniu tymczasowego aresztowania zostało rozpoznane dopiero w dniu 6 czerwca 2007 r. Ponadto podniósł zarzut dotyczący zarzutu przedstawionego mu w dniu 8 marca 2005 r., który został oznaczony jako tajny.</w:t>
      </w:r>
    </w:p>
    <w:p w:rsidR="00CB1419" w:rsidRPr="00144F6A" w:rsidRDefault="00CB1419" w:rsidP="00CB1419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CB1419">
        <w:rPr>
          <w:lang w:val="pl-PL"/>
        </w:rPr>
        <w:t>Skarżący podniósł zarzut naruszenia artykułu 7 Konwencji w ten sposób, że - zgodnie z przedstawionymi przez niego opiniami prawnymi - pierwsze postępowanie powinno było zostać zakończone ze względu na brak popełnienia przestępstwa. Skarżący zarzucił również, iż nie miał możliwości wszczęcia postępowania karnego przeciwko prokuraturze w związku z rzekomym zatajeniem informacji dotyczących zwolnienia skarżącego. Skarżący oświadczył także, iż monitorowano jego prywatną korespondencję, a jego sprawa była szeroko komentowana w polskich mediach.</w:t>
      </w:r>
    </w:p>
    <w:p w:rsidR="002D1D78" w:rsidRPr="002D1D78" w:rsidRDefault="002D1D78" w:rsidP="002D1D78">
      <w:pPr>
        <w:pStyle w:val="Akapitzlist"/>
        <w:jc w:val="both"/>
        <w:rPr>
          <w:lang w:val="pl-PL"/>
        </w:rPr>
      </w:pPr>
    </w:p>
    <w:p w:rsidR="0042466C" w:rsidRDefault="0042466C" w:rsidP="0042466C">
      <w:pPr>
        <w:pStyle w:val="Akapitzlist"/>
        <w:numPr>
          <w:ilvl w:val="0"/>
          <w:numId w:val="1"/>
        </w:numPr>
        <w:rPr>
          <w:lang w:val="pl-PL"/>
        </w:rPr>
      </w:pPr>
      <w:r w:rsidRPr="002D1D78">
        <w:rPr>
          <w:lang w:val="pl-PL"/>
        </w:rPr>
        <w:t>Powiązane orzeczenia</w:t>
      </w:r>
    </w:p>
    <w:p w:rsidR="00147226" w:rsidRPr="002D1D78" w:rsidRDefault="00147226" w:rsidP="00147226">
      <w:pPr>
        <w:pStyle w:val="Akapitzlist"/>
        <w:rPr>
          <w:lang w:val="pl-PL"/>
        </w:rPr>
      </w:pPr>
      <w:bookmarkStart w:id="1" w:name="_GoBack"/>
      <w:bookmarkEnd w:id="1"/>
    </w:p>
    <w:p w:rsidR="00EA6B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r w:rsidRPr="002D1D78">
        <w:rPr>
          <w:lang w:val="pl-PL"/>
        </w:rPr>
        <w:t>Gołek przeciwko Polsce, nr 31330/02</w:t>
      </w:r>
    </w:p>
    <w:p w:rsid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2D1D78">
        <w:rPr>
          <w:lang w:val="pl-PL"/>
        </w:rPr>
        <w:t>Celejewski</w:t>
      </w:r>
      <w:proofErr w:type="spellEnd"/>
      <w:r w:rsidRPr="002D1D78">
        <w:rPr>
          <w:lang w:val="pl-PL"/>
        </w:rPr>
        <w:t xml:space="preserve"> przeciwko Polsce, nr 17584/04</w:t>
      </w:r>
    </w:p>
    <w:p w:rsid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r w:rsidRPr="002D1D78">
        <w:rPr>
          <w:lang w:val="pl-PL"/>
        </w:rPr>
        <w:t>Charzyński przeciwko Polsce, nr 15212/03</w:t>
      </w:r>
    </w:p>
    <w:p w:rsid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r w:rsidRPr="002D1D78">
        <w:rPr>
          <w:lang w:val="pl-PL"/>
        </w:rPr>
        <w:t>Ratajczyk przeciwko Polsce, nr 11215/02</w:t>
      </w:r>
    </w:p>
    <w:p w:rsidR="002D1D78" w:rsidRP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2D1D78">
        <w:rPr>
          <w:lang w:val="pl-PL"/>
        </w:rPr>
        <w:t>Krasuski</w:t>
      </w:r>
      <w:proofErr w:type="spellEnd"/>
      <w:r w:rsidRPr="002D1D78">
        <w:rPr>
          <w:lang w:val="pl-PL"/>
        </w:rPr>
        <w:t xml:space="preserve"> przeciwko Polsce, nr 61444/00</w:t>
      </w:r>
    </w:p>
    <w:p w:rsid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r w:rsidRPr="002D1D78">
        <w:rPr>
          <w:lang w:val="pl-PL"/>
        </w:rPr>
        <w:t>Gradek przeciwko Polsce, nr 39631/06</w:t>
      </w:r>
    </w:p>
    <w:p w:rsid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2D1D78">
        <w:rPr>
          <w:lang w:val="pl-PL"/>
        </w:rPr>
        <w:lastRenderedPageBreak/>
        <w:t>McKay</w:t>
      </w:r>
      <w:proofErr w:type="spellEnd"/>
      <w:r w:rsidRPr="002D1D78">
        <w:rPr>
          <w:lang w:val="pl-PL"/>
        </w:rPr>
        <w:t xml:space="preserve"> przeciwko Zjednoczonemu Królestwu [GC], nr 543/03</w:t>
      </w:r>
    </w:p>
    <w:p w:rsidR="002D1D78" w:rsidRDefault="002D1D78" w:rsidP="002D1D78">
      <w:pPr>
        <w:pStyle w:val="Akapitzlist"/>
        <w:numPr>
          <w:ilvl w:val="0"/>
          <w:numId w:val="3"/>
        </w:numPr>
        <w:rPr>
          <w:lang w:val="pl-PL"/>
        </w:rPr>
      </w:pPr>
      <w:r w:rsidRPr="002D1D78">
        <w:rPr>
          <w:lang w:val="pl-PL"/>
        </w:rPr>
        <w:t>Michta przeciwko Polsce, nr 13425/02</w:t>
      </w:r>
    </w:p>
    <w:p w:rsidR="00144F6A" w:rsidRDefault="00144F6A" w:rsidP="00144F6A">
      <w:pPr>
        <w:pStyle w:val="Akapitzlist"/>
        <w:numPr>
          <w:ilvl w:val="0"/>
          <w:numId w:val="3"/>
        </w:numPr>
        <w:rPr>
          <w:lang w:val="pl-PL"/>
        </w:rPr>
      </w:pPr>
      <w:r w:rsidRPr="00144F6A">
        <w:rPr>
          <w:lang w:val="pl-PL"/>
        </w:rPr>
        <w:t>Chruściński przeciwko Polsce, nr 22755/04</w:t>
      </w:r>
    </w:p>
    <w:p w:rsidR="00144F6A" w:rsidRDefault="00144F6A" w:rsidP="00144F6A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144F6A">
        <w:rPr>
          <w:lang w:val="pl-PL"/>
        </w:rPr>
        <w:t>Migoń</w:t>
      </w:r>
      <w:proofErr w:type="spellEnd"/>
      <w:r w:rsidRPr="00144F6A">
        <w:rPr>
          <w:lang w:val="pl-PL"/>
        </w:rPr>
        <w:t xml:space="preserve"> przeciwko Polsce, nr 24244/94</w:t>
      </w:r>
    </w:p>
    <w:p w:rsidR="00144F6A" w:rsidRDefault="00144F6A" w:rsidP="00144F6A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144F6A">
        <w:rPr>
          <w:lang w:val="pl-PL"/>
        </w:rPr>
        <w:t>Wegera</w:t>
      </w:r>
      <w:proofErr w:type="spellEnd"/>
      <w:r w:rsidRPr="00144F6A">
        <w:rPr>
          <w:lang w:val="pl-PL"/>
        </w:rPr>
        <w:t xml:space="preserve"> przeciwko Polsce, nr 141/07</w:t>
      </w:r>
    </w:p>
    <w:p w:rsidR="00144F6A" w:rsidRDefault="00CB1419" w:rsidP="00CB1419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>
        <w:rPr>
          <w:lang w:val="pl-PL"/>
        </w:rPr>
        <w:t>Gusinskiy</w:t>
      </w:r>
      <w:proofErr w:type="spellEnd"/>
      <w:r>
        <w:rPr>
          <w:lang w:val="pl-PL"/>
        </w:rPr>
        <w:t xml:space="preserve"> przeciwko Rosji </w:t>
      </w:r>
      <w:r w:rsidRPr="00CB1419">
        <w:rPr>
          <w:lang w:val="pl-PL"/>
        </w:rPr>
        <w:t>nr 70276/01</w:t>
      </w:r>
    </w:p>
    <w:p w:rsidR="00CB1419" w:rsidRDefault="00CB1419" w:rsidP="00CB1419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>
        <w:rPr>
          <w:lang w:val="pl-PL"/>
        </w:rPr>
        <w:t>Cebotari</w:t>
      </w:r>
      <w:proofErr w:type="spellEnd"/>
      <w:r>
        <w:rPr>
          <w:lang w:val="pl-PL"/>
        </w:rPr>
        <w:t xml:space="preserve"> przeciwko Mołdawii </w:t>
      </w:r>
      <w:r w:rsidRPr="00CB1419">
        <w:rPr>
          <w:lang w:val="pl-PL"/>
        </w:rPr>
        <w:t>nr 35615/06</w:t>
      </w:r>
    </w:p>
    <w:p w:rsidR="00CB1419" w:rsidRDefault="00CB1419" w:rsidP="00CB1419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CB1419">
        <w:rPr>
          <w:lang w:val="pl-PL"/>
        </w:rPr>
        <w:t>Sisojev</w:t>
      </w:r>
      <w:r>
        <w:rPr>
          <w:lang w:val="pl-PL"/>
        </w:rPr>
        <w:t>a</w:t>
      </w:r>
      <w:proofErr w:type="spellEnd"/>
      <w:r>
        <w:rPr>
          <w:lang w:val="pl-PL"/>
        </w:rPr>
        <w:t xml:space="preserve"> i Inni  przeciwko Łotwie [GC]</w:t>
      </w:r>
      <w:r w:rsidRPr="00CB1419">
        <w:rPr>
          <w:lang w:val="pl-PL"/>
        </w:rPr>
        <w:t xml:space="preserve"> nr 60654/00</w:t>
      </w:r>
    </w:p>
    <w:p w:rsidR="00CB1419" w:rsidRDefault="00CB1419" w:rsidP="00CB1419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Chodorkowski przeciwko Rosji</w:t>
      </w:r>
      <w:r w:rsidRPr="00CB1419">
        <w:rPr>
          <w:lang w:val="pl-PL"/>
        </w:rPr>
        <w:t xml:space="preserve"> nr 5829/04</w:t>
      </w:r>
    </w:p>
    <w:p w:rsidR="00CB1419" w:rsidRDefault="00CB1419" w:rsidP="00CB1419">
      <w:pPr>
        <w:pStyle w:val="Akapitzlist"/>
        <w:numPr>
          <w:ilvl w:val="0"/>
          <w:numId w:val="3"/>
        </w:numPr>
        <w:rPr>
          <w:lang w:val="pl-PL"/>
        </w:rPr>
      </w:pPr>
      <w:r w:rsidRPr="00CB1419">
        <w:rPr>
          <w:lang w:val="pl-PL"/>
        </w:rPr>
        <w:t>Baranowski przeciwko Polsce, nr 28358/95</w:t>
      </w:r>
    </w:p>
    <w:p w:rsidR="00CB1419" w:rsidRPr="002D1D78" w:rsidRDefault="00CB1419" w:rsidP="00CB1419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CB1419">
        <w:rPr>
          <w:lang w:val="pl-PL"/>
        </w:rPr>
        <w:t>Scordino</w:t>
      </w:r>
      <w:proofErr w:type="spellEnd"/>
      <w:r w:rsidRPr="00CB1419">
        <w:rPr>
          <w:lang w:val="pl-PL"/>
        </w:rPr>
        <w:t xml:space="preserve"> przeciwko Włochom (nr1) ([GC], nr 36813/97</w:t>
      </w:r>
    </w:p>
    <w:sectPr w:rsidR="00CB1419" w:rsidRPr="002D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F1D"/>
    <w:multiLevelType w:val="hybridMultilevel"/>
    <w:tmpl w:val="9154B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2E4"/>
    <w:multiLevelType w:val="hybridMultilevel"/>
    <w:tmpl w:val="12686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479FB"/>
    <w:multiLevelType w:val="hybridMultilevel"/>
    <w:tmpl w:val="E432F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C03EC"/>
    <w:multiLevelType w:val="hybridMultilevel"/>
    <w:tmpl w:val="2D6A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6C"/>
    <w:rsid w:val="00144F6A"/>
    <w:rsid w:val="00147226"/>
    <w:rsid w:val="002D1D78"/>
    <w:rsid w:val="0042466C"/>
    <w:rsid w:val="00455C5B"/>
    <w:rsid w:val="00C03642"/>
    <w:rsid w:val="00C57851"/>
    <w:rsid w:val="00CB1419"/>
    <w:rsid w:val="00E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4</cp:revision>
  <dcterms:created xsi:type="dcterms:W3CDTF">2015-11-06T12:03:00Z</dcterms:created>
  <dcterms:modified xsi:type="dcterms:W3CDTF">2015-11-17T08:37:00Z</dcterms:modified>
</cp:coreProperties>
</file>