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6A" w:rsidRPr="0022499F" w:rsidRDefault="00F71A6A" w:rsidP="00042867">
      <w:pPr>
        <w:jc w:val="center"/>
        <w:rPr>
          <w:lang w:val="pl-PL"/>
        </w:rPr>
      </w:pPr>
    </w:p>
    <w:p w:rsidR="00683DCB" w:rsidRPr="0022499F" w:rsidRDefault="00683DCB" w:rsidP="00042867">
      <w:pPr>
        <w:jc w:val="center"/>
        <w:rPr>
          <w:lang w:val="pl-PL"/>
        </w:rPr>
      </w:pPr>
    </w:p>
    <w:p w:rsidR="00683DCB" w:rsidRPr="0022499F" w:rsidRDefault="00683DCB" w:rsidP="00042867">
      <w:pPr>
        <w:jc w:val="center"/>
        <w:rPr>
          <w:lang w:val="pl-PL"/>
        </w:rPr>
      </w:pPr>
    </w:p>
    <w:p w:rsidR="00F71A6A" w:rsidRPr="0022499F" w:rsidRDefault="00B05504" w:rsidP="00042867">
      <w:pPr>
        <w:jc w:val="center"/>
        <w:rPr>
          <w:lang w:val="pl-PL"/>
        </w:rPr>
      </w:pPr>
      <w:r w:rsidRPr="0022499F">
        <w:rPr>
          <w:lang w:val="pl-PL"/>
        </w:rPr>
        <w:t>SEKCJA CZWARTA</w:t>
      </w:r>
    </w:p>
    <w:p w:rsidR="00F71A6A" w:rsidRPr="0022499F" w:rsidRDefault="00F71A6A" w:rsidP="00042867">
      <w:pPr>
        <w:jc w:val="center"/>
        <w:rPr>
          <w:lang w:val="pl-PL"/>
        </w:rPr>
      </w:pPr>
    </w:p>
    <w:p w:rsidR="00683DCB" w:rsidRPr="0022499F" w:rsidRDefault="00683DCB" w:rsidP="00042867">
      <w:pPr>
        <w:jc w:val="center"/>
        <w:rPr>
          <w:lang w:val="pl-PL"/>
        </w:rPr>
      </w:pPr>
    </w:p>
    <w:p w:rsidR="00683DCB" w:rsidRPr="0022499F" w:rsidRDefault="00683DCB" w:rsidP="00042867">
      <w:pPr>
        <w:jc w:val="center"/>
        <w:rPr>
          <w:lang w:val="pl-PL"/>
        </w:rPr>
      </w:pPr>
    </w:p>
    <w:p w:rsidR="00683DCB" w:rsidRPr="0022499F" w:rsidRDefault="00683DCB" w:rsidP="00042867">
      <w:pPr>
        <w:jc w:val="center"/>
        <w:rPr>
          <w:lang w:val="pl-PL"/>
        </w:rPr>
      </w:pPr>
    </w:p>
    <w:p w:rsidR="00683DCB" w:rsidRPr="0022499F" w:rsidRDefault="00683DCB" w:rsidP="00042867">
      <w:pPr>
        <w:jc w:val="center"/>
        <w:rPr>
          <w:lang w:val="pl-PL"/>
        </w:rPr>
      </w:pPr>
    </w:p>
    <w:p w:rsidR="00683DCB" w:rsidRPr="0022499F" w:rsidRDefault="00683DCB" w:rsidP="00042867">
      <w:pPr>
        <w:jc w:val="center"/>
        <w:rPr>
          <w:lang w:val="pl-PL"/>
        </w:rPr>
      </w:pPr>
    </w:p>
    <w:p w:rsidR="00F71A6A" w:rsidRPr="0022499F" w:rsidRDefault="00B05504" w:rsidP="00042867">
      <w:pPr>
        <w:jc w:val="center"/>
        <w:rPr>
          <w:b/>
          <w:lang w:val="pl-PL"/>
        </w:rPr>
      </w:pPr>
      <w:bookmarkStart w:id="0" w:name="To"/>
      <w:r w:rsidRPr="0022499F">
        <w:rPr>
          <w:b/>
          <w:lang w:val="pl-PL"/>
        </w:rPr>
        <w:t>SPRAWA</w:t>
      </w:r>
      <w:r w:rsidR="00F71A6A" w:rsidRPr="0022499F">
        <w:rPr>
          <w:b/>
          <w:lang w:val="pl-PL"/>
        </w:rPr>
        <w:t xml:space="preserve"> </w:t>
      </w:r>
      <w:bookmarkEnd w:id="0"/>
      <w:r w:rsidR="00366A6D" w:rsidRPr="0022499F">
        <w:rPr>
          <w:b/>
          <w:lang w:val="pl-PL"/>
        </w:rPr>
        <w:t xml:space="preserve">D.F. </w:t>
      </w:r>
      <w:r w:rsidRPr="0022499F">
        <w:rPr>
          <w:b/>
          <w:lang w:val="pl-PL"/>
        </w:rPr>
        <w:t>p. ŁOTWIE</w:t>
      </w:r>
    </w:p>
    <w:p w:rsidR="00F71A6A" w:rsidRPr="0022499F" w:rsidRDefault="00F71A6A" w:rsidP="00042867">
      <w:pPr>
        <w:jc w:val="center"/>
        <w:rPr>
          <w:lang w:val="pl-PL"/>
        </w:rPr>
      </w:pPr>
    </w:p>
    <w:p w:rsidR="00F71A6A" w:rsidRPr="0022499F" w:rsidRDefault="00F71A6A" w:rsidP="00042867">
      <w:pPr>
        <w:jc w:val="center"/>
        <w:rPr>
          <w:i/>
          <w:lang w:val="pl-PL"/>
        </w:rPr>
      </w:pPr>
      <w:r w:rsidRPr="0022499F">
        <w:rPr>
          <w:i/>
          <w:lang w:val="pl-PL"/>
        </w:rPr>
        <w:t>(</w:t>
      </w:r>
      <w:r w:rsidR="00B05504" w:rsidRPr="0022499F">
        <w:rPr>
          <w:i/>
          <w:lang w:val="pl-PL"/>
        </w:rPr>
        <w:t>Skarga nr</w:t>
      </w:r>
      <w:r w:rsidR="00832702" w:rsidRPr="0022499F">
        <w:rPr>
          <w:i/>
          <w:lang w:val="pl-PL"/>
        </w:rPr>
        <w:t xml:space="preserve"> 11160/07</w:t>
      </w:r>
      <w:r w:rsidRPr="0022499F">
        <w:rPr>
          <w:i/>
          <w:lang w:val="pl-PL"/>
        </w:rPr>
        <w:t>)</w:t>
      </w:r>
    </w:p>
    <w:p w:rsidR="00F71A6A" w:rsidRPr="0022499F" w:rsidRDefault="00F71A6A" w:rsidP="00042867">
      <w:pPr>
        <w:jc w:val="center"/>
        <w:rPr>
          <w:lang w:val="pl-PL"/>
        </w:rPr>
      </w:pPr>
    </w:p>
    <w:p w:rsidR="00F71A6A" w:rsidRPr="0022499F" w:rsidRDefault="00F71A6A" w:rsidP="00042867">
      <w:pPr>
        <w:jc w:val="center"/>
        <w:rPr>
          <w:lang w:val="pl-PL"/>
        </w:rPr>
      </w:pPr>
    </w:p>
    <w:p w:rsidR="00F71A6A" w:rsidRPr="0022499F" w:rsidRDefault="00F71A6A" w:rsidP="00042867">
      <w:pPr>
        <w:jc w:val="center"/>
        <w:rPr>
          <w:lang w:val="pl-PL"/>
        </w:rPr>
      </w:pPr>
    </w:p>
    <w:p w:rsidR="00F71A6A" w:rsidRPr="0022499F" w:rsidRDefault="00F71A6A" w:rsidP="00042867">
      <w:pPr>
        <w:jc w:val="center"/>
        <w:rPr>
          <w:lang w:val="pl-PL"/>
        </w:rPr>
      </w:pPr>
    </w:p>
    <w:p w:rsidR="00D870DC" w:rsidRPr="0022499F" w:rsidRDefault="00D870DC" w:rsidP="00042867">
      <w:pPr>
        <w:jc w:val="center"/>
        <w:rPr>
          <w:lang w:val="pl-PL"/>
        </w:rPr>
      </w:pPr>
    </w:p>
    <w:p w:rsidR="00F71A6A" w:rsidRPr="0022499F" w:rsidRDefault="00F71A6A" w:rsidP="00042867">
      <w:pPr>
        <w:jc w:val="center"/>
        <w:rPr>
          <w:lang w:val="pl-PL"/>
        </w:rPr>
      </w:pPr>
    </w:p>
    <w:p w:rsidR="00F71A6A" w:rsidRPr="0022499F" w:rsidRDefault="00F71A6A" w:rsidP="00042867">
      <w:pPr>
        <w:jc w:val="center"/>
        <w:rPr>
          <w:lang w:val="pl-PL"/>
        </w:rPr>
      </w:pPr>
    </w:p>
    <w:p w:rsidR="00683DCB" w:rsidRPr="0022499F" w:rsidRDefault="00B05504" w:rsidP="00683DCB">
      <w:pPr>
        <w:pStyle w:val="JuPara"/>
        <w:ind w:firstLine="0"/>
        <w:jc w:val="center"/>
        <w:rPr>
          <w:lang w:val="pl-PL"/>
        </w:rPr>
      </w:pPr>
      <w:r w:rsidRPr="0022499F">
        <w:rPr>
          <w:lang w:val="pl-PL"/>
        </w:rPr>
        <w:t>WYROK</w:t>
      </w:r>
    </w:p>
    <w:p w:rsidR="00683DCB" w:rsidRPr="0022499F" w:rsidRDefault="00683DCB" w:rsidP="00683DCB">
      <w:pPr>
        <w:pStyle w:val="JuPara"/>
        <w:ind w:firstLine="0"/>
        <w:jc w:val="center"/>
        <w:rPr>
          <w:lang w:val="pl-PL"/>
        </w:rPr>
      </w:pPr>
    </w:p>
    <w:p w:rsidR="00B44801" w:rsidRPr="0022499F" w:rsidRDefault="00B44801" w:rsidP="00683DCB">
      <w:pPr>
        <w:pStyle w:val="JuPara"/>
        <w:ind w:firstLine="0"/>
        <w:jc w:val="center"/>
        <w:rPr>
          <w:lang w:val="pl-PL"/>
        </w:rPr>
      </w:pPr>
    </w:p>
    <w:p w:rsidR="00B44801" w:rsidRPr="0022499F" w:rsidRDefault="00B44801" w:rsidP="00683DCB">
      <w:pPr>
        <w:pStyle w:val="JuPara"/>
        <w:ind w:firstLine="0"/>
        <w:jc w:val="center"/>
        <w:rPr>
          <w:lang w:val="pl-PL"/>
        </w:rPr>
      </w:pPr>
    </w:p>
    <w:p w:rsidR="00B44801" w:rsidRPr="0022499F" w:rsidRDefault="00B44801" w:rsidP="00683DCB">
      <w:pPr>
        <w:pStyle w:val="JuPara"/>
        <w:ind w:firstLine="0"/>
        <w:jc w:val="center"/>
        <w:rPr>
          <w:lang w:val="pl-PL"/>
        </w:rPr>
      </w:pPr>
    </w:p>
    <w:p w:rsidR="00683DCB" w:rsidRPr="0022499F" w:rsidRDefault="00B05504" w:rsidP="00683DCB">
      <w:pPr>
        <w:pStyle w:val="JuPara"/>
        <w:ind w:firstLine="0"/>
        <w:jc w:val="center"/>
        <w:rPr>
          <w:lang w:val="pl-PL"/>
        </w:rPr>
      </w:pPr>
      <w:r w:rsidRPr="0022499F">
        <w:rPr>
          <w:lang w:val="pl-PL"/>
        </w:rPr>
        <w:t>STRASB</w:t>
      </w:r>
      <w:r w:rsidR="00683DCB" w:rsidRPr="0022499F">
        <w:rPr>
          <w:lang w:val="pl-PL"/>
        </w:rPr>
        <w:t>URG</w:t>
      </w:r>
    </w:p>
    <w:p w:rsidR="00683DCB" w:rsidRPr="0022499F" w:rsidRDefault="00683DCB" w:rsidP="00683DCB">
      <w:pPr>
        <w:pStyle w:val="JuPara"/>
        <w:ind w:firstLine="0"/>
        <w:jc w:val="center"/>
        <w:rPr>
          <w:lang w:val="pl-PL"/>
        </w:rPr>
      </w:pPr>
    </w:p>
    <w:p w:rsidR="00683DCB" w:rsidRPr="0022499F" w:rsidRDefault="00683DCB" w:rsidP="00683DCB">
      <w:pPr>
        <w:pStyle w:val="JuPara"/>
        <w:ind w:firstLine="0"/>
        <w:jc w:val="center"/>
        <w:rPr>
          <w:lang w:val="pl-PL"/>
        </w:rPr>
      </w:pPr>
      <w:r w:rsidRPr="0022499F">
        <w:rPr>
          <w:lang w:val="pl-PL"/>
        </w:rPr>
        <w:t xml:space="preserve">29 </w:t>
      </w:r>
      <w:r w:rsidR="009C6841" w:rsidRPr="0022499F">
        <w:rPr>
          <w:lang w:val="pl-PL"/>
        </w:rPr>
        <w:t>października</w:t>
      </w:r>
      <w:r w:rsidR="00B05504" w:rsidRPr="0022499F">
        <w:rPr>
          <w:lang w:val="pl-PL"/>
        </w:rPr>
        <w:t xml:space="preserve"> </w:t>
      </w:r>
      <w:r w:rsidRPr="0022499F">
        <w:rPr>
          <w:lang w:val="pl-PL"/>
        </w:rPr>
        <w:t>2013</w:t>
      </w:r>
    </w:p>
    <w:p w:rsidR="00683DCB" w:rsidRPr="0022499F" w:rsidRDefault="00683DCB" w:rsidP="00683DCB">
      <w:pPr>
        <w:pStyle w:val="JuPara"/>
        <w:ind w:firstLine="0"/>
        <w:jc w:val="center"/>
        <w:rPr>
          <w:lang w:val="pl-PL"/>
        </w:rPr>
      </w:pPr>
    </w:p>
    <w:p w:rsidR="00B44801" w:rsidRPr="0022499F" w:rsidRDefault="00B44801" w:rsidP="00683DCB">
      <w:pPr>
        <w:pStyle w:val="JuPara"/>
        <w:ind w:firstLine="0"/>
        <w:jc w:val="center"/>
        <w:rPr>
          <w:lang w:val="pl-PL"/>
        </w:rPr>
      </w:pPr>
    </w:p>
    <w:p w:rsidR="00F15585" w:rsidRPr="0022499F" w:rsidRDefault="00B05504" w:rsidP="00F15585">
      <w:pPr>
        <w:pStyle w:val="jucase0"/>
        <w:ind w:firstLine="0"/>
        <w:jc w:val="center"/>
        <w:rPr>
          <w:color w:val="FF0000"/>
          <w:sz w:val="28"/>
          <w:szCs w:val="28"/>
          <w:u w:val="single"/>
          <w:lang w:val="pl-PL"/>
        </w:rPr>
      </w:pPr>
      <w:r w:rsidRPr="0022499F">
        <w:rPr>
          <w:color w:val="FF0000"/>
          <w:sz w:val="28"/>
          <w:szCs w:val="28"/>
          <w:u w:val="single"/>
          <w:lang w:val="pl-PL"/>
        </w:rPr>
        <w:t>OSTATECZNY</w:t>
      </w:r>
    </w:p>
    <w:p w:rsidR="00F15585" w:rsidRPr="0022499F" w:rsidRDefault="00F15585" w:rsidP="00F15585">
      <w:pPr>
        <w:pStyle w:val="jupara0"/>
        <w:ind w:firstLine="0"/>
        <w:rPr>
          <w:color w:val="FF0000"/>
          <w:sz w:val="28"/>
          <w:szCs w:val="28"/>
          <w:lang w:val="pl-PL"/>
        </w:rPr>
      </w:pPr>
    </w:p>
    <w:p w:rsidR="00F15585" w:rsidRPr="0022499F" w:rsidRDefault="00F15585" w:rsidP="00F15585">
      <w:pPr>
        <w:pStyle w:val="jupara0"/>
        <w:ind w:firstLine="0"/>
        <w:jc w:val="center"/>
        <w:rPr>
          <w:color w:val="FF0000"/>
          <w:sz w:val="28"/>
          <w:szCs w:val="28"/>
          <w:lang w:val="pl-PL"/>
        </w:rPr>
      </w:pPr>
      <w:r w:rsidRPr="0022499F">
        <w:rPr>
          <w:color w:val="FF0000"/>
          <w:sz w:val="28"/>
          <w:szCs w:val="28"/>
          <w:lang w:val="pl-PL"/>
        </w:rPr>
        <w:t>29/01/2014</w:t>
      </w:r>
    </w:p>
    <w:p w:rsidR="00F15585" w:rsidRPr="0022499F" w:rsidRDefault="00F15585" w:rsidP="00F15585">
      <w:pPr>
        <w:pStyle w:val="jupara0"/>
        <w:ind w:firstLine="0"/>
        <w:jc w:val="center"/>
        <w:rPr>
          <w:lang w:val="pl-PL"/>
        </w:rPr>
      </w:pPr>
    </w:p>
    <w:p w:rsidR="00B05504" w:rsidRPr="0022499F" w:rsidRDefault="00B05504" w:rsidP="00B05504">
      <w:pPr>
        <w:rPr>
          <w:i/>
          <w:iCs/>
          <w:sz w:val="22"/>
          <w:szCs w:val="22"/>
          <w:lang w:val="pl-PL"/>
        </w:rPr>
      </w:pPr>
      <w:r w:rsidRPr="0022499F">
        <w:rPr>
          <w:i/>
          <w:color w:val="000000"/>
          <w:szCs w:val="24"/>
          <w:lang w:val="pl-PL"/>
        </w:rPr>
        <w:t xml:space="preserve">Niniejszy wyrok stał się ostateczny </w:t>
      </w:r>
      <w:r w:rsidRPr="0022499F">
        <w:rPr>
          <w:i/>
          <w:lang w:val="pl-PL"/>
        </w:rPr>
        <w:t xml:space="preserve">na podstawie </w:t>
      </w:r>
      <w:r w:rsidRPr="0022499F">
        <w:rPr>
          <w:i/>
          <w:color w:val="000000"/>
          <w:szCs w:val="24"/>
          <w:lang w:val="pl-PL"/>
        </w:rPr>
        <w:t>Artykułu 44 § 2 Konwencji. Wyrok może podlegać korekcie wydawniczej.</w:t>
      </w:r>
    </w:p>
    <w:p w:rsidR="00683DCB" w:rsidRPr="0022499F" w:rsidRDefault="00683DCB" w:rsidP="00B44801">
      <w:pPr>
        <w:pStyle w:val="JuPara"/>
        <w:ind w:firstLine="0"/>
        <w:jc w:val="left"/>
        <w:rPr>
          <w:lang w:val="pl-PL"/>
        </w:rPr>
        <w:sectPr w:rsidR="00683DCB" w:rsidRPr="0022499F" w:rsidSect="00683DCB">
          <w:head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r w:rsidRPr="0022499F">
        <w:rPr>
          <w:lang w:val="pl-PL"/>
        </w:rPr>
        <w:t xml:space="preserve"> </w:t>
      </w:r>
    </w:p>
    <w:p w:rsidR="00B030BE" w:rsidRPr="0022499F" w:rsidRDefault="00B05504" w:rsidP="00B030BE">
      <w:pPr>
        <w:pStyle w:val="JuCase"/>
        <w:rPr>
          <w:b w:val="0"/>
          <w:bCs/>
          <w:lang w:val="pl-PL"/>
        </w:rPr>
      </w:pPr>
      <w:r w:rsidRPr="0022499F">
        <w:rPr>
          <w:lang w:val="pl-PL"/>
        </w:rPr>
        <w:lastRenderedPageBreak/>
        <w:t>W sprawie</w:t>
      </w:r>
      <w:r w:rsidR="00B030BE" w:rsidRPr="0022499F">
        <w:rPr>
          <w:lang w:val="pl-PL"/>
        </w:rPr>
        <w:t xml:space="preserve"> </w:t>
      </w:r>
      <w:r w:rsidR="00366A6D" w:rsidRPr="0022499F">
        <w:rPr>
          <w:lang w:val="pl-PL"/>
        </w:rPr>
        <w:t xml:space="preserve">D.F. </w:t>
      </w:r>
      <w:r w:rsidRPr="0022499F">
        <w:rPr>
          <w:lang w:val="pl-PL"/>
        </w:rPr>
        <w:t>przeciwko Łotwie</w:t>
      </w:r>
      <w:r w:rsidR="00B030BE" w:rsidRPr="0022499F">
        <w:rPr>
          <w:lang w:val="pl-PL"/>
        </w:rPr>
        <w:t>,</w:t>
      </w:r>
    </w:p>
    <w:p w:rsidR="00730433" w:rsidRPr="0022499F" w:rsidRDefault="00B05504" w:rsidP="00B05504">
      <w:pPr>
        <w:pStyle w:val="JuPara"/>
        <w:rPr>
          <w:lang w:val="pl-PL"/>
        </w:rPr>
      </w:pPr>
      <w:r w:rsidRPr="0022499F">
        <w:rPr>
          <w:lang w:val="pl-PL"/>
        </w:rPr>
        <w:t>Europejski Trybunał Praw Człowieka (Sekcja Czwarta), zasiadając jako Izba w składzie:</w:t>
      </w:r>
    </w:p>
    <w:p w:rsidR="00F71A6A" w:rsidRPr="0022499F" w:rsidRDefault="00433E7F" w:rsidP="008824B9">
      <w:pPr>
        <w:pStyle w:val="JuJudges"/>
        <w:rPr>
          <w:lang w:val="pl-PL"/>
        </w:rPr>
      </w:pPr>
      <w:r w:rsidRPr="0022499F">
        <w:rPr>
          <w:rStyle w:val="JuJudgesChar"/>
          <w:lang w:val="pl-PL"/>
        </w:rPr>
        <w:tab/>
        <w:t xml:space="preserve">David </w:t>
      </w:r>
      <w:proofErr w:type="spellStart"/>
      <w:r w:rsidRPr="0022499F">
        <w:rPr>
          <w:rStyle w:val="JuJudgesChar"/>
          <w:lang w:val="pl-PL"/>
        </w:rPr>
        <w:t>Thór</w:t>
      </w:r>
      <w:proofErr w:type="spellEnd"/>
      <w:r w:rsidRPr="0022499F">
        <w:rPr>
          <w:rStyle w:val="JuJudgesChar"/>
          <w:lang w:val="pl-PL"/>
        </w:rPr>
        <w:t xml:space="preserve"> </w:t>
      </w:r>
      <w:proofErr w:type="spellStart"/>
      <w:r w:rsidRPr="0022499F">
        <w:rPr>
          <w:rStyle w:val="JuJudgesChar"/>
          <w:lang w:val="pl-PL"/>
        </w:rPr>
        <w:t>Björgvinsson</w:t>
      </w:r>
      <w:proofErr w:type="spellEnd"/>
      <w:r w:rsidRPr="0022499F">
        <w:rPr>
          <w:rStyle w:val="JuJudgesChar"/>
          <w:lang w:val="pl-PL"/>
        </w:rPr>
        <w:t>,</w:t>
      </w:r>
      <w:r w:rsidRPr="0022499F">
        <w:rPr>
          <w:rStyle w:val="JuJudgesChar"/>
          <w:i/>
          <w:lang w:val="pl-PL"/>
        </w:rPr>
        <w:t xml:space="preserve"> </w:t>
      </w:r>
      <w:r w:rsidR="00B05504" w:rsidRPr="0022499F">
        <w:rPr>
          <w:rStyle w:val="JuJudgesChar"/>
          <w:i/>
          <w:lang w:val="pl-PL"/>
        </w:rPr>
        <w:t>Przewodniczący,</w:t>
      </w:r>
      <w:r w:rsidRPr="0022499F">
        <w:rPr>
          <w:rStyle w:val="JuJudgesChar"/>
          <w:i/>
          <w:lang w:val="pl-PL"/>
        </w:rPr>
        <w:br/>
      </w:r>
      <w:r w:rsidRPr="0022499F">
        <w:rPr>
          <w:rStyle w:val="JuJudgesChar"/>
          <w:lang w:val="pl-PL"/>
        </w:rPr>
        <w:tab/>
      </w:r>
      <w:proofErr w:type="spellStart"/>
      <w:r w:rsidRPr="0022499F">
        <w:rPr>
          <w:rStyle w:val="JuJudgesChar"/>
          <w:lang w:val="pl-PL"/>
        </w:rPr>
        <w:t>Ineta</w:t>
      </w:r>
      <w:proofErr w:type="spellEnd"/>
      <w:r w:rsidRPr="0022499F">
        <w:rPr>
          <w:rStyle w:val="JuJudgesChar"/>
          <w:lang w:val="pl-PL"/>
        </w:rPr>
        <w:t xml:space="preserve"> </w:t>
      </w:r>
      <w:proofErr w:type="spellStart"/>
      <w:r w:rsidRPr="0022499F">
        <w:rPr>
          <w:rStyle w:val="JuJudgesChar"/>
          <w:lang w:val="pl-PL"/>
        </w:rPr>
        <w:t>Ziemele</w:t>
      </w:r>
      <w:proofErr w:type="spellEnd"/>
      <w:r w:rsidRPr="0022499F">
        <w:rPr>
          <w:rStyle w:val="JuJudgesChar"/>
          <w:lang w:val="pl-PL"/>
        </w:rPr>
        <w:t>,</w:t>
      </w:r>
      <w:r w:rsidRPr="0022499F">
        <w:rPr>
          <w:rStyle w:val="JuJudgesChar"/>
          <w:i/>
          <w:lang w:val="pl-PL"/>
        </w:rPr>
        <w:br/>
      </w:r>
      <w:r w:rsidRPr="0022499F">
        <w:rPr>
          <w:rStyle w:val="JuJudgesChar"/>
          <w:lang w:val="pl-PL"/>
        </w:rPr>
        <w:tab/>
      </w:r>
      <w:proofErr w:type="spellStart"/>
      <w:r w:rsidRPr="0022499F">
        <w:rPr>
          <w:rStyle w:val="JuJudgesChar"/>
          <w:lang w:val="pl-PL"/>
        </w:rPr>
        <w:t>Päivi</w:t>
      </w:r>
      <w:proofErr w:type="spellEnd"/>
      <w:r w:rsidRPr="0022499F">
        <w:rPr>
          <w:rStyle w:val="JuJudgesChar"/>
          <w:lang w:val="pl-PL"/>
        </w:rPr>
        <w:t xml:space="preserve"> </w:t>
      </w:r>
      <w:proofErr w:type="spellStart"/>
      <w:r w:rsidRPr="0022499F">
        <w:rPr>
          <w:rStyle w:val="JuJudgesChar"/>
          <w:lang w:val="pl-PL"/>
        </w:rPr>
        <w:t>Hirvelä</w:t>
      </w:r>
      <w:proofErr w:type="spellEnd"/>
      <w:r w:rsidRPr="0022499F">
        <w:rPr>
          <w:rStyle w:val="JuJudgesChar"/>
          <w:lang w:val="pl-PL"/>
        </w:rPr>
        <w:t>,</w:t>
      </w:r>
      <w:r w:rsidRPr="0022499F">
        <w:rPr>
          <w:rStyle w:val="JuJudgesChar"/>
          <w:i/>
          <w:lang w:val="pl-PL"/>
        </w:rPr>
        <w:br/>
      </w:r>
      <w:r w:rsidRPr="0022499F">
        <w:rPr>
          <w:rStyle w:val="JuJudgesChar"/>
          <w:lang w:val="pl-PL"/>
        </w:rPr>
        <w:tab/>
        <w:t xml:space="preserve">George </w:t>
      </w:r>
      <w:proofErr w:type="spellStart"/>
      <w:r w:rsidRPr="0022499F">
        <w:rPr>
          <w:rStyle w:val="JuJudgesChar"/>
          <w:lang w:val="pl-PL"/>
        </w:rPr>
        <w:t>Nicolaou</w:t>
      </w:r>
      <w:proofErr w:type="spellEnd"/>
      <w:r w:rsidRPr="0022499F">
        <w:rPr>
          <w:rStyle w:val="JuJudgesChar"/>
          <w:lang w:val="pl-PL"/>
        </w:rPr>
        <w:t>,</w:t>
      </w:r>
      <w:r w:rsidRPr="0022499F">
        <w:rPr>
          <w:rStyle w:val="JuJudgesChar"/>
          <w:i/>
          <w:lang w:val="pl-PL"/>
        </w:rPr>
        <w:br/>
      </w:r>
      <w:r w:rsidRPr="0022499F">
        <w:rPr>
          <w:rStyle w:val="JuJudgesChar"/>
          <w:lang w:val="pl-PL"/>
        </w:rPr>
        <w:tab/>
      </w:r>
      <w:proofErr w:type="spellStart"/>
      <w:r w:rsidRPr="0022499F">
        <w:rPr>
          <w:rStyle w:val="JuJudgesChar"/>
          <w:lang w:val="pl-PL"/>
        </w:rPr>
        <w:t>Ledi</w:t>
      </w:r>
      <w:proofErr w:type="spellEnd"/>
      <w:r w:rsidRPr="0022499F">
        <w:rPr>
          <w:rStyle w:val="JuJudgesChar"/>
          <w:lang w:val="pl-PL"/>
        </w:rPr>
        <w:t xml:space="preserve"> </w:t>
      </w:r>
      <w:proofErr w:type="spellStart"/>
      <w:r w:rsidRPr="0022499F">
        <w:rPr>
          <w:rStyle w:val="JuJudgesChar"/>
          <w:lang w:val="pl-PL"/>
        </w:rPr>
        <w:t>Bianku</w:t>
      </w:r>
      <w:proofErr w:type="spellEnd"/>
      <w:r w:rsidRPr="0022499F">
        <w:rPr>
          <w:rStyle w:val="JuJudgesChar"/>
          <w:lang w:val="pl-PL"/>
        </w:rPr>
        <w:t>,</w:t>
      </w:r>
      <w:r w:rsidRPr="0022499F">
        <w:rPr>
          <w:rStyle w:val="JuJudgesChar"/>
          <w:i/>
          <w:lang w:val="pl-PL"/>
        </w:rPr>
        <w:br/>
      </w:r>
      <w:r w:rsidRPr="0022499F">
        <w:rPr>
          <w:rStyle w:val="JuJudgesChar"/>
          <w:lang w:val="pl-PL"/>
        </w:rPr>
        <w:tab/>
      </w:r>
      <w:proofErr w:type="spellStart"/>
      <w:r w:rsidRPr="0022499F">
        <w:rPr>
          <w:rStyle w:val="JuJudgesChar"/>
          <w:lang w:val="pl-PL"/>
        </w:rPr>
        <w:t>Zdravka</w:t>
      </w:r>
      <w:proofErr w:type="spellEnd"/>
      <w:r w:rsidRPr="0022499F">
        <w:rPr>
          <w:rStyle w:val="JuJudgesChar"/>
          <w:lang w:val="pl-PL"/>
        </w:rPr>
        <w:t xml:space="preserve"> </w:t>
      </w:r>
      <w:proofErr w:type="spellStart"/>
      <w:r w:rsidRPr="0022499F">
        <w:rPr>
          <w:rStyle w:val="JuJudgesChar"/>
          <w:lang w:val="pl-PL"/>
        </w:rPr>
        <w:t>Kalaydjieva</w:t>
      </w:r>
      <w:proofErr w:type="spellEnd"/>
      <w:r w:rsidRPr="0022499F">
        <w:rPr>
          <w:rStyle w:val="JuJudgesChar"/>
          <w:lang w:val="pl-PL"/>
        </w:rPr>
        <w:t>,</w:t>
      </w:r>
      <w:r w:rsidRPr="0022499F">
        <w:rPr>
          <w:rStyle w:val="JuJudgesChar"/>
          <w:i/>
          <w:lang w:val="pl-PL"/>
        </w:rPr>
        <w:br/>
      </w:r>
      <w:r w:rsidRPr="0022499F">
        <w:rPr>
          <w:rStyle w:val="JuJudgesChar"/>
          <w:lang w:val="pl-PL"/>
        </w:rPr>
        <w:tab/>
        <w:t>Vincent A. De Gaetano,</w:t>
      </w:r>
      <w:r w:rsidR="00B05504" w:rsidRPr="0022499F">
        <w:rPr>
          <w:rStyle w:val="JuJudgesChar"/>
          <w:i/>
          <w:lang w:val="pl-PL"/>
        </w:rPr>
        <w:t xml:space="preserve"> sędziowie</w:t>
      </w:r>
      <w:r w:rsidRPr="0022499F">
        <w:rPr>
          <w:rStyle w:val="JuJudgesChar"/>
          <w:i/>
          <w:lang w:val="pl-PL"/>
        </w:rPr>
        <w:t>,</w:t>
      </w:r>
      <w:r w:rsidRPr="0022499F">
        <w:rPr>
          <w:rStyle w:val="JuJudgesChar"/>
          <w:i/>
          <w:lang w:val="pl-PL"/>
        </w:rPr>
        <w:br/>
      </w:r>
      <w:r w:rsidR="00B05504" w:rsidRPr="0022499F">
        <w:rPr>
          <w:lang w:val="pl-PL"/>
        </w:rPr>
        <w:t>oraz</w:t>
      </w:r>
      <w:r w:rsidR="000726F6" w:rsidRPr="0022499F">
        <w:rPr>
          <w:lang w:val="pl-PL"/>
        </w:rPr>
        <w:t xml:space="preserve"> </w:t>
      </w:r>
      <w:proofErr w:type="spellStart"/>
      <w:r w:rsidR="00C14E5C" w:rsidRPr="0022499F">
        <w:rPr>
          <w:lang w:val="pl-PL"/>
        </w:rPr>
        <w:t>Françoise</w:t>
      </w:r>
      <w:proofErr w:type="spellEnd"/>
      <w:r w:rsidR="00C14E5C" w:rsidRPr="0022499F">
        <w:rPr>
          <w:lang w:val="pl-PL"/>
        </w:rPr>
        <w:t xml:space="preserve"> </w:t>
      </w:r>
      <w:proofErr w:type="spellStart"/>
      <w:r w:rsidR="00C14E5C" w:rsidRPr="0022499F">
        <w:rPr>
          <w:lang w:val="pl-PL"/>
        </w:rPr>
        <w:t>Elens</w:t>
      </w:r>
      <w:proofErr w:type="spellEnd"/>
      <w:r w:rsidR="00C14E5C" w:rsidRPr="0022499F">
        <w:rPr>
          <w:lang w:val="pl-PL"/>
        </w:rPr>
        <w:t>-Passos</w:t>
      </w:r>
      <w:r w:rsidR="009D4B87" w:rsidRPr="0022499F">
        <w:rPr>
          <w:rStyle w:val="JuJudgesChar"/>
          <w:lang w:val="pl-PL"/>
        </w:rPr>
        <w:t xml:space="preserve">, </w:t>
      </w:r>
      <w:r w:rsidR="00B05504" w:rsidRPr="0022499F">
        <w:rPr>
          <w:i/>
          <w:lang w:val="pl-PL"/>
        </w:rPr>
        <w:t>Kanclerz Sekcji</w:t>
      </w:r>
      <w:r w:rsidR="00F71A6A" w:rsidRPr="0022499F">
        <w:rPr>
          <w:i/>
          <w:lang w:val="pl-PL"/>
        </w:rPr>
        <w:t>,</w:t>
      </w:r>
    </w:p>
    <w:p w:rsidR="00B05504" w:rsidRPr="0022499F" w:rsidRDefault="00B05504" w:rsidP="00B05504">
      <w:pPr>
        <w:pStyle w:val="JuPara"/>
        <w:rPr>
          <w:lang w:val="pl-PL"/>
        </w:rPr>
      </w:pPr>
      <w:r w:rsidRPr="0022499F">
        <w:rPr>
          <w:lang w:val="pl-PL"/>
        </w:rPr>
        <w:t>Obradując na posiedzeniu niejawnym w dniu 8 października 2013 roku,</w:t>
      </w:r>
    </w:p>
    <w:p w:rsidR="00F71A6A" w:rsidRPr="0022499F" w:rsidRDefault="00B05504" w:rsidP="00B05504">
      <w:pPr>
        <w:pStyle w:val="JuPara"/>
        <w:rPr>
          <w:lang w:val="pl-PL"/>
        </w:rPr>
      </w:pPr>
      <w:r w:rsidRPr="0022499F">
        <w:rPr>
          <w:lang w:val="pl-PL"/>
        </w:rPr>
        <w:t>Wydaje następujący wyrok, który został przyjęty w tym dniu:</w:t>
      </w:r>
    </w:p>
    <w:p w:rsidR="00F71A6A" w:rsidRPr="0022499F" w:rsidRDefault="00B05504" w:rsidP="008824B9">
      <w:pPr>
        <w:pStyle w:val="JuHHead"/>
        <w:rPr>
          <w:lang w:val="pl-PL"/>
        </w:rPr>
      </w:pPr>
      <w:r w:rsidRPr="0022499F">
        <w:rPr>
          <w:lang w:val="pl-PL"/>
        </w:rPr>
        <w:t>POSTĘPOWANIE</w:t>
      </w:r>
    </w:p>
    <w:p w:rsidR="00832702" w:rsidRPr="0022499F" w:rsidRDefault="00DC3E30" w:rsidP="00893782">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1</w:t>
      </w:r>
      <w:r w:rsidRPr="0022499F">
        <w:rPr>
          <w:lang w:val="pl-PL"/>
        </w:rPr>
        <w:fldChar w:fldCharType="end"/>
      </w:r>
      <w:r w:rsidR="00F71A6A" w:rsidRPr="0022499F">
        <w:rPr>
          <w:lang w:val="pl-PL"/>
        </w:rPr>
        <w:t>.  </w:t>
      </w:r>
      <w:r w:rsidR="00B05504" w:rsidRPr="0022499F">
        <w:rPr>
          <w:lang w:val="pl-PL"/>
        </w:rPr>
        <w:t xml:space="preserve">Sprawa wywodzi się ze skargi (nr 11160/07) przeciwko Republice Łotewskiej, wniesionej w dniu 20 lutego 2007 roku do Trybunału na podstawie Artykułu 34 Konwencji o Ochronie Praw Człowieka </w:t>
      </w:r>
      <w:r w:rsidR="009C6841" w:rsidRPr="0022499F">
        <w:rPr>
          <w:lang w:val="pl-PL"/>
        </w:rPr>
        <w:br/>
      </w:r>
      <w:r w:rsidR="00B05504" w:rsidRPr="0022499F">
        <w:rPr>
          <w:lang w:val="pl-PL"/>
        </w:rPr>
        <w:t>i Podstawowych Wolności (“Konwencja”) przez obywatela Łotwy, Pana D.F. (“skarżący”).</w:t>
      </w:r>
      <w:r w:rsidR="00B05504" w:rsidRPr="0022499F">
        <w:rPr>
          <w:i/>
          <w:lang w:val="pl-PL"/>
        </w:rPr>
        <w:t xml:space="preserve"> </w:t>
      </w:r>
      <w:r w:rsidR="00B05504" w:rsidRPr="0022499F">
        <w:rPr>
          <w:lang w:val="pl-PL"/>
        </w:rPr>
        <w:t>Przewodniczący Izby postanowił z urzędu przyznać skarżącemu anonimowość zgodnie z Regułą 47 § 3 Regulaminu Trybunału</w:t>
      </w:r>
      <w:r w:rsidR="00B05504" w:rsidRPr="0022499F">
        <w:rPr>
          <w:rStyle w:val="sb8d990e2"/>
          <w:lang w:val="pl-PL"/>
        </w:rPr>
        <w:t>.</w:t>
      </w:r>
    </w:p>
    <w:p w:rsidR="00B05504" w:rsidRPr="0022499F" w:rsidRDefault="00DC3E30" w:rsidP="00B05504">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2</w:t>
      </w:r>
      <w:r w:rsidRPr="0022499F">
        <w:rPr>
          <w:lang w:val="pl-PL"/>
        </w:rPr>
        <w:fldChar w:fldCharType="end"/>
      </w:r>
      <w:r w:rsidR="00F71A6A" w:rsidRPr="0022499F">
        <w:rPr>
          <w:lang w:val="pl-PL"/>
        </w:rPr>
        <w:t>.  </w:t>
      </w:r>
      <w:r w:rsidR="00B05504" w:rsidRPr="0022499F">
        <w:rPr>
          <w:lang w:val="pl-PL"/>
        </w:rPr>
        <w:t>Skarżący, któremu przyznano pomoc prawną, był reprezentowany przez Panią B. </w:t>
      </w:r>
      <w:proofErr w:type="spellStart"/>
      <w:r w:rsidR="00B05504" w:rsidRPr="0022499F">
        <w:rPr>
          <w:lang w:val="pl-PL"/>
        </w:rPr>
        <w:t>Didrihsone</w:t>
      </w:r>
      <w:proofErr w:type="spellEnd"/>
      <w:r w:rsidR="00B05504" w:rsidRPr="0022499F">
        <w:rPr>
          <w:lang w:val="pl-PL"/>
        </w:rPr>
        <w:t xml:space="preserve">, prawnika praktykującego w Rydze. Rząd łotewski („Rząd”) był reprezentowany przez swoich Pełnomocników, Panią I. </w:t>
      </w:r>
      <w:proofErr w:type="spellStart"/>
      <w:r w:rsidR="00B05504" w:rsidRPr="0022499F">
        <w:rPr>
          <w:lang w:val="pl-PL"/>
        </w:rPr>
        <w:t>Reine</w:t>
      </w:r>
      <w:proofErr w:type="spellEnd"/>
      <w:r w:rsidR="00B05504" w:rsidRPr="0022499F">
        <w:rPr>
          <w:lang w:val="pl-PL"/>
        </w:rPr>
        <w:t xml:space="preserve">, a następnie Panią K. </w:t>
      </w:r>
      <w:proofErr w:type="spellStart"/>
      <w:r w:rsidR="00B05504" w:rsidRPr="0022499F">
        <w:rPr>
          <w:lang w:val="pl-PL"/>
        </w:rPr>
        <w:t>Līce</w:t>
      </w:r>
      <w:proofErr w:type="spellEnd"/>
      <w:r w:rsidR="00B05504" w:rsidRPr="0022499F">
        <w:rPr>
          <w:lang w:val="pl-PL"/>
        </w:rPr>
        <w:t>.</w:t>
      </w:r>
    </w:p>
    <w:p w:rsidR="00F71A6A" w:rsidRPr="0022499F" w:rsidRDefault="00DC3E30" w:rsidP="00865450">
      <w:pPr>
        <w:pStyle w:val="JuPara"/>
        <w:rPr>
          <w:i/>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3</w:t>
      </w:r>
      <w:r w:rsidRPr="0022499F">
        <w:rPr>
          <w:lang w:val="pl-PL"/>
        </w:rPr>
        <w:fldChar w:fldCharType="end"/>
      </w:r>
      <w:r w:rsidR="00832702" w:rsidRPr="0022499F">
        <w:rPr>
          <w:lang w:val="pl-PL"/>
        </w:rPr>
        <w:t>.  </w:t>
      </w:r>
      <w:r w:rsidR="00B05504" w:rsidRPr="0022499F">
        <w:rPr>
          <w:lang w:val="pl-PL"/>
        </w:rPr>
        <w:t xml:space="preserve">Skarżący zarzucił w szczególności, że opóźniając jego przeniesienie do więzienia </w:t>
      </w:r>
      <w:proofErr w:type="spellStart"/>
      <w:r w:rsidR="00B05504" w:rsidRPr="0022499F">
        <w:rPr>
          <w:lang w:val="pl-PL"/>
        </w:rPr>
        <w:t>Matīsa</w:t>
      </w:r>
      <w:proofErr w:type="spellEnd"/>
      <w:r w:rsidR="00B05504" w:rsidRPr="0022499F">
        <w:rPr>
          <w:lang w:val="pl-PL"/>
        </w:rPr>
        <w:t xml:space="preserve"> władze krajowe nie </w:t>
      </w:r>
      <w:r w:rsidR="00997600" w:rsidRPr="0022499F">
        <w:rPr>
          <w:lang w:val="pl-PL"/>
        </w:rPr>
        <w:t>zapewniły mu bezpieczeństwa i dobrego stanu zdrowia, a także</w:t>
      </w:r>
      <w:r w:rsidR="00B05504" w:rsidRPr="0022499F">
        <w:rPr>
          <w:lang w:val="pl-PL"/>
        </w:rPr>
        <w:t xml:space="preserve"> że nie </w:t>
      </w:r>
      <w:proofErr w:type="spellStart"/>
      <w:r w:rsidR="009C6841" w:rsidRPr="0022499F">
        <w:rPr>
          <w:lang w:val="pl-PL"/>
        </w:rPr>
        <w:t>dysponawał</w:t>
      </w:r>
      <w:proofErr w:type="spellEnd"/>
      <w:r w:rsidR="00B05504" w:rsidRPr="0022499F">
        <w:rPr>
          <w:lang w:val="pl-PL"/>
        </w:rPr>
        <w:t xml:space="preserve"> skut</w:t>
      </w:r>
      <w:r w:rsidR="009C6841" w:rsidRPr="0022499F">
        <w:rPr>
          <w:lang w:val="pl-PL"/>
        </w:rPr>
        <w:t>ecznym środkiem odwoławczym</w:t>
      </w:r>
      <w:r w:rsidR="00B05504" w:rsidRPr="0022499F">
        <w:rPr>
          <w:lang w:val="pl-PL"/>
        </w:rPr>
        <w:t xml:space="preserve"> do właściwego organu </w:t>
      </w:r>
      <w:r w:rsidR="00997600" w:rsidRPr="0022499F">
        <w:rPr>
          <w:lang w:val="pl-PL"/>
        </w:rPr>
        <w:t xml:space="preserve">krajowego </w:t>
      </w:r>
      <w:r w:rsidR="00B05504" w:rsidRPr="0022499F">
        <w:rPr>
          <w:lang w:val="pl-PL"/>
        </w:rPr>
        <w:t>w tym zakresie.</w:t>
      </w:r>
    </w:p>
    <w:p w:rsidR="003A64D3" w:rsidRPr="0022499F" w:rsidRDefault="00DC3E30" w:rsidP="00EA1E8A">
      <w:pPr>
        <w:pStyle w:val="JuPara"/>
        <w:rPr>
          <w:szCs w:val="22"/>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4</w:t>
      </w:r>
      <w:r w:rsidRPr="0022499F">
        <w:rPr>
          <w:lang w:val="pl-PL"/>
        </w:rPr>
        <w:fldChar w:fldCharType="end"/>
      </w:r>
      <w:r w:rsidR="00F71A6A" w:rsidRPr="0022499F">
        <w:rPr>
          <w:lang w:val="pl-PL"/>
        </w:rPr>
        <w:t>.  </w:t>
      </w:r>
      <w:r w:rsidR="00997600" w:rsidRPr="0022499F">
        <w:rPr>
          <w:lang w:val="pl-PL"/>
        </w:rPr>
        <w:t>Dnia 24 listopada 2010 roku skarga została zakomunikowana Rządowi.</w:t>
      </w:r>
    </w:p>
    <w:p w:rsidR="00F71A6A" w:rsidRPr="0022499F" w:rsidRDefault="00997600" w:rsidP="008824B9">
      <w:pPr>
        <w:pStyle w:val="JuHHead"/>
        <w:rPr>
          <w:lang w:val="pl-PL"/>
        </w:rPr>
      </w:pPr>
      <w:r w:rsidRPr="0022499F">
        <w:rPr>
          <w:lang w:val="pl-PL"/>
        </w:rPr>
        <w:t>FAKTY</w:t>
      </w:r>
    </w:p>
    <w:p w:rsidR="00D353F4" w:rsidRPr="0022499F" w:rsidRDefault="007352DD" w:rsidP="008824B9">
      <w:pPr>
        <w:pStyle w:val="JuHIRoman"/>
        <w:outlineLvl w:val="0"/>
        <w:rPr>
          <w:lang w:val="pl-PL"/>
        </w:rPr>
      </w:pPr>
      <w:r w:rsidRPr="0022499F">
        <w:rPr>
          <w:lang w:val="pl-PL"/>
        </w:rPr>
        <w:t>I.  </w:t>
      </w:r>
      <w:r w:rsidR="00997600" w:rsidRPr="0022499F">
        <w:rPr>
          <w:lang w:val="pl-PL"/>
        </w:rPr>
        <w:t>OKOLICZNOŚCI SPRAWY</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5</w:t>
      </w:r>
      <w:r w:rsidRPr="0022499F">
        <w:rPr>
          <w:lang w:val="pl-PL"/>
        </w:rPr>
        <w:fldChar w:fldCharType="end"/>
      </w:r>
      <w:r w:rsidR="00F71A6A" w:rsidRPr="0022499F">
        <w:rPr>
          <w:lang w:val="pl-PL"/>
        </w:rPr>
        <w:t>.  </w:t>
      </w:r>
      <w:r w:rsidR="00997600" w:rsidRPr="0022499F">
        <w:rPr>
          <w:lang w:val="pl-PL"/>
        </w:rPr>
        <w:t>Skarżący urodził się w 1963 roku i obecnie odbywa karę pozbawienia wolności w Rydze.</w:t>
      </w:r>
    </w:p>
    <w:p w:rsidR="00A00C13" w:rsidRPr="0022499F" w:rsidRDefault="00A00C13" w:rsidP="00A00C13">
      <w:pPr>
        <w:pStyle w:val="JuHA"/>
        <w:rPr>
          <w:lang w:val="pl-PL"/>
        </w:rPr>
      </w:pPr>
      <w:r w:rsidRPr="0022499F">
        <w:rPr>
          <w:lang w:val="pl-PL"/>
        </w:rPr>
        <w:lastRenderedPageBreak/>
        <w:t>A.  </w:t>
      </w:r>
      <w:r w:rsidR="00A9204D" w:rsidRPr="0022499F">
        <w:rPr>
          <w:lang w:val="pl-PL"/>
        </w:rPr>
        <w:t>Aresztowanie skarżącego oraz wnioski o zapewnienie mu bezpieczeństwa</w:t>
      </w:r>
    </w:p>
    <w:p w:rsidR="00910131" w:rsidRPr="0022499F" w:rsidRDefault="00DC3E30" w:rsidP="00910131">
      <w:pPr>
        <w:pStyle w:val="JuPara"/>
        <w:rPr>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6</w:t>
      </w:r>
      <w:r w:rsidRPr="0022499F">
        <w:rPr>
          <w:lang w:val="pl-PL"/>
        </w:rPr>
        <w:fldChar w:fldCharType="end"/>
      </w:r>
      <w:r w:rsidR="00910131" w:rsidRPr="0022499F">
        <w:rPr>
          <w:lang w:val="pl-PL"/>
        </w:rPr>
        <w:t>.  </w:t>
      </w:r>
      <w:r w:rsidR="005C39B6" w:rsidRPr="0022499F">
        <w:rPr>
          <w:lang w:val="pl-PL"/>
        </w:rPr>
        <w:t xml:space="preserve">Skarżący utrzymuje, że przez dłuższy </w:t>
      </w:r>
      <w:r w:rsidR="009C6841" w:rsidRPr="0022499F">
        <w:rPr>
          <w:lang w:val="pl-PL"/>
        </w:rPr>
        <w:t>czas</w:t>
      </w:r>
      <w:r w:rsidR="005C39B6" w:rsidRPr="0022499F">
        <w:rPr>
          <w:lang w:val="pl-PL"/>
        </w:rPr>
        <w:t xml:space="preserve"> w latach dziewięćdziesiątych był infor</w:t>
      </w:r>
      <w:r w:rsidR="009C6841" w:rsidRPr="0022499F">
        <w:rPr>
          <w:lang w:val="pl-PL"/>
        </w:rPr>
        <w:t>matorem policyjnym</w:t>
      </w:r>
      <w:r w:rsidR="005C39B6" w:rsidRPr="0022499F">
        <w:rPr>
          <w:lang w:val="pl-PL"/>
        </w:rPr>
        <w:t xml:space="preserve"> w sprawach karnych </w:t>
      </w:r>
      <w:r w:rsidR="009C6841" w:rsidRPr="0022499F">
        <w:rPr>
          <w:lang w:val="pl-PL"/>
        </w:rPr>
        <w:br/>
        <w:t xml:space="preserve">w </w:t>
      </w:r>
      <w:proofErr w:type="spellStart"/>
      <w:r w:rsidR="009C6841" w:rsidRPr="0022499F">
        <w:rPr>
          <w:lang w:val="pl-PL"/>
        </w:rPr>
        <w:t>Balvi</w:t>
      </w:r>
      <w:proofErr w:type="spellEnd"/>
      <w:r w:rsidR="009C6841" w:rsidRPr="0022499F">
        <w:rPr>
          <w:lang w:val="pl-PL"/>
        </w:rPr>
        <w:t xml:space="preserve">. </w:t>
      </w:r>
      <w:r w:rsidR="005C39B6" w:rsidRPr="0022499F">
        <w:rPr>
          <w:lang w:val="pl-PL"/>
        </w:rPr>
        <w:t xml:space="preserve">Wydaje się, że ta współpraca została oficjalnie udokumentowana przez policję, a skarżący otrzymał za swoje usługi wynagrodzenie. </w:t>
      </w:r>
      <w:r w:rsidR="009C6841" w:rsidRPr="0022499F">
        <w:rPr>
          <w:lang w:val="pl-PL"/>
        </w:rPr>
        <w:br/>
      </w:r>
      <w:r w:rsidR="005C39B6" w:rsidRPr="0022499F">
        <w:rPr>
          <w:lang w:val="pl-PL"/>
        </w:rPr>
        <w:t xml:space="preserve">Z czasem półświatek przestępczy w </w:t>
      </w:r>
      <w:proofErr w:type="spellStart"/>
      <w:r w:rsidR="005C39B6" w:rsidRPr="0022499F">
        <w:rPr>
          <w:lang w:val="pl-PL"/>
        </w:rPr>
        <w:t>Balvi</w:t>
      </w:r>
      <w:proofErr w:type="spellEnd"/>
      <w:r w:rsidR="005C39B6" w:rsidRPr="0022499F">
        <w:rPr>
          <w:lang w:val="pl-PL"/>
        </w:rPr>
        <w:t xml:space="preserve"> dowiedział się o jego roli informatora, w</w:t>
      </w:r>
      <w:r w:rsidR="009C6841" w:rsidRPr="0022499F">
        <w:rPr>
          <w:lang w:val="pl-PL"/>
        </w:rPr>
        <w:t>skutek</w:t>
      </w:r>
      <w:r w:rsidR="005C39B6" w:rsidRPr="0022499F">
        <w:rPr>
          <w:lang w:val="pl-PL"/>
        </w:rPr>
        <w:t xml:space="preserve"> czego został napadnięty i kilkakrotnie grożono mu </w:t>
      </w:r>
      <w:r w:rsidR="009C6841" w:rsidRPr="0022499F">
        <w:rPr>
          <w:lang w:val="pl-PL"/>
        </w:rPr>
        <w:t>śmiercią</w:t>
      </w:r>
      <w:r w:rsidR="005C39B6" w:rsidRPr="0022499F">
        <w:rPr>
          <w:lang w:val="pl-PL"/>
        </w:rPr>
        <w:t xml:space="preserve">. Następnie skarżący przeniósł się do </w:t>
      </w:r>
      <w:proofErr w:type="spellStart"/>
      <w:r w:rsidR="005C39B6" w:rsidRPr="0022499F">
        <w:rPr>
          <w:lang w:val="pl-PL"/>
        </w:rPr>
        <w:t>Rēzekne</w:t>
      </w:r>
      <w:proofErr w:type="spellEnd"/>
      <w:r w:rsidR="00910131" w:rsidRPr="0022499F">
        <w:rPr>
          <w:i/>
          <w:lang w:val="pl-PL"/>
        </w:rPr>
        <w:t>.</w:t>
      </w:r>
    </w:p>
    <w:p w:rsidR="00910131" w:rsidRPr="0022499F" w:rsidRDefault="00DC3E30" w:rsidP="00910131">
      <w:pPr>
        <w:pStyle w:val="JuPara"/>
        <w:rPr>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7</w:t>
      </w:r>
      <w:r w:rsidRPr="0022499F">
        <w:rPr>
          <w:lang w:val="pl-PL"/>
        </w:rPr>
        <w:fldChar w:fldCharType="end"/>
      </w:r>
      <w:r w:rsidR="00910131" w:rsidRPr="0022499F">
        <w:rPr>
          <w:lang w:val="pl-PL"/>
        </w:rPr>
        <w:t>.  </w:t>
      </w:r>
      <w:r w:rsidR="005C39B6" w:rsidRPr="0022499F">
        <w:rPr>
          <w:lang w:val="pl-PL"/>
        </w:rPr>
        <w:t xml:space="preserve">W dniu 6 października 2005 roku skarżący został aresztowany pod zarzutem gwałtu na </w:t>
      </w:r>
      <w:r w:rsidR="00BF55AF" w:rsidRPr="0022499F">
        <w:rPr>
          <w:lang w:val="pl-PL"/>
        </w:rPr>
        <w:t>małoletniej córce swojego</w:t>
      </w:r>
      <w:r w:rsidR="009C6841" w:rsidRPr="0022499F">
        <w:rPr>
          <w:lang w:val="pl-PL"/>
        </w:rPr>
        <w:t xml:space="preserve"> wspólnika</w:t>
      </w:r>
      <w:r w:rsidR="005C39B6" w:rsidRPr="0022499F">
        <w:rPr>
          <w:lang w:val="pl-PL"/>
        </w:rPr>
        <w:t xml:space="preserve"> i </w:t>
      </w:r>
      <w:r w:rsidR="00BF55AF" w:rsidRPr="0022499F">
        <w:rPr>
          <w:lang w:val="pl-PL"/>
        </w:rPr>
        <w:t>czynu lubieżnego wobec</w:t>
      </w:r>
      <w:r w:rsidR="005C39B6" w:rsidRPr="0022499F">
        <w:rPr>
          <w:lang w:val="pl-PL"/>
        </w:rPr>
        <w:t xml:space="preserve"> małoletniego syna </w:t>
      </w:r>
      <w:r w:rsidR="00BF55AF" w:rsidRPr="0022499F">
        <w:rPr>
          <w:lang w:val="pl-PL"/>
        </w:rPr>
        <w:t xml:space="preserve">swojego </w:t>
      </w:r>
      <w:r w:rsidR="009C6841" w:rsidRPr="0022499F">
        <w:rPr>
          <w:lang w:val="pl-PL"/>
        </w:rPr>
        <w:t>wspólnika</w:t>
      </w:r>
      <w:r w:rsidR="00BF55AF" w:rsidRPr="0022499F">
        <w:rPr>
          <w:lang w:val="pl-PL"/>
        </w:rPr>
        <w:t>.</w:t>
      </w:r>
    </w:p>
    <w:p w:rsidR="007A36A4" w:rsidRPr="0022499F" w:rsidRDefault="00DC3E30" w:rsidP="007A36A4">
      <w:pPr>
        <w:pStyle w:val="JuPara"/>
        <w:rPr>
          <w:i/>
          <w:lang w:val="pl-PL"/>
        </w:rPr>
      </w:pPr>
      <w:r w:rsidRPr="0022499F">
        <w:rPr>
          <w:lang w:val="pl-PL"/>
        </w:rPr>
        <w:fldChar w:fldCharType="begin"/>
      </w:r>
      <w:r w:rsidR="007A36A4" w:rsidRPr="0022499F">
        <w:rPr>
          <w:lang w:val="pl-PL"/>
        </w:rPr>
        <w:instrText xml:space="preserve"> SEQ level0 \*arabic </w:instrText>
      </w:r>
      <w:r w:rsidRPr="0022499F">
        <w:rPr>
          <w:lang w:val="pl-PL"/>
        </w:rPr>
        <w:fldChar w:fldCharType="separate"/>
      </w:r>
      <w:r w:rsidR="000E0C74" w:rsidRPr="0022499F">
        <w:rPr>
          <w:noProof/>
          <w:lang w:val="pl-PL"/>
        </w:rPr>
        <w:t>8</w:t>
      </w:r>
      <w:r w:rsidRPr="0022499F">
        <w:rPr>
          <w:lang w:val="pl-PL"/>
        </w:rPr>
        <w:fldChar w:fldCharType="end"/>
      </w:r>
      <w:r w:rsidR="007A36A4" w:rsidRPr="0022499F">
        <w:rPr>
          <w:lang w:val="pl-PL"/>
        </w:rPr>
        <w:t>.  </w:t>
      </w:r>
      <w:r w:rsidR="00BF55AF" w:rsidRPr="0022499F">
        <w:rPr>
          <w:lang w:val="pl-PL"/>
        </w:rPr>
        <w:t xml:space="preserve">Skarżący został przeniesiony do więzienia w </w:t>
      </w:r>
      <w:proofErr w:type="spellStart"/>
      <w:r w:rsidR="00BF55AF" w:rsidRPr="0022499F">
        <w:rPr>
          <w:lang w:val="pl-PL"/>
        </w:rPr>
        <w:t>Daugavpils</w:t>
      </w:r>
      <w:proofErr w:type="spellEnd"/>
      <w:r w:rsidR="00BF55AF" w:rsidRPr="0022499F">
        <w:rPr>
          <w:lang w:val="pl-PL"/>
        </w:rPr>
        <w:t xml:space="preserve"> w dniu </w:t>
      </w:r>
      <w:r w:rsidR="009C6841" w:rsidRPr="0022499F">
        <w:rPr>
          <w:lang w:val="pl-PL"/>
        </w:rPr>
        <w:br/>
      </w:r>
      <w:r w:rsidR="00BF55AF" w:rsidRPr="0022499F">
        <w:rPr>
          <w:lang w:val="pl-PL"/>
        </w:rPr>
        <w:t xml:space="preserve">25 października 2005 roku, gdzie przebywał do dnia 26 października 2006 roku, kiedy to został przeniesiony gdzie indziej (zobacz </w:t>
      </w:r>
      <w:r w:rsidR="004A064D" w:rsidRPr="0022499F">
        <w:rPr>
          <w:lang w:val="pl-PL"/>
        </w:rPr>
        <w:t>punkt</w:t>
      </w:r>
      <w:r w:rsidR="00BF55AF" w:rsidRPr="0022499F">
        <w:rPr>
          <w:lang w:val="pl-PL"/>
        </w:rPr>
        <w:t xml:space="preserve"> 20 poniżej). W tym okresie został zabrany do więzienia w Rydze czterokrotnie. Spędził w sumie około </w:t>
      </w:r>
      <w:r w:rsidR="009C6841" w:rsidRPr="0022499F">
        <w:rPr>
          <w:lang w:val="pl-PL"/>
        </w:rPr>
        <w:t>55</w:t>
      </w:r>
      <w:r w:rsidR="00BF55AF" w:rsidRPr="0022499F">
        <w:rPr>
          <w:lang w:val="pl-PL"/>
        </w:rPr>
        <w:t xml:space="preserve"> dni w Rydze i ponad 300 dni w </w:t>
      </w:r>
      <w:proofErr w:type="spellStart"/>
      <w:r w:rsidR="00BF55AF" w:rsidRPr="0022499F">
        <w:rPr>
          <w:lang w:val="pl-PL"/>
        </w:rPr>
        <w:t>Daugavpils</w:t>
      </w:r>
      <w:proofErr w:type="spellEnd"/>
      <w:r w:rsidR="007A36A4" w:rsidRPr="0022499F">
        <w:rPr>
          <w:i/>
          <w:lang w:val="pl-PL"/>
        </w:rPr>
        <w:t>.</w:t>
      </w:r>
    </w:p>
    <w:p w:rsidR="007A36A4" w:rsidRPr="0022499F" w:rsidRDefault="00DC3E30" w:rsidP="007A36A4">
      <w:pPr>
        <w:pStyle w:val="JuPara"/>
        <w:rPr>
          <w:i/>
          <w:lang w:val="pl-PL"/>
        </w:rPr>
      </w:pPr>
      <w:r w:rsidRPr="0022499F">
        <w:rPr>
          <w:lang w:val="pl-PL"/>
        </w:rPr>
        <w:fldChar w:fldCharType="begin"/>
      </w:r>
      <w:r w:rsidR="007A36A4" w:rsidRPr="0022499F">
        <w:rPr>
          <w:lang w:val="pl-PL"/>
        </w:rPr>
        <w:instrText xml:space="preserve"> SEQ level0 \*arabic </w:instrText>
      </w:r>
      <w:r w:rsidRPr="0022499F">
        <w:rPr>
          <w:lang w:val="pl-PL"/>
        </w:rPr>
        <w:fldChar w:fldCharType="separate"/>
      </w:r>
      <w:r w:rsidR="000E0C74" w:rsidRPr="0022499F">
        <w:rPr>
          <w:noProof/>
          <w:lang w:val="pl-PL"/>
        </w:rPr>
        <w:t>9</w:t>
      </w:r>
      <w:r w:rsidRPr="0022499F">
        <w:rPr>
          <w:lang w:val="pl-PL"/>
        </w:rPr>
        <w:fldChar w:fldCharType="end"/>
      </w:r>
      <w:r w:rsidR="007A36A4" w:rsidRPr="0022499F">
        <w:rPr>
          <w:lang w:val="pl-PL"/>
        </w:rPr>
        <w:t>.  </w:t>
      </w:r>
      <w:r w:rsidR="00BF55AF" w:rsidRPr="0022499F">
        <w:rPr>
          <w:lang w:val="pl-PL"/>
        </w:rPr>
        <w:t xml:space="preserve">Rząd podniósł, a skarżący nie zaprzeczył, że gdy przybył do więzienia w </w:t>
      </w:r>
      <w:proofErr w:type="spellStart"/>
      <w:r w:rsidR="00BF55AF" w:rsidRPr="0022499F">
        <w:rPr>
          <w:lang w:val="pl-PL"/>
        </w:rPr>
        <w:t>Daugavpils</w:t>
      </w:r>
      <w:proofErr w:type="spellEnd"/>
      <w:r w:rsidR="00BF55AF" w:rsidRPr="0022499F">
        <w:rPr>
          <w:lang w:val="pl-PL"/>
        </w:rPr>
        <w:t xml:space="preserve">, odbył standardowy wywiad wstępny z członkiem personelu </w:t>
      </w:r>
      <w:r w:rsidR="009C6841" w:rsidRPr="0022499F">
        <w:rPr>
          <w:lang w:val="pl-PL"/>
        </w:rPr>
        <w:t>służby więziennej</w:t>
      </w:r>
      <w:r w:rsidR="00BF55AF" w:rsidRPr="0022499F">
        <w:rPr>
          <w:lang w:val="pl-PL"/>
        </w:rPr>
        <w:t xml:space="preserve">. Wydaje się, że w trakcie rozmowy skarżący podał nazwiska kilku osadzonych </w:t>
      </w:r>
      <w:r w:rsidR="009C6841" w:rsidRPr="0022499F">
        <w:rPr>
          <w:lang w:val="pl-PL"/>
        </w:rPr>
        <w:t>w więzieniu</w:t>
      </w:r>
      <w:r w:rsidR="00BF55AF" w:rsidRPr="0022499F">
        <w:rPr>
          <w:lang w:val="pl-PL"/>
        </w:rPr>
        <w:t xml:space="preserve">, z którymi </w:t>
      </w:r>
      <w:r w:rsidR="009C6841" w:rsidRPr="0022499F">
        <w:rPr>
          <w:lang w:val="pl-PL"/>
        </w:rPr>
        <w:t>był skonfliktowany</w:t>
      </w:r>
      <w:r w:rsidR="00BF55AF" w:rsidRPr="0022499F">
        <w:rPr>
          <w:lang w:val="pl-PL"/>
        </w:rPr>
        <w:t xml:space="preserve"> </w:t>
      </w:r>
      <w:r w:rsidR="009C6841" w:rsidRPr="0022499F">
        <w:rPr>
          <w:lang w:val="pl-PL"/>
        </w:rPr>
        <w:br/>
      </w:r>
      <w:r w:rsidR="00BF55AF" w:rsidRPr="0022499F">
        <w:rPr>
          <w:lang w:val="pl-PL"/>
        </w:rPr>
        <w:t xml:space="preserve">w przeszłości, a administracja więzienia zobowiązała się utrzymać go </w:t>
      </w:r>
      <w:r w:rsidR="009C6841" w:rsidRPr="0022499F">
        <w:rPr>
          <w:lang w:val="pl-PL"/>
        </w:rPr>
        <w:br/>
      </w:r>
      <w:r w:rsidR="00BF55AF" w:rsidRPr="0022499F">
        <w:rPr>
          <w:lang w:val="pl-PL"/>
        </w:rPr>
        <w:t xml:space="preserve">w izolacji od tych osób w czasie jego pobytu w </w:t>
      </w:r>
      <w:proofErr w:type="spellStart"/>
      <w:r w:rsidR="00BF55AF" w:rsidRPr="0022499F">
        <w:rPr>
          <w:lang w:val="pl-PL"/>
        </w:rPr>
        <w:t>Daugavpils</w:t>
      </w:r>
      <w:proofErr w:type="spellEnd"/>
      <w:r w:rsidR="00BF55AF" w:rsidRPr="0022499F">
        <w:rPr>
          <w:lang w:val="pl-PL"/>
        </w:rPr>
        <w:t xml:space="preserve">. Z drugiej strony, według Rządu, skarżący nie poinformował administracji więzienia </w:t>
      </w:r>
      <w:r w:rsidR="009C6841" w:rsidRPr="0022499F">
        <w:rPr>
          <w:lang w:val="pl-PL"/>
        </w:rPr>
        <w:br/>
      </w:r>
      <w:r w:rsidR="00BF55AF" w:rsidRPr="0022499F">
        <w:rPr>
          <w:lang w:val="pl-PL"/>
        </w:rPr>
        <w:t xml:space="preserve">o swojej </w:t>
      </w:r>
      <w:r w:rsidR="009C6841" w:rsidRPr="0022499F">
        <w:rPr>
          <w:lang w:val="pl-PL"/>
        </w:rPr>
        <w:t xml:space="preserve">dawnej </w:t>
      </w:r>
      <w:r w:rsidR="00BF55AF" w:rsidRPr="0022499F">
        <w:rPr>
          <w:lang w:val="pl-PL"/>
        </w:rPr>
        <w:t xml:space="preserve">współpracy z policją i nie poprosił o odizolowanie go od innych więźniów. Rząd </w:t>
      </w:r>
      <w:r w:rsidR="009C6841" w:rsidRPr="0022499F">
        <w:rPr>
          <w:lang w:val="pl-PL"/>
        </w:rPr>
        <w:t>s</w:t>
      </w:r>
      <w:r w:rsidR="00BF55AF" w:rsidRPr="0022499F">
        <w:rPr>
          <w:lang w:val="pl-PL"/>
        </w:rPr>
        <w:t>twierdził, że w dniu 21 lutego 2006 roku skarżący zwr</w:t>
      </w:r>
      <w:r w:rsidR="009C6841" w:rsidRPr="0022499F">
        <w:rPr>
          <w:lang w:val="pl-PL"/>
        </w:rPr>
        <w:t>ócił się do naczelnika więzienia</w:t>
      </w:r>
      <w:r w:rsidR="00BF55AF" w:rsidRPr="0022499F">
        <w:rPr>
          <w:lang w:val="pl-PL"/>
        </w:rPr>
        <w:t xml:space="preserve"> w </w:t>
      </w:r>
      <w:proofErr w:type="spellStart"/>
      <w:r w:rsidR="00BF55AF" w:rsidRPr="0022499F">
        <w:rPr>
          <w:lang w:val="pl-PL"/>
        </w:rPr>
        <w:t>Daugavpils</w:t>
      </w:r>
      <w:proofErr w:type="spellEnd"/>
      <w:r w:rsidR="00BF55AF" w:rsidRPr="0022499F">
        <w:rPr>
          <w:lang w:val="pl-PL"/>
        </w:rPr>
        <w:t xml:space="preserve"> o przeniesienie go do </w:t>
      </w:r>
      <w:r w:rsidR="00C809B7" w:rsidRPr="0022499F">
        <w:rPr>
          <w:lang w:val="pl-PL"/>
        </w:rPr>
        <w:t>oddziału</w:t>
      </w:r>
      <w:r w:rsidR="00BF55AF" w:rsidRPr="0022499F">
        <w:rPr>
          <w:lang w:val="pl-PL"/>
        </w:rPr>
        <w:t>, w któr</w:t>
      </w:r>
      <w:r w:rsidR="00C809B7" w:rsidRPr="0022499F">
        <w:rPr>
          <w:lang w:val="pl-PL"/>
        </w:rPr>
        <w:t>ym</w:t>
      </w:r>
      <w:r w:rsidR="00BF55AF" w:rsidRPr="0022499F">
        <w:rPr>
          <w:lang w:val="pl-PL"/>
        </w:rPr>
        <w:t xml:space="preserve"> więźniowie są </w:t>
      </w:r>
      <w:r w:rsidR="00C809B7" w:rsidRPr="0022499F">
        <w:rPr>
          <w:lang w:val="pl-PL"/>
        </w:rPr>
        <w:t>włączani</w:t>
      </w:r>
      <w:r w:rsidR="00BF55AF" w:rsidRPr="0022499F">
        <w:rPr>
          <w:lang w:val="pl-PL"/>
        </w:rPr>
        <w:t xml:space="preserve"> w utrzymanie porządku (obowiązki kuchenne i praca w pralni), a tym samym często </w:t>
      </w:r>
      <w:r w:rsidR="00C809B7" w:rsidRPr="0022499F">
        <w:rPr>
          <w:lang w:val="pl-PL"/>
        </w:rPr>
        <w:t>utrzymują kontakt</w:t>
      </w:r>
      <w:r w:rsidR="00BF55AF" w:rsidRPr="0022499F">
        <w:rPr>
          <w:lang w:val="pl-PL"/>
        </w:rPr>
        <w:t xml:space="preserve"> z innymi </w:t>
      </w:r>
      <w:r w:rsidR="000125DB" w:rsidRPr="0022499F">
        <w:rPr>
          <w:lang w:val="pl-PL"/>
        </w:rPr>
        <w:t>osadzonymi</w:t>
      </w:r>
      <w:r w:rsidR="00CF7475" w:rsidRPr="0022499F">
        <w:rPr>
          <w:i/>
          <w:lang w:val="pl-PL"/>
        </w:rPr>
        <w:t>.</w:t>
      </w:r>
    </w:p>
    <w:p w:rsidR="00CF143C" w:rsidRPr="0022499F" w:rsidRDefault="00DC3E30" w:rsidP="00CF143C">
      <w:pPr>
        <w:pStyle w:val="JuPara"/>
        <w:rPr>
          <w:i/>
          <w:lang w:val="pl-PL"/>
        </w:rPr>
      </w:pPr>
      <w:r w:rsidRPr="0022499F">
        <w:rPr>
          <w:lang w:val="pl-PL"/>
        </w:rPr>
        <w:fldChar w:fldCharType="begin"/>
      </w:r>
      <w:r w:rsidR="00CF143C" w:rsidRPr="0022499F">
        <w:rPr>
          <w:lang w:val="pl-PL"/>
        </w:rPr>
        <w:instrText xml:space="preserve"> SEQ level0 \*arabic </w:instrText>
      </w:r>
      <w:r w:rsidRPr="0022499F">
        <w:rPr>
          <w:lang w:val="pl-PL"/>
        </w:rPr>
        <w:fldChar w:fldCharType="separate"/>
      </w:r>
      <w:r w:rsidR="000E0C74" w:rsidRPr="0022499F">
        <w:rPr>
          <w:noProof/>
          <w:lang w:val="pl-PL"/>
        </w:rPr>
        <w:t>10</w:t>
      </w:r>
      <w:r w:rsidRPr="0022499F">
        <w:rPr>
          <w:lang w:val="pl-PL"/>
        </w:rPr>
        <w:fldChar w:fldCharType="end"/>
      </w:r>
      <w:r w:rsidR="00CF143C" w:rsidRPr="0022499F">
        <w:rPr>
          <w:lang w:val="pl-PL"/>
        </w:rPr>
        <w:t>.  </w:t>
      </w:r>
      <w:r w:rsidR="00BF55AF" w:rsidRPr="0022499F">
        <w:rPr>
          <w:lang w:val="pl-PL"/>
        </w:rPr>
        <w:t xml:space="preserve">W dniu 17 stycznia 2006 roku prokurator </w:t>
      </w:r>
      <w:r w:rsidR="007C1014" w:rsidRPr="0022499F">
        <w:rPr>
          <w:lang w:val="pl-PL"/>
        </w:rPr>
        <w:t>odpowiedzialny za śledztwo</w:t>
      </w:r>
      <w:r w:rsidR="00BF55AF" w:rsidRPr="0022499F">
        <w:rPr>
          <w:lang w:val="pl-PL"/>
        </w:rPr>
        <w:t xml:space="preserve"> w sprawie </w:t>
      </w:r>
      <w:r w:rsidR="009C6841" w:rsidRPr="0022499F">
        <w:rPr>
          <w:lang w:val="pl-PL"/>
        </w:rPr>
        <w:t>czynów zarzucanych</w:t>
      </w:r>
      <w:r w:rsidR="007C1014" w:rsidRPr="0022499F">
        <w:rPr>
          <w:lang w:val="pl-PL"/>
        </w:rPr>
        <w:t xml:space="preserve"> skarżącemu wezwał skarżącego</w:t>
      </w:r>
      <w:r w:rsidR="00BF55AF" w:rsidRPr="0022499F">
        <w:rPr>
          <w:lang w:val="pl-PL"/>
        </w:rPr>
        <w:t xml:space="preserve"> do przedstawienia ostatecznych wniosków </w:t>
      </w:r>
      <w:r w:rsidR="009C6841" w:rsidRPr="0022499F">
        <w:rPr>
          <w:lang w:val="pl-PL"/>
        </w:rPr>
        <w:t xml:space="preserve">w </w:t>
      </w:r>
      <w:r w:rsidR="00BF55AF" w:rsidRPr="0022499F">
        <w:rPr>
          <w:lang w:val="pl-PL"/>
        </w:rPr>
        <w:t>spr</w:t>
      </w:r>
      <w:r w:rsidR="009C6841" w:rsidRPr="0022499F">
        <w:rPr>
          <w:lang w:val="pl-PL"/>
        </w:rPr>
        <w:t>awie</w:t>
      </w:r>
      <w:r w:rsidR="007C1014" w:rsidRPr="0022499F">
        <w:rPr>
          <w:lang w:val="pl-PL"/>
        </w:rPr>
        <w:t xml:space="preserve"> karnej. Zdaniem skarżącego</w:t>
      </w:r>
      <w:r w:rsidR="009C6841" w:rsidRPr="0022499F">
        <w:rPr>
          <w:lang w:val="pl-PL"/>
        </w:rPr>
        <w:t>,</w:t>
      </w:r>
      <w:r w:rsidR="007C1014" w:rsidRPr="0022499F">
        <w:rPr>
          <w:lang w:val="pl-PL"/>
        </w:rPr>
        <w:t xml:space="preserve"> </w:t>
      </w:r>
      <w:r w:rsidR="00BF55AF" w:rsidRPr="0022499F">
        <w:rPr>
          <w:lang w:val="pl-PL"/>
        </w:rPr>
        <w:t xml:space="preserve">w tym dniu zwrócił się do prokuratora o przygotowanie </w:t>
      </w:r>
      <w:r w:rsidR="007C1014" w:rsidRPr="0022499F">
        <w:rPr>
          <w:lang w:val="pl-PL"/>
        </w:rPr>
        <w:t xml:space="preserve">jego przeniesienia do więzienia </w:t>
      </w:r>
      <w:proofErr w:type="spellStart"/>
      <w:r w:rsidR="007C1014" w:rsidRPr="0022499F">
        <w:rPr>
          <w:lang w:val="pl-PL"/>
        </w:rPr>
        <w:t>Matīsa</w:t>
      </w:r>
      <w:proofErr w:type="spellEnd"/>
      <w:r w:rsidR="007C1014" w:rsidRPr="0022499F">
        <w:rPr>
          <w:lang w:val="pl-PL"/>
        </w:rPr>
        <w:t>, które dysponuje oddziałem</w:t>
      </w:r>
      <w:r w:rsidR="00BF55AF" w:rsidRPr="0022499F">
        <w:rPr>
          <w:lang w:val="pl-PL"/>
        </w:rPr>
        <w:t xml:space="preserve"> </w:t>
      </w:r>
      <w:r w:rsidR="007C1014" w:rsidRPr="0022499F">
        <w:rPr>
          <w:lang w:val="pl-PL"/>
        </w:rPr>
        <w:t xml:space="preserve">przeznaczonym dla </w:t>
      </w:r>
      <w:r w:rsidR="00BF55AF" w:rsidRPr="0022499F">
        <w:rPr>
          <w:lang w:val="pl-PL"/>
        </w:rPr>
        <w:t xml:space="preserve">więźniów, którzy pracowali dla </w:t>
      </w:r>
      <w:r w:rsidR="007C1014" w:rsidRPr="0022499F">
        <w:rPr>
          <w:lang w:val="pl-PL"/>
        </w:rPr>
        <w:t>organów</w:t>
      </w:r>
      <w:r w:rsidR="00BF55AF" w:rsidRPr="0022499F">
        <w:rPr>
          <w:lang w:val="pl-PL"/>
        </w:rPr>
        <w:t xml:space="preserve"> ścigania lub współpracowali z </w:t>
      </w:r>
      <w:r w:rsidR="007C1014" w:rsidRPr="0022499F">
        <w:rPr>
          <w:lang w:val="pl-PL"/>
        </w:rPr>
        <w:t>tymi organami</w:t>
      </w:r>
      <w:r w:rsidR="00BF55AF" w:rsidRPr="0022499F">
        <w:rPr>
          <w:lang w:val="pl-PL"/>
        </w:rPr>
        <w:t xml:space="preserve"> (</w:t>
      </w:r>
      <w:r w:rsidR="007C1014" w:rsidRPr="0022499F">
        <w:rPr>
          <w:lang w:val="pl-PL"/>
        </w:rPr>
        <w:t xml:space="preserve">zobacz </w:t>
      </w:r>
      <w:r w:rsidR="004A064D" w:rsidRPr="0022499F">
        <w:rPr>
          <w:lang w:val="pl-PL"/>
        </w:rPr>
        <w:t xml:space="preserve">punkt </w:t>
      </w:r>
      <w:r w:rsidR="00BF55AF" w:rsidRPr="0022499F">
        <w:rPr>
          <w:lang w:val="pl-PL"/>
        </w:rPr>
        <w:t>37 poniżej).</w:t>
      </w:r>
      <w:r w:rsidR="00BF55AF" w:rsidRPr="0022499F">
        <w:rPr>
          <w:i/>
          <w:lang w:val="pl-PL"/>
        </w:rPr>
        <w:t xml:space="preserve"> </w:t>
      </w:r>
      <w:r w:rsidR="007C1014" w:rsidRPr="0022499F">
        <w:rPr>
          <w:lang w:val="pl-PL"/>
        </w:rPr>
        <w:t xml:space="preserve">Skarżący </w:t>
      </w:r>
      <w:r w:rsidR="00BF55AF" w:rsidRPr="0022499F">
        <w:rPr>
          <w:lang w:val="pl-PL"/>
        </w:rPr>
        <w:t xml:space="preserve">twierdził, że prokurator zgodził się na </w:t>
      </w:r>
      <w:r w:rsidR="007C1014" w:rsidRPr="0022499F">
        <w:rPr>
          <w:lang w:val="pl-PL"/>
        </w:rPr>
        <w:t xml:space="preserve">przeniesienie go do więzienia </w:t>
      </w:r>
      <w:proofErr w:type="spellStart"/>
      <w:r w:rsidR="007C1014" w:rsidRPr="0022499F">
        <w:rPr>
          <w:lang w:val="pl-PL"/>
        </w:rPr>
        <w:t>Matīsa</w:t>
      </w:r>
      <w:proofErr w:type="spellEnd"/>
      <w:r w:rsidR="007C1014" w:rsidRPr="0022499F">
        <w:rPr>
          <w:lang w:val="pl-PL"/>
        </w:rPr>
        <w:t xml:space="preserve"> w zamian za ugodę obrończą</w:t>
      </w:r>
      <w:r w:rsidR="00BF55AF" w:rsidRPr="0022499F">
        <w:rPr>
          <w:lang w:val="pl-PL"/>
        </w:rPr>
        <w:t>.</w:t>
      </w:r>
      <w:r w:rsidR="007C1014" w:rsidRPr="0022499F">
        <w:rPr>
          <w:lang w:val="pl-PL"/>
        </w:rPr>
        <w:t xml:space="preserve"> </w:t>
      </w:r>
      <w:r w:rsidR="00BF55AF" w:rsidRPr="0022499F">
        <w:rPr>
          <w:lang w:val="pl-PL"/>
        </w:rPr>
        <w:t xml:space="preserve">Skarżący </w:t>
      </w:r>
      <w:r w:rsidR="009C6841" w:rsidRPr="0022499F">
        <w:rPr>
          <w:lang w:val="pl-PL"/>
        </w:rPr>
        <w:t>podniósł</w:t>
      </w:r>
      <w:r w:rsidR="00BF55AF" w:rsidRPr="0022499F">
        <w:rPr>
          <w:lang w:val="pl-PL"/>
        </w:rPr>
        <w:t xml:space="preserve">, że czuł się zmuszony do przyjęcia takiego układu, a </w:t>
      </w:r>
      <w:r w:rsidR="007C1014" w:rsidRPr="0022499F">
        <w:rPr>
          <w:lang w:val="pl-PL"/>
        </w:rPr>
        <w:t>ugoda obrończa</w:t>
      </w:r>
      <w:r w:rsidR="00BF55AF" w:rsidRPr="0022499F">
        <w:rPr>
          <w:lang w:val="pl-PL"/>
        </w:rPr>
        <w:t xml:space="preserve"> został</w:t>
      </w:r>
      <w:r w:rsidR="007C1014" w:rsidRPr="0022499F">
        <w:rPr>
          <w:lang w:val="pl-PL"/>
        </w:rPr>
        <w:t>a podpisana</w:t>
      </w:r>
      <w:r w:rsidR="00BF55AF" w:rsidRPr="0022499F">
        <w:rPr>
          <w:lang w:val="pl-PL"/>
        </w:rPr>
        <w:t xml:space="preserve"> w dniu </w:t>
      </w:r>
      <w:r w:rsidR="009C6841" w:rsidRPr="0022499F">
        <w:rPr>
          <w:lang w:val="pl-PL"/>
        </w:rPr>
        <w:br/>
      </w:r>
      <w:r w:rsidR="00BF55AF" w:rsidRPr="0022499F">
        <w:rPr>
          <w:lang w:val="pl-PL"/>
        </w:rPr>
        <w:t>20 stycznia 2006 r</w:t>
      </w:r>
      <w:r w:rsidR="007C1014" w:rsidRPr="0022499F">
        <w:rPr>
          <w:lang w:val="pl-PL"/>
        </w:rPr>
        <w:t xml:space="preserve">oku. </w:t>
      </w:r>
      <w:r w:rsidR="009C6841" w:rsidRPr="0022499F">
        <w:rPr>
          <w:lang w:val="pl-PL"/>
        </w:rPr>
        <w:t>P</w:t>
      </w:r>
      <w:r w:rsidR="00BF55AF" w:rsidRPr="0022499F">
        <w:rPr>
          <w:lang w:val="pl-PL"/>
        </w:rPr>
        <w:t>rzy podpisywaniu ugody</w:t>
      </w:r>
      <w:r w:rsidR="007C1014" w:rsidRPr="0022499F">
        <w:rPr>
          <w:lang w:val="pl-PL"/>
        </w:rPr>
        <w:t xml:space="preserve"> obrończej</w:t>
      </w:r>
      <w:r w:rsidR="009C6841" w:rsidRPr="0022499F">
        <w:rPr>
          <w:lang w:val="pl-PL"/>
        </w:rPr>
        <w:t xml:space="preserve"> był obecny obrońca skarżącego</w:t>
      </w:r>
      <w:r w:rsidR="00BF55AF" w:rsidRPr="0022499F">
        <w:rPr>
          <w:lang w:val="pl-PL"/>
        </w:rPr>
        <w:t>.</w:t>
      </w:r>
      <w:r w:rsidR="007C1014" w:rsidRPr="0022499F">
        <w:rPr>
          <w:lang w:val="pl-PL"/>
        </w:rPr>
        <w:t xml:space="preserve"> </w:t>
      </w:r>
      <w:r w:rsidR="00BF55AF" w:rsidRPr="0022499F">
        <w:rPr>
          <w:lang w:val="pl-PL"/>
        </w:rPr>
        <w:t xml:space="preserve">Rząd </w:t>
      </w:r>
      <w:r w:rsidR="007C1014" w:rsidRPr="0022499F">
        <w:rPr>
          <w:lang w:val="pl-PL"/>
        </w:rPr>
        <w:t xml:space="preserve">poddał </w:t>
      </w:r>
      <w:r w:rsidR="00BF55AF" w:rsidRPr="0022499F">
        <w:rPr>
          <w:lang w:val="pl-PL"/>
        </w:rPr>
        <w:t>w wątpliwość wiarygodność wersji wydarzeń</w:t>
      </w:r>
      <w:r w:rsidR="007C1014" w:rsidRPr="0022499F">
        <w:rPr>
          <w:lang w:val="pl-PL"/>
        </w:rPr>
        <w:t xml:space="preserve"> skarżącego</w:t>
      </w:r>
      <w:r w:rsidR="00BF55AF" w:rsidRPr="0022499F">
        <w:rPr>
          <w:lang w:val="pl-PL"/>
        </w:rPr>
        <w:t xml:space="preserve">, podkreślając, że zgodnie z prawem krajowym </w:t>
      </w:r>
      <w:r w:rsidR="00BF55AF" w:rsidRPr="0022499F">
        <w:rPr>
          <w:lang w:val="pl-PL"/>
        </w:rPr>
        <w:lastRenderedPageBreak/>
        <w:t>prokurator nie miał żadnej władzy</w:t>
      </w:r>
      <w:r w:rsidR="009C6841" w:rsidRPr="0022499F">
        <w:rPr>
          <w:lang w:val="pl-PL"/>
        </w:rPr>
        <w:t>, by</w:t>
      </w:r>
      <w:r w:rsidR="00BF55AF" w:rsidRPr="0022499F">
        <w:rPr>
          <w:lang w:val="pl-PL"/>
        </w:rPr>
        <w:t xml:space="preserve"> </w:t>
      </w:r>
      <w:r w:rsidR="007C1014" w:rsidRPr="0022499F">
        <w:rPr>
          <w:lang w:val="pl-PL"/>
        </w:rPr>
        <w:t>nakazać umieszczenie skarżącego w konkretnym więzieniu</w:t>
      </w:r>
      <w:r w:rsidR="00BF55AF" w:rsidRPr="0022499F">
        <w:rPr>
          <w:lang w:val="pl-PL"/>
        </w:rPr>
        <w:t>;</w:t>
      </w:r>
      <w:r w:rsidR="007C1014" w:rsidRPr="0022499F">
        <w:rPr>
          <w:lang w:val="pl-PL"/>
        </w:rPr>
        <w:t xml:space="preserve"> organem</w:t>
      </w:r>
      <w:r w:rsidR="00BF55AF" w:rsidRPr="0022499F">
        <w:rPr>
          <w:lang w:val="pl-PL"/>
        </w:rPr>
        <w:t xml:space="preserve"> właściwa do tego był</w:t>
      </w:r>
      <w:r w:rsidR="007C1014" w:rsidRPr="0022499F">
        <w:rPr>
          <w:lang w:val="pl-PL"/>
        </w:rPr>
        <w:t>a</w:t>
      </w:r>
      <w:r w:rsidR="004A064D" w:rsidRPr="0022499F">
        <w:rPr>
          <w:lang w:val="pl-PL"/>
        </w:rPr>
        <w:t xml:space="preserve"> Administracja Więzienna</w:t>
      </w:r>
      <w:r w:rsidR="00BF55AF" w:rsidRPr="0022499F">
        <w:rPr>
          <w:lang w:val="pl-PL"/>
        </w:rPr>
        <w:t xml:space="preserve"> (</w:t>
      </w:r>
      <w:proofErr w:type="spellStart"/>
      <w:r w:rsidR="007C1014" w:rsidRPr="0022499F">
        <w:rPr>
          <w:i/>
          <w:lang w:val="pl-PL"/>
        </w:rPr>
        <w:t>Ieslodzījuma</w:t>
      </w:r>
      <w:proofErr w:type="spellEnd"/>
      <w:r w:rsidR="007C1014" w:rsidRPr="0022499F">
        <w:rPr>
          <w:i/>
          <w:lang w:val="pl-PL"/>
        </w:rPr>
        <w:t xml:space="preserve"> </w:t>
      </w:r>
      <w:proofErr w:type="spellStart"/>
      <w:r w:rsidR="007C1014" w:rsidRPr="0022499F">
        <w:rPr>
          <w:i/>
          <w:lang w:val="pl-PL"/>
        </w:rPr>
        <w:t>vietu</w:t>
      </w:r>
      <w:proofErr w:type="spellEnd"/>
      <w:r w:rsidR="007C1014" w:rsidRPr="0022499F">
        <w:rPr>
          <w:i/>
          <w:lang w:val="pl-PL"/>
        </w:rPr>
        <w:t xml:space="preserve"> </w:t>
      </w:r>
      <w:proofErr w:type="spellStart"/>
      <w:r w:rsidR="007C1014" w:rsidRPr="0022499F">
        <w:rPr>
          <w:i/>
          <w:lang w:val="pl-PL"/>
        </w:rPr>
        <w:t>pārvalde</w:t>
      </w:r>
      <w:proofErr w:type="spellEnd"/>
      <w:r w:rsidR="00BF55AF" w:rsidRPr="0022499F">
        <w:rPr>
          <w:lang w:val="pl-PL"/>
        </w:rPr>
        <w:t>)</w:t>
      </w:r>
      <w:r w:rsidR="007C1014" w:rsidRPr="0022499F">
        <w:rPr>
          <w:lang w:val="pl-PL"/>
        </w:rPr>
        <w:t>.</w:t>
      </w:r>
    </w:p>
    <w:p w:rsidR="00D870DC" w:rsidRPr="0022499F" w:rsidRDefault="00DC3E30" w:rsidP="00CF143C">
      <w:pPr>
        <w:pStyle w:val="JuPara"/>
        <w:rPr>
          <w:i/>
          <w:lang w:val="pl-PL"/>
        </w:rPr>
      </w:pPr>
      <w:r w:rsidRPr="0022499F">
        <w:rPr>
          <w:lang w:val="pl-PL"/>
        </w:rPr>
        <w:fldChar w:fldCharType="begin"/>
      </w:r>
      <w:r w:rsidR="00CF143C" w:rsidRPr="0022499F">
        <w:rPr>
          <w:lang w:val="pl-PL"/>
        </w:rPr>
        <w:instrText xml:space="preserve"> SEQ level0 \*arabic </w:instrText>
      </w:r>
      <w:r w:rsidRPr="0022499F">
        <w:rPr>
          <w:lang w:val="pl-PL"/>
        </w:rPr>
        <w:fldChar w:fldCharType="separate"/>
      </w:r>
      <w:r w:rsidR="000E0C74" w:rsidRPr="0022499F">
        <w:rPr>
          <w:noProof/>
          <w:lang w:val="pl-PL"/>
        </w:rPr>
        <w:t>11</w:t>
      </w:r>
      <w:r w:rsidRPr="0022499F">
        <w:rPr>
          <w:lang w:val="pl-PL"/>
        </w:rPr>
        <w:fldChar w:fldCharType="end"/>
      </w:r>
      <w:r w:rsidR="00CF143C" w:rsidRPr="0022499F">
        <w:rPr>
          <w:lang w:val="pl-PL"/>
        </w:rPr>
        <w:t>.  </w:t>
      </w:r>
      <w:r w:rsidR="007C1014" w:rsidRPr="0022499F">
        <w:rPr>
          <w:lang w:val="pl-PL"/>
        </w:rPr>
        <w:t xml:space="preserve">Skarżący utrzymywał, a Rząd co do istoty nie zakwestionował, że </w:t>
      </w:r>
      <w:r w:rsidR="009C6841" w:rsidRPr="0022499F">
        <w:rPr>
          <w:lang w:val="pl-PL"/>
        </w:rPr>
        <w:br/>
      </w:r>
      <w:r w:rsidR="007C1014" w:rsidRPr="0022499F">
        <w:rPr>
          <w:lang w:val="pl-PL"/>
        </w:rPr>
        <w:t xml:space="preserve">w dniu 24 marca 2006 roku została dodana do jego akt sprawy notatka, że </w:t>
      </w:r>
      <w:r w:rsidR="009C6841" w:rsidRPr="0022499F">
        <w:rPr>
          <w:lang w:val="pl-PL"/>
        </w:rPr>
        <w:t>powinien</w:t>
      </w:r>
      <w:r w:rsidR="007C1014" w:rsidRPr="0022499F">
        <w:rPr>
          <w:lang w:val="pl-PL"/>
        </w:rPr>
        <w:t xml:space="preserve"> być osadzony w odosobnieniu od innych więźniów. Strony różnią się co do dokładnego charakteru i skutków takiego </w:t>
      </w:r>
      <w:r w:rsidR="009C6841" w:rsidRPr="0022499F">
        <w:rPr>
          <w:lang w:val="pl-PL"/>
        </w:rPr>
        <w:t>żądania</w:t>
      </w:r>
      <w:r w:rsidR="007C1014" w:rsidRPr="0022499F">
        <w:rPr>
          <w:lang w:val="pl-PL"/>
        </w:rPr>
        <w:t xml:space="preserve"> </w:t>
      </w:r>
      <w:r w:rsidR="007C1014" w:rsidRPr="0022499F">
        <w:rPr>
          <w:i/>
          <w:lang w:val="pl-PL"/>
        </w:rPr>
        <w:t>–</w:t>
      </w:r>
      <w:r w:rsidR="007C1014" w:rsidRPr="0022499F">
        <w:rPr>
          <w:lang w:val="pl-PL"/>
        </w:rPr>
        <w:t xml:space="preserve"> według Rządu akta sprawy skarżącego nie zawierały </w:t>
      </w:r>
      <w:r w:rsidR="009C6841" w:rsidRPr="0022499F">
        <w:rPr>
          <w:lang w:val="pl-PL"/>
        </w:rPr>
        <w:t xml:space="preserve">na piśmie </w:t>
      </w:r>
      <w:r w:rsidR="007C1014" w:rsidRPr="0022499F">
        <w:rPr>
          <w:lang w:val="pl-PL"/>
        </w:rPr>
        <w:t xml:space="preserve">niczego, co skutkowałby tym, że powinien on przebywać w izolacji przed dniem 1 listopada 2008 roku, </w:t>
      </w:r>
      <w:r w:rsidR="002E5D95" w:rsidRPr="0022499F">
        <w:rPr>
          <w:lang w:val="pl-PL"/>
        </w:rPr>
        <w:t xml:space="preserve">zatem przykładowo </w:t>
      </w:r>
      <w:r w:rsidR="007C1014" w:rsidRPr="0022499F">
        <w:rPr>
          <w:lang w:val="pl-PL"/>
        </w:rPr>
        <w:t xml:space="preserve">administracja </w:t>
      </w:r>
      <w:r w:rsidR="002E5D95" w:rsidRPr="0022499F">
        <w:rPr>
          <w:lang w:val="pl-PL"/>
        </w:rPr>
        <w:t xml:space="preserve">więzienia w </w:t>
      </w:r>
      <w:proofErr w:type="spellStart"/>
      <w:r w:rsidR="002E5D95" w:rsidRPr="0022499F">
        <w:rPr>
          <w:lang w:val="pl-PL"/>
        </w:rPr>
        <w:t>Daugavpils</w:t>
      </w:r>
      <w:proofErr w:type="spellEnd"/>
      <w:r w:rsidR="002E5D95" w:rsidRPr="0022499F">
        <w:rPr>
          <w:lang w:val="pl-PL"/>
        </w:rPr>
        <w:t xml:space="preserve"> nie mogła </w:t>
      </w:r>
      <w:r w:rsidR="009C6841" w:rsidRPr="0022499F">
        <w:rPr>
          <w:lang w:val="pl-PL"/>
        </w:rPr>
        <w:br/>
      </w:r>
      <w:r w:rsidR="002E5D95" w:rsidRPr="0022499F">
        <w:rPr>
          <w:lang w:val="pl-PL"/>
        </w:rPr>
        <w:t xml:space="preserve">o tym wiedzieć. </w:t>
      </w:r>
      <w:r w:rsidR="007C1014" w:rsidRPr="0022499F">
        <w:rPr>
          <w:lang w:val="pl-PL"/>
        </w:rPr>
        <w:t xml:space="preserve">Rząd </w:t>
      </w:r>
      <w:r w:rsidR="009C6841" w:rsidRPr="0022499F">
        <w:rPr>
          <w:lang w:val="pl-PL"/>
        </w:rPr>
        <w:t>przekazał</w:t>
      </w:r>
      <w:r w:rsidR="007C1014" w:rsidRPr="0022499F">
        <w:rPr>
          <w:lang w:val="pl-PL"/>
        </w:rPr>
        <w:t xml:space="preserve"> </w:t>
      </w:r>
      <w:r w:rsidR="009C6841" w:rsidRPr="0022499F">
        <w:rPr>
          <w:lang w:val="pl-PL"/>
        </w:rPr>
        <w:t>Trybunałowi</w:t>
      </w:r>
      <w:r w:rsidR="002E5D95" w:rsidRPr="0022499F">
        <w:rPr>
          <w:lang w:val="pl-PL"/>
        </w:rPr>
        <w:t xml:space="preserve"> kopię dokumentu z dnia</w:t>
      </w:r>
      <w:r w:rsidR="007C1014" w:rsidRPr="0022499F">
        <w:rPr>
          <w:lang w:val="pl-PL"/>
        </w:rPr>
        <w:t xml:space="preserve"> </w:t>
      </w:r>
      <w:r w:rsidR="009C6841" w:rsidRPr="0022499F">
        <w:rPr>
          <w:lang w:val="pl-PL"/>
        </w:rPr>
        <w:br/>
      </w:r>
      <w:r w:rsidR="007C1014" w:rsidRPr="0022499F">
        <w:rPr>
          <w:lang w:val="pl-PL"/>
        </w:rPr>
        <w:t>11 kwietnia 2006 roku</w:t>
      </w:r>
      <w:r w:rsidR="002E5D95" w:rsidRPr="0022499F">
        <w:rPr>
          <w:lang w:val="pl-PL"/>
        </w:rPr>
        <w:t>, podpisaną</w:t>
      </w:r>
      <w:r w:rsidR="007C1014" w:rsidRPr="0022499F">
        <w:rPr>
          <w:lang w:val="pl-PL"/>
        </w:rPr>
        <w:t xml:space="preserve"> przez </w:t>
      </w:r>
      <w:r w:rsidR="002E5D95" w:rsidRPr="0022499F">
        <w:rPr>
          <w:lang w:val="pl-PL"/>
        </w:rPr>
        <w:t>szefa policji w</w:t>
      </w:r>
      <w:r w:rsidR="007C1014" w:rsidRPr="0022499F">
        <w:rPr>
          <w:lang w:val="pl-PL"/>
        </w:rPr>
        <w:t xml:space="preserve"> </w:t>
      </w:r>
      <w:proofErr w:type="spellStart"/>
      <w:r w:rsidR="007C1014" w:rsidRPr="0022499F">
        <w:rPr>
          <w:lang w:val="pl-PL"/>
        </w:rPr>
        <w:t>Rēzekne</w:t>
      </w:r>
      <w:proofErr w:type="spellEnd"/>
      <w:r w:rsidR="002E5D95" w:rsidRPr="0022499F">
        <w:rPr>
          <w:lang w:val="pl-PL"/>
        </w:rPr>
        <w:t>, dotyczącą</w:t>
      </w:r>
      <w:r w:rsidR="007C1014" w:rsidRPr="0022499F">
        <w:rPr>
          <w:lang w:val="pl-PL"/>
        </w:rPr>
        <w:t xml:space="preserve"> przewozu trzech więźniów z </w:t>
      </w:r>
      <w:proofErr w:type="spellStart"/>
      <w:r w:rsidR="007C1014" w:rsidRPr="0022499F">
        <w:rPr>
          <w:lang w:val="pl-PL"/>
        </w:rPr>
        <w:t>Rēzekne</w:t>
      </w:r>
      <w:proofErr w:type="spellEnd"/>
      <w:r w:rsidR="002E5D95" w:rsidRPr="0022499F">
        <w:rPr>
          <w:lang w:val="pl-PL"/>
        </w:rPr>
        <w:t xml:space="preserve"> do </w:t>
      </w:r>
      <w:proofErr w:type="spellStart"/>
      <w:r w:rsidR="002E5D95" w:rsidRPr="0022499F">
        <w:rPr>
          <w:lang w:val="pl-PL"/>
        </w:rPr>
        <w:t>Daugavpils</w:t>
      </w:r>
      <w:proofErr w:type="spellEnd"/>
      <w:r w:rsidR="002E5D95" w:rsidRPr="0022499F">
        <w:rPr>
          <w:lang w:val="pl-PL"/>
        </w:rPr>
        <w:t>, w którym słowo “izolacja” pojawia się obok nazwiska skarżącego.</w:t>
      </w:r>
      <w:r w:rsidR="009C6841" w:rsidRPr="0022499F">
        <w:rPr>
          <w:lang w:val="pl-PL"/>
        </w:rPr>
        <w:t xml:space="preserve"> </w:t>
      </w:r>
    </w:p>
    <w:p w:rsidR="00CF143C" w:rsidRPr="0022499F" w:rsidRDefault="00DC3E30" w:rsidP="00CF143C">
      <w:pPr>
        <w:pStyle w:val="JuPara"/>
        <w:rPr>
          <w:i/>
          <w:lang w:val="pl-PL"/>
        </w:rPr>
      </w:pPr>
      <w:r w:rsidRPr="0022499F">
        <w:rPr>
          <w:lang w:val="pl-PL"/>
        </w:rPr>
        <w:fldChar w:fldCharType="begin"/>
      </w:r>
      <w:r w:rsidR="00CF143C" w:rsidRPr="0022499F">
        <w:rPr>
          <w:lang w:val="pl-PL"/>
        </w:rPr>
        <w:instrText xml:space="preserve"> SEQ level0 \*arabic </w:instrText>
      </w:r>
      <w:r w:rsidRPr="0022499F">
        <w:rPr>
          <w:lang w:val="pl-PL"/>
        </w:rPr>
        <w:fldChar w:fldCharType="separate"/>
      </w:r>
      <w:r w:rsidR="000E0C74" w:rsidRPr="0022499F">
        <w:rPr>
          <w:noProof/>
          <w:lang w:val="pl-PL"/>
        </w:rPr>
        <w:t>12</w:t>
      </w:r>
      <w:r w:rsidRPr="0022499F">
        <w:rPr>
          <w:lang w:val="pl-PL"/>
        </w:rPr>
        <w:fldChar w:fldCharType="end"/>
      </w:r>
      <w:r w:rsidR="00CF143C" w:rsidRPr="0022499F">
        <w:rPr>
          <w:lang w:val="pl-PL"/>
        </w:rPr>
        <w:t>.  </w:t>
      </w:r>
      <w:r w:rsidR="002E5D95" w:rsidRPr="0022499F">
        <w:rPr>
          <w:lang w:val="pl-PL"/>
        </w:rPr>
        <w:t>W dniu 13 kwietnia 2</w:t>
      </w:r>
      <w:r w:rsidR="004A064D" w:rsidRPr="0022499F">
        <w:rPr>
          <w:lang w:val="pl-PL"/>
        </w:rPr>
        <w:t>006 roku Administracja Więzienna</w:t>
      </w:r>
      <w:r w:rsidR="002E5D95" w:rsidRPr="0022499F">
        <w:rPr>
          <w:lang w:val="pl-PL"/>
        </w:rPr>
        <w:t xml:space="preserve"> odmówiła </w:t>
      </w:r>
      <w:r w:rsidR="009C6841" w:rsidRPr="0022499F">
        <w:rPr>
          <w:lang w:val="pl-PL"/>
        </w:rPr>
        <w:t xml:space="preserve">wydania </w:t>
      </w:r>
      <w:r w:rsidR="002E5D95" w:rsidRPr="0022499F">
        <w:rPr>
          <w:lang w:val="pl-PL"/>
        </w:rPr>
        <w:t xml:space="preserve">nakazu przeniesienia skarżącego do więzienia </w:t>
      </w:r>
      <w:proofErr w:type="spellStart"/>
      <w:r w:rsidR="002E5D95" w:rsidRPr="0022499F">
        <w:rPr>
          <w:lang w:val="pl-PL"/>
        </w:rPr>
        <w:t>Matīsa</w:t>
      </w:r>
      <w:proofErr w:type="spellEnd"/>
      <w:r w:rsidR="002E5D95" w:rsidRPr="0022499F">
        <w:rPr>
          <w:lang w:val="pl-PL"/>
        </w:rPr>
        <w:t xml:space="preserve">. Przede wszystkim zauważono, że zgodnie z obowiązującymi przepisami krajowymi (zobacz </w:t>
      </w:r>
      <w:r w:rsidR="004A064D" w:rsidRPr="0022499F">
        <w:rPr>
          <w:lang w:val="pl-PL"/>
        </w:rPr>
        <w:t>punkt</w:t>
      </w:r>
      <w:r w:rsidR="002E5D95" w:rsidRPr="0022499F">
        <w:rPr>
          <w:lang w:val="pl-PL"/>
        </w:rPr>
        <w:t xml:space="preserve"> 37 poniżej) tylko “pewna kategoria więźniów” odbywa wyroki w więzieniu </w:t>
      </w:r>
      <w:proofErr w:type="spellStart"/>
      <w:r w:rsidR="002E5D95" w:rsidRPr="0022499F">
        <w:rPr>
          <w:lang w:val="pl-PL"/>
        </w:rPr>
        <w:t>Matīsa</w:t>
      </w:r>
      <w:proofErr w:type="spellEnd"/>
      <w:r w:rsidR="002E5D95" w:rsidRPr="0022499F">
        <w:rPr>
          <w:lang w:val="pl-PL"/>
        </w:rPr>
        <w:t>. Skarżący został poinformowany, że Administracja Wię</w:t>
      </w:r>
      <w:r w:rsidR="004A064D" w:rsidRPr="0022499F">
        <w:rPr>
          <w:lang w:val="pl-PL"/>
        </w:rPr>
        <w:t>zienna</w:t>
      </w:r>
      <w:r w:rsidR="002E5D95" w:rsidRPr="0022499F">
        <w:rPr>
          <w:lang w:val="pl-PL"/>
        </w:rPr>
        <w:t xml:space="preserve"> nie </w:t>
      </w:r>
      <w:r w:rsidR="009C6841" w:rsidRPr="0022499F">
        <w:rPr>
          <w:lang w:val="pl-PL"/>
        </w:rPr>
        <w:t>posiadała</w:t>
      </w:r>
      <w:r w:rsidR="002E5D95" w:rsidRPr="0022499F">
        <w:rPr>
          <w:lang w:val="pl-PL"/>
        </w:rPr>
        <w:t xml:space="preserve"> informacji o jego rzekomych powiązaniach z organami ścigania.</w:t>
      </w:r>
      <w:r w:rsidR="004A064D" w:rsidRPr="0022499F">
        <w:rPr>
          <w:lang w:val="pl-PL"/>
        </w:rPr>
        <w:t xml:space="preserve"> Ponadto Administracja Więzienna</w:t>
      </w:r>
      <w:r w:rsidR="002E5D95" w:rsidRPr="0022499F">
        <w:rPr>
          <w:lang w:val="pl-PL"/>
        </w:rPr>
        <w:t xml:space="preserve"> wskazała, że decyzja o przeniesieniu skarżącego może być wykonane dopiero gdy jego skazanie stanie się prawomocne (uprawomocniło się dnia 1 lutego 2007: zobacz p</w:t>
      </w:r>
      <w:r w:rsidR="000809F0" w:rsidRPr="0022499F">
        <w:rPr>
          <w:lang w:val="pl-PL"/>
        </w:rPr>
        <w:t>unkt</w:t>
      </w:r>
      <w:r w:rsidR="002E5D95" w:rsidRPr="0022499F">
        <w:rPr>
          <w:lang w:val="pl-PL"/>
        </w:rPr>
        <w:t xml:space="preserve"> 27 poniżej)</w:t>
      </w:r>
      <w:r w:rsidR="00CF143C" w:rsidRPr="0022499F">
        <w:rPr>
          <w:i/>
          <w:lang w:val="pl-PL"/>
        </w:rPr>
        <w:t>.</w:t>
      </w:r>
    </w:p>
    <w:p w:rsidR="00910131" w:rsidRPr="0022499F" w:rsidRDefault="00DC3E30" w:rsidP="00910131">
      <w:pPr>
        <w:pStyle w:val="JuPara"/>
        <w:rPr>
          <w:i/>
          <w:lang w:val="pl-PL"/>
        </w:rPr>
      </w:pPr>
      <w:r w:rsidRPr="0022499F">
        <w:rPr>
          <w:lang w:val="pl-PL"/>
        </w:rPr>
        <w:fldChar w:fldCharType="begin"/>
      </w:r>
      <w:r w:rsidR="000C5333" w:rsidRPr="0022499F">
        <w:rPr>
          <w:lang w:val="pl-PL"/>
        </w:rPr>
        <w:instrText xml:space="preserve"> SEQ level0 \*arabic </w:instrText>
      </w:r>
      <w:r w:rsidRPr="0022499F">
        <w:rPr>
          <w:lang w:val="pl-PL"/>
        </w:rPr>
        <w:fldChar w:fldCharType="separate"/>
      </w:r>
      <w:r w:rsidR="000E0C74" w:rsidRPr="0022499F">
        <w:rPr>
          <w:noProof/>
          <w:lang w:val="pl-PL"/>
        </w:rPr>
        <w:t>13</w:t>
      </w:r>
      <w:r w:rsidRPr="0022499F">
        <w:rPr>
          <w:lang w:val="pl-PL"/>
        </w:rPr>
        <w:fldChar w:fldCharType="end"/>
      </w:r>
      <w:r w:rsidR="000C5333" w:rsidRPr="0022499F">
        <w:rPr>
          <w:lang w:val="pl-PL"/>
        </w:rPr>
        <w:t>.  </w:t>
      </w:r>
      <w:r w:rsidR="002E5D95" w:rsidRPr="0022499F">
        <w:rPr>
          <w:lang w:val="pl-PL"/>
        </w:rPr>
        <w:t xml:space="preserve">Skarżący zarzucił, że podczas pobytu w więzieniu w </w:t>
      </w:r>
      <w:proofErr w:type="spellStart"/>
      <w:r w:rsidR="002E5D95" w:rsidRPr="0022499F">
        <w:rPr>
          <w:lang w:val="pl-PL"/>
        </w:rPr>
        <w:t>Daugavpils</w:t>
      </w:r>
      <w:proofErr w:type="spellEnd"/>
      <w:r w:rsidR="002E5D95" w:rsidRPr="0022499F">
        <w:rPr>
          <w:lang w:val="pl-PL"/>
        </w:rPr>
        <w:t xml:space="preserve">  stał się obiektem wielokrotnej przemocy fizyc</w:t>
      </w:r>
      <w:r w:rsidR="000809F0" w:rsidRPr="0022499F">
        <w:rPr>
          <w:lang w:val="pl-PL"/>
        </w:rPr>
        <w:t>znej ze strony współ</w:t>
      </w:r>
      <w:r w:rsidR="002E5D95" w:rsidRPr="0022499F">
        <w:rPr>
          <w:lang w:val="pl-PL"/>
        </w:rPr>
        <w:t>więźniów. Skarżący wskazał, że w wyni</w:t>
      </w:r>
      <w:r w:rsidR="000809F0" w:rsidRPr="0022499F">
        <w:rPr>
          <w:lang w:val="pl-PL"/>
        </w:rPr>
        <w:t>ku pobicia stracił kilka zębów. Jego zdaniem</w:t>
      </w:r>
      <w:r w:rsidR="002E5D95" w:rsidRPr="0022499F">
        <w:rPr>
          <w:lang w:val="pl-PL"/>
        </w:rPr>
        <w:t xml:space="preserve"> przemoc wobec niego była bezpośrednią konsekwencją jego wcześniejszej współpracy z policją, która stała s</w:t>
      </w:r>
      <w:r w:rsidR="000809F0" w:rsidRPr="0022499F">
        <w:rPr>
          <w:lang w:val="pl-PL"/>
        </w:rPr>
        <w:t>ię znana w więzieniu, w którym było</w:t>
      </w:r>
      <w:r w:rsidR="002E5D95" w:rsidRPr="0022499F">
        <w:rPr>
          <w:lang w:val="pl-PL"/>
        </w:rPr>
        <w:t xml:space="preserve"> osadzony</w:t>
      </w:r>
      <w:r w:rsidR="000809F0" w:rsidRPr="0022499F">
        <w:rPr>
          <w:lang w:val="pl-PL"/>
        </w:rPr>
        <w:t>ch wielu</w:t>
      </w:r>
      <w:r w:rsidR="002E5D95" w:rsidRPr="0022499F">
        <w:rPr>
          <w:lang w:val="pl-PL"/>
        </w:rPr>
        <w:t xml:space="preserve"> więźniów z </w:t>
      </w:r>
      <w:proofErr w:type="spellStart"/>
      <w:r w:rsidR="002E5D95" w:rsidRPr="0022499F">
        <w:rPr>
          <w:lang w:val="pl-PL"/>
        </w:rPr>
        <w:t>Balvi</w:t>
      </w:r>
      <w:proofErr w:type="spellEnd"/>
      <w:r w:rsidR="002E5D95" w:rsidRPr="0022499F">
        <w:rPr>
          <w:lang w:val="pl-PL"/>
        </w:rPr>
        <w:t>. Skarżący wskazał, że fakt, że został oskarżony o przestępstwa seksualne wobec nieletnich</w:t>
      </w:r>
      <w:r w:rsidR="000809F0" w:rsidRPr="0022499F">
        <w:rPr>
          <w:lang w:val="pl-PL"/>
        </w:rPr>
        <w:t>,</w:t>
      </w:r>
      <w:r w:rsidR="002E5D95" w:rsidRPr="0022499F">
        <w:rPr>
          <w:lang w:val="pl-PL"/>
        </w:rPr>
        <w:t xml:space="preserve"> również uczynił go celem nadużyć ze strony innych więźniów</w:t>
      </w:r>
      <w:r w:rsidR="00910131" w:rsidRPr="0022499F">
        <w:rPr>
          <w:i/>
          <w:lang w:val="pl-PL"/>
        </w:rPr>
        <w:t>.</w:t>
      </w:r>
    </w:p>
    <w:p w:rsidR="00910131" w:rsidRPr="0022499F" w:rsidRDefault="00DC3E30" w:rsidP="00910131">
      <w:pPr>
        <w:pStyle w:val="JuPara"/>
        <w:rPr>
          <w:i/>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14</w:t>
      </w:r>
      <w:r w:rsidRPr="0022499F">
        <w:rPr>
          <w:lang w:val="pl-PL"/>
        </w:rPr>
        <w:fldChar w:fldCharType="end"/>
      </w:r>
      <w:r w:rsidR="00910131" w:rsidRPr="0022499F">
        <w:rPr>
          <w:lang w:val="pl-PL"/>
        </w:rPr>
        <w:t>.  </w:t>
      </w:r>
      <w:r w:rsidR="002E5D95" w:rsidRPr="0022499F">
        <w:rPr>
          <w:lang w:val="pl-PL"/>
        </w:rPr>
        <w:t xml:space="preserve">Skarżący zauważył ponadto, że administracja więzienia </w:t>
      </w:r>
      <w:r w:rsidR="000809F0" w:rsidRPr="0022499F">
        <w:rPr>
          <w:lang w:val="pl-PL"/>
        </w:rPr>
        <w:br/>
      </w:r>
      <w:r w:rsidR="002E5D95" w:rsidRPr="0022499F">
        <w:rPr>
          <w:lang w:val="pl-PL"/>
        </w:rPr>
        <w:t xml:space="preserve">w </w:t>
      </w:r>
      <w:proofErr w:type="spellStart"/>
      <w:r w:rsidR="002E5D95" w:rsidRPr="0022499F">
        <w:rPr>
          <w:lang w:val="pl-PL"/>
        </w:rPr>
        <w:t>Daugavpils</w:t>
      </w:r>
      <w:proofErr w:type="spellEnd"/>
      <w:r w:rsidR="002E5D95" w:rsidRPr="0022499F">
        <w:rPr>
          <w:lang w:val="pl-PL"/>
        </w:rPr>
        <w:t xml:space="preserve"> </w:t>
      </w:r>
      <w:r w:rsidR="007E0EFD" w:rsidRPr="0022499F">
        <w:rPr>
          <w:lang w:val="pl-PL"/>
        </w:rPr>
        <w:t>często przenosiła</w:t>
      </w:r>
      <w:r w:rsidR="002E5D95" w:rsidRPr="0022499F">
        <w:rPr>
          <w:lang w:val="pl-PL"/>
        </w:rPr>
        <w:t xml:space="preserve"> go z jednej </w:t>
      </w:r>
      <w:r w:rsidR="007E0EFD" w:rsidRPr="0022499F">
        <w:rPr>
          <w:lang w:val="pl-PL"/>
        </w:rPr>
        <w:t>celi</w:t>
      </w:r>
      <w:r w:rsidR="002E5D95" w:rsidRPr="0022499F">
        <w:rPr>
          <w:lang w:val="pl-PL"/>
        </w:rPr>
        <w:t xml:space="preserve"> do drugiej, a tym samym naraża</w:t>
      </w:r>
      <w:r w:rsidR="007E0EFD" w:rsidRPr="0022499F">
        <w:rPr>
          <w:lang w:val="pl-PL"/>
        </w:rPr>
        <w:t xml:space="preserve">ła go na </w:t>
      </w:r>
      <w:r w:rsidR="000809F0" w:rsidRPr="0022499F">
        <w:rPr>
          <w:lang w:val="pl-PL"/>
        </w:rPr>
        <w:t>tym liczniejsze kontakty z innymi więźniami</w:t>
      </w:r>
      <w:r w:rsidR="002E5D95" w:rsidRPr="0022499F">
        <w:rPr>
          <w:lang w:val="pl-PL"/>
        </w:rPr>
        <w:t xml:space="preserve">. Kiedy poskarżył </w:t>
      </w:r>
      <w:r w:rsidR="007E0EFD" w:rsidRPr="0022499F">
        <w:rPr>
          <w:lang w:val="pl-PL"/>
        </w:rPr>
        <w:t xml:space="preserve">się na to, </w:t>
      </w:r>
      <w:r w:rsidR="000809F0" w:rsidRPr="0022499F">
        <w:rPr>
          <w:lang w:val="pl-PL"/>
        </w:rPr>
        <w:t>w dniu</w:t>
      </w:r>
      <w:r w:rsidR="007E0EFD" w:rsidRPr="0022499F">
        <w:rPr>
          <w:lang w:val="pl-PL"/>
        </w:rPr>
        <w:t xml:space="preserve"> 19 czerwca 2007 roku </w:t>
      </w:r>
      <w:r w:rsidR="002E5D95" w:rsidRPr="0022499F">
        <w:rPr>
          <w:lang w:val="pl-PL"/>
        </w:rPr>
        <w:t>otrzymał odpowie</w:t>
      </w:r>
      <w:r w:rsidR="000809F0" w:rsidRPr="0022499F">
        <w:rPr>
          <w:lang w:val="pl-PL"/>
        </w:rPr>
        <w:t>dź od Administracji Więziennej</w:t>
      </w:r>
      <w:r w:rsidR="007E0EFD" w:rsidRPr="0022499F">
        <w:rPr>
          <w:lang w:val="pl-PL"/>
        </w:rPr>
        <w:t>, w której</w:t>
      </w:r>
      <w:r w:rsidR="002E5D95" w:rsidRPr="0022499F">
        <w:rPr>
          <w:lang w:val="pl-PL"/>
        </w:rPr>
        <w:t xml:space="preserve"> </w:t>
      </w:r>
      <w:r w:rsidR="007E0EFD" w:rsidRPr="0022499F">
        <w:rPr>
          <w:lang w:val="pl-PL"/>
        </w:rPr>
        <w:t>wskazano że rozmieszczanie osadzonych</w:t>
      </w:r>
      <w:r w:rsidR="002E5D95" w:rsidRPr="0022499F">
        <w:rPr>
          <w:lang w:val="pl-PL"/>
        </w:rPr>
        <w:t xml:space="preserve"> </w:t>
      </w:r>
      <w:r w:rsidR="007E0EFD" w:rsidRPr="0022499F">
        <w:rPr>
          <w:lang w:val="pl-PL"/>
        </w:rPr>
        <w:t xml:space="preserve">w celach leży w </w:t>
      </w:r>
      <w:r w:rsidR="002E5D95" w:rsidRPr="0022499F">
        <w:rPr>
          <w:lang w:val="pl-PL"/>
        </w:rPr>
        <w:t>gesti</w:t>
      </w:r>
      <w:r w:rsidR="007E0EFD" w:rsidRPr="0022499F">
        <w:rPr>
          <w:lang w:val="pl-PL"/>
        </w:rPr>
        <w:t xml:space="preserve">i władz poszczególnych więzień, a w przypadku skarżącego </w:t>
      </w:r>
      <w:r w:rsidR="002E5D95" w:rsidRPr="0022499F">
        <w:rPr>
          <w:lang w:val="pl-PL"/>
        </w:rPr>
        <w:t>administrac</w:t>
      </w:r>
      <w:r w:rsidR="007E0EFD" w:rsidRPr="0022499F">
        <w:rPr>
          <w:lang w:val="pl-PL"/>
        </w:rPr>
        <w:t>ja więzienia w</w:t>
      </w:r>
      <w:r w:rsidR="002E5D95" w:rsidRPr="0022499F">
        <w:rPr>
          <w:lang w:val="pl-PL"/>
        </w:rPr>
        <w:t xml:space="preserve"> </w:t>
      </w:r>
      <w:proofErr w:type="spellStart"/>
      <w:r w:rsidR="002E5D95" w:rsidRPr="0022499F">
        <w:rPr>
          <w:lang w:val="pl-PL"/>
        </w:rPr>
        <w:t>Daugavpils</w:t>
      </w:r>
      <w:proofErr w:type="spellEnd"/>
      <w:r w:rsidR="002E5D95" w:rsidRPr="0022499F">
        <w:rPr>
          <w:lang w:val="pl-PL"/>
        </w:rPr>
        <w:t xml:space="preserve"> </w:t>
      </w:r>
      <w:r w:rsidR="007E0EFD" w:rsidRPr="0022499F">
        <w:rPr>
          <w:lang w:val="pl-PL"/>
        </w:rPr>
        <w:t>podejmowała swoje decyzje “</w:t>
      </w:r>
      <w:r w:rsidR="002E5D95" w:rsidRPr="0022499F">
        <w:rPr>
          <w:lang w:val="pl-PL"/>
        </w:rPr>
        <w:t xml:space="preserve">biorąc pod uwagę ilość miejsca dostępnego w </w:t>
      </w:r>
      <w:r w:rsidR="007E0EFD" w:rsidRPr="0022499F">
        <w:rPr>
          <w:lang w:val="pl-PL"/>
        </w:rPr>
        <w:t>celach, czynniki psychologiczne oraz poziom wykształcenia i stan</w:t>
      </w:r>
      <w:r w:rsidR="002E5D95" w:rsidRPr="0022499F">
        <w:rPr>
          <w:lang w:val="pl-PL"/>
        </w:rPr>
        <w:t xml:space="preserve"> zdrowia więźniów</w:t>
      </w:r>
      <w:r w:rsidR="007E0EFD" w:rsidRPr="0022499F">
        <w:rPr>
          <w:lang w:val="pl-PL"/>
        </w:rPr>
        <w:t>”.</w:t>
      </w:r>
    </w:p>
    <w:p w:rsidR="00D870DC" w:rsidRPr="0022499F" w:rsidRDefault="00DC3E30" w:rsidP="00910131">
      <w:pPr>
        <w:pStyle w:val="JuPara"/>
        <w:rPr>
          <w:i/>
          <w:lang w:val="pl-PL"/>
        </w:rPr>
      </w:pPr>
      <w:r w:rsidRPr="0022499F">
        <w:rPr>
          <w:lang w:val="pl-PL"/>
        </w:rPr>
        <w:fldChar w:fldCharType="begin"/>
      </w:r>
      <w:r w:rsidR="005831B7" w:rsidRPr="0022499F">
        <w:rPr>
          <w:lang w:val="pl-PL"/>
        </w:rPr>
        <w:instrText xml:space="preserve"> SEQ level0 \*arabic </w:instrText>
      </w:r>
      <w:r w:rsidRPr="0022499F">
        <w:rPr>
          <w:lang w:val="pl-PL"/>
        </w:rPr>
        <w:fldChar w:fldCharType="separate"/>
      </w:r>
      <w:r w:rsidR="000E0C74" w:rsidRPr="0022499F">
        <w:rPr>
          <w:noProof/>
          <w:lang w:val="pl-PL"/>
        </w:rPr>
        <w:t>15</w:t>
      </w:r>
      <w:r w:rsidRPr="0022499F">
        <w:rPr>
          <w:lang w:val="pl-PL"/>
        </w:rPr>
        <w:fldChar w:fldCharType="end"/>
      </w:r>
      <w:r w:rsidR="005831B7" w:rsidRPr="0022499F">
        <w:rPr>
          <w:lang w:val="pl-PL"/>
        </w:rPr>
        <w:t>.  </w:t>
      </w:r>
      <w:r w:rsidR="007E0EFD" w:rsidRPr="0022499F">
        <w:rPr>
          <w:lang w:val="pl-PL"/>
        </w:rPr>
        <w:t xml:space="preserve">W dniu 12 czerwca 2006 roku skarżący zwrócił się do Prokuratora Generalnego i przedstawił w miarę szczegółowe informacje na temat jego </w:t>
      </w:r>
      <w:r w:rsidR="007E0EFD" w:rsidRPr="0022499F">
        <w:rPr>
          <w:lang w:val="pl-PL"/>
        </w:rPr>
        <w:lastRenderedPageBreak/>
        <w:t xml:space="preserve">współpracy z policją kryminalną w </w:t>
      </w:r>
      <w:proofErr w:type="spellStart"/>
      <w:r w:rsidR="007E0EFD" w:rsidRPr="0022499F">
        <w:rPr>
          <w:lang w:val="pl-PL"/>
        </w:rPr>
        <w:t>Balvi</w:t>
      </w:r>
      <w:proofErr w:type="spellEnd"/>
      <w:r w:rsidR="007E0EFD" w:rsidRPr="0022499F">
        <w:rPr>
          <w:lang w:val="pl-PL"/>
        </w:rPr>
        <w:t xml:space="preserve">, takie jak </w:t>
      </w:r>
      <w:r w:rsidR="00127F5D" w:rsidRPr="0022499F">
        <w:rPr>
          <w:lang w:val="pl-PL"/>
        </w:rPr>
        <w:t>pseudonim</w:t>
      </w:r>
      <w:r w:rsidR="007E0EFD" w:rsidRPr="0022499F">
        <w:rPr>
          <w:lang w:val="pl-PL"/>
        </w:rPr>
        <w:t xml:space="preserve"> nadany mu przez policję i fakt, że zapłacono mu za jego usługi. Podkreślił, że ze względu na charakter stawianych mu zarzutów i jego dawną współpracę z policją, znajdował się</w:t>
      </w:r>
      <w:r w:rsidR="000809F0" w:rsidRPr="0022499F">
        <w:rPr>
          <w:lang w:val="pl-PL"/>
        </w:rPr>
        <w:t xml:space="preserve"> </w:t>
      </w:r>
      <w:r w:rsidR="007E0EFD" w:rsidRPr="0022499F">
        <w:rPr>
          <w:lang w:val="pl-PL"/>
        </w:rPr>
        <w:t xml:space="preserve">w ciągłym niebezpieczeństwie </w:t>
      </w:r>
      <w:r w:rsidR="000809F0" w:rsidRPr="0022499F">
        <w:rPr>
          <w:lang w:val="pl-PL"/>
        </w:rPr>
        <w:t xml:space="preserve">wymierzenia </w:t>
      </w:r>
      <w:r w:rsidR="007E0EFD" w:rsidRPr="0022499F">
        <w:rPr>
          <w:lang w:val="pl-PL"/>
        </w:rPr>
        <w:t xml:space="preserve">srogiej kary </w:t>
      </w:r>
      <w:r w:rsidR="000809F0" w:rsidRPr="0022499F">
        <w:rPr>
          <w:lang w:val="pl-PL"/>
        </w:rPr>
        <w:t xml:space="preserve">przez </w:t>
      </w:r>
      <w:r w:rsidR="007E0EFD" w:rsidRPr="0022499F">
        <w:rPr>
          <w:lang w:val="pl-PL"/>
        </w:rPr>
        <w:t>innych więź</w:t>
      </w:r>
      <w:r w:rsidR="000809F0" w:rsidRPr="0022499F">
        <w:rPr>
          <w:lang w:val="pl-PL"/>
        </w:rPr>
        <w:t xml:space="preserve">niów. </w:t>
      </w:r>
      <w:r w:rsidR="007E0EFD" w:rsidRPr="0022499F">
        <w:rPr>
          <w:lang w:val="pl-PL"/>
        </w:rPr>
        <w:t>Pismo skarżącego zostało przekazane do Administracji Więzi</w:t>
      </w:r>
      <w:r w:rsidR="000809F0" w:rsidRPr="0022499F">
        <w:rPr>
          <w:lang w:val="pl-PL"/>
        </w:rPr>
        <w:t>ennej</w:t>
      </w:r>
      <w:r w:rsidR="007E0EFD" w:rsidRPr="0022499F">
        <w:rPr>
          <w:lang w:val="pl-PL"/>
        </w:rPr>
        <w:t>, która w dniu 27 czerwca 2006 roku</w:t>
      </w:r>
      <w:r w:rsidR="007E0EFD" w:rsidRPr="0022499F">
        <w:rPr>
          <w:i/>
          <w:lang w:val="pl-PL"/>
        </w:rPr>
        <w:t xml:space="preserve"> </w:t>
      </w:r>
      <w:r w:rsidR="007E0EFD" w:rsidRPr="0022499F">
        <w:rPr>
          <w:lang w:val="pl-PL"/>
        </w:rPr>
        <w:t xml:space="preserve">oddaliła jego wniosek o przeniesienie do więzienia </w:t>
      </w:r>
      <w:proofErr w:type="spellStart"/>
      <w:r w:rsidR="007E0EFD" w:rsidRPr="0022499F">
        <w:rPr>
          <w:lang w:val="pl-PL"/>
        </w:rPr>
        <w:t>Matīsa</w:t>
      </w:r>
      <w:proofErr w:type="spellEnd"/>
      <w:r w:rsidR="005831B7" w:rsidRPr="0022499F">
        <w:rPr>
          <w:i/>
          <w:lang w:val="pl-PL"/>
        </w:rPr>
        <w:t>.</w:t>
      </w:r>
    </w:p>
    <w:p w:rsidR="006C2346" w:rsidRPr="0022499F" w:rsidRDefault="00DC3E30" w:rsidP="00910131">
      <w:pPr>
        <w:pStyle w:val="JuPara"/>
        <w:rPr>
          <w:i/>
          <w:lang w:val="pl-PL"/>
        </w:rPr>
      </w:pPr>
      <w:r w:rsidRPr="0022499F">
        <w:rPr>
          <w:lang w:val="pl-PL"/>
        </w:rPr>
        <w:fldChar w:fldCharType="begin"/>
      </w:r>
      <w:r w:rsidR="006C2346" w:rsidRPr="0022499F">
        <w:rPr>
          <w:lang w:val="pl-PL"/>
        </w:rPr>
        <w:instrText xml:space="preserve"> SEQ level0 \*arabic </w:instrText>
      </w:r>
      <w:r w:rsidRPr="0022499F">
        <w:rPr>
          <w:lang w:val="pl-PL"/>
        </w:rPr>
        <w:fldChar w:fldCharType="separate"/>
      </w:r>
      <w:r w:rsidR="000E0C74" w:rsidRPr="0022499F">
        <w:rPr>
          <w:noProof/>
          <w:lang w:val="pl-PL"/>
        </w:rPr>
        <w:t>16</w:t>
      </w:r>
      <w:r w:rsidRPr="0022499F">
        <w:rPr>
          <w:lang w:val="pl-PL"/>
        </w:rPr>
        <w:fldChar w:fldCharType="end"/>
      </w:r>
      <w:r w:rsidR="006C2346" w:rsidRPr="0022499F">
        <w:rPr>
          <w:lang w:val="pl-PL"/>
        </w:rPr>
        <w:t>.  </w:t>
      </w:r>
      <w:r w:rsidR="007E0EFD" w:rsidRPr="0022499F">
        <w:rPr>
          <w:lang w:val="pl-PL"/>
        </w:rPr>
        <w:t xml:space="preserve">W dniu 21 lipca 2006 roku skarżący ponownie </w:t>
      </w:r>
      <w:r w:rsidR="000809F0" w:rsidRPr="0022499F">
        <w:rPr>
          <w:lang w:val="pl-PL"/>
        </w:rPr>
        <w:t>zwrócił się</w:t>
      </w:r>
      <w:r w:rsidR="007E0EFD" w:rsidRPr="0022499F">
        <w:rPr>
          <w:lang w:val="pl-PL"/>
        </w:rPr>
        <w:t xml:space="preserve"> do Prokuratora Generalnego. </w:t>
      </w:r>
      <w:r w:rsidR="000809F0" w:rsidRPr="0022499F">
        <w:rPr>
          <w:lang w:val="pl-PL"/>
        </w:rPr>
        <w:t>W swoim piśmie w zasadzie powtór</w:t>
      </w:r>
      <w:r w:rsidR="007E0EFD" w:rsidRPr="0022499F">
        <w:rPr>
          <w:lang w:val="pl-PL"/>
        </w:rPr>
        <w:t>zył żądania poczynione w poprzednim, ale także wyraźnie odniósł się do “wniosku o izolację” w jego aktach</w:t>
      </w:r>
      <w:r w:rsidR="00EB2872" w:rsidRPr="0022499F">
        <w:rPr>
          <w:lang w:val="pl-PL"/>
        </w:rPr>
        <w:t xml:space="preserve"> sprawy, który jak twierdził był przestrzegany za każdym razem</w:t>
      </w:r>
      <w:r w:rsidR="007E0EFD" w:rsidRPr="0022499F">
        <w:rPr>
          <w:lang w:val="pl-PL"/>
        </w:rPr>
        <w:t xml:space="preserve">, gdy był </w:t>
      </w:r>
      <w:r w:rsidR="00EB2872" w:rsidRPr="0022499F">
        <w:rPr>
          <w:lang w:val="pl-PL"/>
        </w:rPr>
        <w:t xml:space="preserve">on </w:t>
      </w:r>
      <w:r w:rsidR="007E0EFD" w:rsidRPr="0022499F">
        <w:rPr>
          <w:lang w:val="pl-PL"/>
        </w:rPr>
        <w:t xml:space="preserve">transportowany poza </w:t>
      </w:r>
      <w:proofErr w:type="spellStart"/>
      <w:r w:rsidR="007E0EFD" w:rsidRPr="0022499F">
        <w:rPr>
          <w:lang w:val="pl-PL"/>
        </w:rPr>
        <w:t>Daugavpils</w:t>
      </w:r>
      <w:proofErr w:type="spellEnd"/>
      <w:r w:rsidR="007E0EFD" w:rsidRPr="0022499F">
        <w:rPr>
          <w:lang w:val="pl-PL"/>
        </w:rPr>
        <w:t xml:space="preserve">. </w:t>
      </w:r>
      <w:r w:rsidR="00EB2872" w:rsidRPr="0022499F">
        <w:rPr>
          <w:lang w:val="pl-PL"/>
        </w:rPr>
        <w:t>Pod</w:t>
      </w:r>
      <w:r w:rsidR="007E0EFD" w:rsidRPr="0022499F">
        <w:rPr>
          <w:lang w:val="pl-PL"/>
        </w:rPr>
        <w:t>ał rów</w:t>
      </w:r>
      <w:r w:rsidR="00EB2872" w:rsidRPr="0022499F">
        <w:rPr>
          <w:lang w:val="pl-PL"/>
        </w:rPr>
        <w:t>nież szczegóły kilku przypadków</w:t>
      </w:r>
      <w:r w:rsidR="007E0EFD" w:rsidRPr="0022499F">
        <w:rPr>
          <w:lang w:val="pl-PL"/>
        </w:rPr>
        <w:t xml:space="preserve"> </w:t>
      </w:r>
      <w:r w:rsidR="00C26B40" w:rsidRPr="0022499F">
        <w:rPr>
          <w:lang w:val="pl-PL"/>
        </w:rPr>
        <w:t>znęcania się</w:t>
      </w:r>
      <w:r w:rsidR="007E0EFD" w:rsidRPr="0022499F">
        <w:rPr>
          <w:lang w:val="pl-PL"/>
        </w:rPr>
        <w:t xml:space="preserve"> </w:t>
      </w:r>
      <w:r w:rsidR="00EB2872" w:rsidRPr="0022499F">
        <w:rPr>
          <w:lang w:val="pl-PL"/>
        </w:rPr>
        <w:t xml:space="preserve">ze strony </w:t>
      </w:r>
      <w:r w:rsidR="007E0EFD" w:rsidRPr="0022499F">
        <w:rPr>
          <w:lang w:val="pl-PL"/>
        </w:rPr>
        <w:t xml:space="preserve">innych więźniów </w:t>
      </w:r>
      <w:r w:rsidR="00EB2872" w:rsidRPr="0022499F">
        <w:rPr>
          <w:lang w:val="pl-PL"/>
        </w:rPr>
        <w:t>więzienia</w:t>
      </w:r>
      <w:r w:rsidR="007E0EFD" w:rsidRPr="0022499F">
        <w:rPr>
          <w:lang w:val="pl-PL"/>
        </w:rPr>
        <w:t xml:space="preserve"> w </w:t>
      </w:r>
      <w:proofErr w:type="spellStart"/>
      <w:r w:rsidR="007E0EFD" w:rsidRPr="0022499F">
        <w:rPr>
          <w:lang w:val="pl-PL"/>
        </w:rPr>
        <w:t>Daug</w:t>
      </w:r>
      <w:r w:rsidR="00EB2872" w:rsidRPr="0022499F">
        <w:rPr>
          <w:lang w:val="pl-PL"/>
        </w:rPr>
        <w:t>avpils</w:t>
      </w:r>
      <w:proofErr w:type="spellEnd"/>
      <w:r w:rsidR="00EB2872" w:rsidRPr="0022499F">
        <w:rPr>
          <w:lang w:val="pl-PL"/>
        </w:rPr>
        <w:t>. Pismo skarżącego zostało</w:t>
      </w:r>
      <w:r w:rsidR="000809F0" w:rsidRPr="0022499F">
        <w:rPr>
          <w:lang w:val="pl-PL"/>
        </w:rPr>
        <w:t xml:space="preserve"> przekazane</w:t>
      </w:r>
      <w:r w:rsidR="007E0EFD" w:rsidRPr="0022499F">
        <w:rPr>
          <w:lang w:val="pl-PL"/>
        </w:rPr>
        <w:t xml:space="preserve"> </w:t>
      </w:r>
      <w:r w:rsidR="00EB2872" w:rsidRPr="0022499F">
        <w:rPr>
          <w:lang w:val="pl-PL"/>
        </w:rPr>
        <w:t xml:space="preserve">Administracji </w:t>
      </w:r>
      <w:r w:rsidR="000809F0" w:rsidRPr="0022499F">
        <w:rPr>
          <w:lang w:val="pl-PL"/>
        </w:rPr>
        <w:t>Więziennej</w:t>
      </w:r>
      <w:r w:rsidR="007E0EFD" w:rsidRPr="0022499F">
        <w:rPr>
          <w:lang w:val="pl-PL"/>
        </w:rPr>
        <w:t>, która zwróc</w:t>
      </w:r>
      <w:r w:rsidR="00EB2872" w:rsidRPr="0022499F">
        <w:rPr>
          <w:lang w:val="pl-PL"/>
        </w:rPr>
        <w:t>iła się o dodatkowe informacje do</w:t>
      </w:r>
      <w:r w:rsidR="007E0EFD" w:rsidRPr="0022499F">
        <w:rPr>
          <w:lang w:val="pl-PL"/>
        </w:rPr>
        <w:t xml:space="preserve"> więzienia </w:t>
      </w:r>
      <w:r w:rsidR="000809F0" w:rsidRPr="0022499F">
        <w:rPr>
          <w:lang w:val="pl-PL"/>
        </w:rPr>
        <w:t xml:space="preserve">w </w:t>
      </w:r>
      <w:proofErr w:type="spellStart"/>
      <w:r w:rsidR="007E0EFD" w:rsidRPr="0022499F">
        <w:rPr>
          <w:lang w:val="pl-PL"/>
        </w:rPr>
        <w:t>Daugavpils</w:t>
      </w:r>
      <w:proofErr w:type="spellEnd"/>
      <w:r w:rsidR="007E0EFD" w:rsidRPr="0022499F">
        <w:rPr>
          <w:lang w:val="pl-PL"/>
        </w:rPr>
        <w:t>.</w:t>
      </w:r>
      <w:r w:rsidR="00EB2872" w:rsidRPr="0022499F">
        <w:rPr>
          <w:lang w:val="pl-PL"/>
        </w:rPr>
        <w:t xml:space="preserve"> Szef bezpieczeństwa więzienia w</w:t>
      </w:r>
      <w:r w:rsidR="007E0EFD" w:rsidRPr="0022499F">
        <w:rPr>
          <w:lang w:val="pl-PL"/>
        </w:rPr>
        <w:t xml:space="preserve"> </w:t>
      </w:r>
      <w:proofErr w:type="spellStart"/>
      <w:r w:rsidR="007E0EFD" w:rsidRPr="0022499F">
        <w:rPr>
          <w:lang w:val="pl-PL"/>
        </w:rPr>
        <w:t>Daugavpils</w:t>
      </w:r>
      <w:proofErr w:type="spellEnd"/>
      <w:r w:rsidR="007E0EFD" w:rsidRPr="0022499F">
        <w:rPr>
          <w:lang w:val="pl-PL"/>
        </w:rPr>
        <w:t xml:space="preserve"> zaprzeczył istni</w:t>
      </w:r>
      <w:r w:rsidR="00EB2872" w:rsidRPr="0022499F">
        <w:rPr>
          <w:lang w:val="pl-PL"/>
        </w:rPr>
        <w:t xml:space="preserve">eniu jakichkolwiek </w:t>
      </w:r>
      <w:r w:rsidR="000809F0" w:rsidRPr="0022499F">
        <w:rPr>
          <w:lang w:val="pl-PL"/>
        </w:rPr>
        <w:t>zagrożeń dla skarżącego i złożył</w:t>
      </w:r>
      <w:r w:rsidR="00EB2872" w:rsidRPr="0022499F">
        <w:rPr>
          <w:lang w:val="pl-PL"/>
        </w:rPr>
        <w:t xml:space="preserve"> oświadczenia </w:t>
      </w:r>
      <w:r w:rsidR="007E0EFD" w:rsidRPr="0022499F">
        <w:rPr>
          <w:lang w:val="pl-PL"/>
        </w:rPr>
        <w:t xml:space="preserve">dwóch więźniów wymienionych przez </w:t>
      </w:r>
      <w:r w:rsidR="00EB2872" w:rsidRPr="0022499F">
        <w:rPr>
          <w:lang w:val="pl-PL"/>
        </w:rPr>
        <w:t>skarżącego</w:t>
      </w:r>
      <w:r w:rsidR="007E0EFD" w:rsidRPr="0022499F">
        <w:rPr>
          <w:lang w:val="pl-PL"/>
        </w:rPr>
        <w:t xml:space="preserve">, </w:t>
      </w:r>
      <w:r w:rsidR="000809F0" w:rsidRPr="0022499F">
        <w:rPr>
          <w:lang w:val="pl-PL"/>
        </w:rPr>
        <w:t>którzy zaprzeczyli, jakoby</w:t>
      </w:r>
      <w:r w:rsidR="007E0EFD" w:rsidRPr="0022499F">
        <w:rPr>
          <w:lang w:val="pl-PL"/>
        </w:rPr>
        <w:t xml:space="preserve"> </w:t>
      </w:r>
      <w:r w:rsidR="000809F0" w:rsidRPr="0022499F">
        <w:rPr>
          <w:lang w:val="pl-PL"/>
        </w:rPr>
        <w:t>sytuacje przedstawione</w:t>
      </w:r>
      <w:r w:rsidR="007E0EFD" w:rsidRPr="0022499F">
        <w:rPr>
          <w:lang w:val="pl-PL"/>
        </w:rPr>
        <w:t xml:space="preserve"> przez </w:t>
      </w:r>
      <w:r w:rsidR="00EB2872" w:rsidRPr="0022499F">
        <w:rPr>
          <w:lang w:val="pl-PL"/>
        </w:rPr>
        <w:t>skarżącego</w:t>
      </w:r>
      <w:r w:rsidR="007E0EFD" w:rsidRPr="0022499F">
        <w:rPr>
          <w:lang w:val="pl-PL"/>
        </w:rPr>
        <w:t xml:space="preserve"> kiedykolwiek miały miejsce. W świetle tych informacji, w dniu 25 sierpnia 2006 r</w:t>
      </w:r>
      <w:r w:rsidR="00EB2872" w:rsidRPr="0022499F">
        <w:rPr>
          <w:lang w:val="pl-PL"/>
        </w:rPr>
        <w:t xml:space="preserve">oku Administracja </w:t>
      </w:r>
      <w:r w:rsidR="004A064D" w:rsidRPr="0022499F">
        <w:rPr>
          <w:lang w:val="pl-PL"/>
        </w:rPr>
        <w:t>Więzienna</w:t>
      </w:r>
      <w:r w:rsidR="007E0EFD" w:rsidRPr="0022499F">
        <w:rPr>
          <w:lang w:val="pl-PL"/>
        </w:rPr>
        <w:t xml:space="preserve"> odrzucił</w:t>
      </w:r>
      <w:r w:rsidR="00EB2872" w:rsidRPr="0022499F">
        <w:rPr>
          <w:lang w:val="pl-PL"/>
        </w:rPr>
        <w:t>a wniosek skarżącego</w:t>
      </w:r>
      <w:r w:rsidR="007E0EFD" w:rsidRPr="0022499F">
        <w:rPr>
          <w:lang w:val="pl-PL"/>
        </w:rPr>
        <w:t xml:space="preserve"> o przeniesienie do więzienia </w:t>
      </w:r>
      <w:proofErr w:type="spellStart"/>
      <w:r w:rsidR="007E0EFD" w:rsidRPr="0022499F">
        <w:rPr>
          <w:lang w:val="pl-PL"/>
        </w:rPr>
        <w:t>Matīsa</w:t>
      </w:r>
      <w:proofErr w:type="spellEnd"/>
      <w:r w:rsidR="00A62F51" w:rsidRPr="0022499F">
        <w:rPr>
          <w:i/>
          <w:lang w:val="pl-PL"/>
        </w:rPr>
        <w:t>.</w:t>
      </w:r>
    </w:p>
    <w:p w:rsidR="00A62F51" w:rsidRPr="0022499F" w:rsidRDefault="00DC3E30" w:rsidP="00910131">
      <w:pPr>
        <w:pStyle w:val="JuPara"/>
        <w:rPr>
          <w:lang w:val="pl-PL"/>
        </w:rPr>
      </w:pPr>
      <w:r w:rsidRPr="0022499F">
        <w:rPr>
          <w:lang w:val="pl-PL"/>
        </w:rPr>
        <w:fldChar w:fldCharType="begin"/>
      </w:r>
      <w:r w:rsidR="00A62F51" w:rsidRPr="0022499F">
        <w:rPr>
          <w:lang w:val="pl-PL"/>
        </w:rPr>
        <w:instrText xml:space="preserve"> SEQ level0 \*arabic </w:instrText>
      </w:r>
      <w:r w:rsidRPr="0022499F">
        <w:rPr>
          <w:lang w:val="pl-PL"/>
        </w:rPr>
        <w:fldChar w:fldCharType="separate"/>
      </w:r>
      <w:r w:rsidR="000E0C74" w:rsidRPr="0022499F">
        <w:rPr>
          <w:noProof/>
          <w:lang w:val="pl-PL"/>
        </w:rPr>
        <w:t>17</w:t>
      </w:r>
      <w:r w:rsidRPr="0022499F">
        <w:rPr>
          <w:lang w:val="pl-PL"/>
        </w:rPr>
        <w:fldChar w:fldCharType="end"/>
      </w:r>
      <w:r w:rsidR="00A62F51" w:rsidRPr="0022499F">
        <w:rPr>
          <w:lang w:val="pl-PL"/>
        </w:rPr>
        <w:t>.  </w:t>
      </w:r>
      <w:r w:rsidR="00EB2872" w:rsidRPr="0022499F">
        <w:rPr>
          <w:lang w:val="pl-PL"/>
        </w:rPr>
        <w:t>Podobny wniosek z dni</w:t>
      </w:r>
      <w:r w:rsidR="000809F0" w:rsidRPr="0022499F">
        <w:rPr>
          <w:lang w:val="pl-PL"/>
        </w:rPr>
        <w:t>a 24 lipca 2006 roku, skierowany</w:t>
      </w:r>
      <w:r w:rsidR="00EB2872" w:rsidRPr="0022499F">
        <w:rPr>
          <w:lang w:val="pl-PL"/>
        </w:rPr>
        <w:t xml:space="preserve"> do Administracji Więzień, został odrzucony w dniu 7 sierpnia 2006 roku</w:t>
      </w:r>
      <w:r w:rsidR="00C33556" w:rsidRPr="0022499F">
        <w:rPr>
          <w:lang w:val="pl-PL"/>
        </w:rPr>
        <w:t>.</w:t>
      </w:r>
    </w:p>
    <w:p w:rsidR="00B10CFC" w:rsidRPr="0022499F" w:rsidRDefault="00DC3E30" w:rsidP="00910131">
      <w:pPr>
        <w:pStyle w:val="JuPara"/>
        <w:rPr>
          <w:i/>
          <w:lang w:val="pl-PL"/>
        </w:rPr>
      </w:pPr>
      <w:r w:rsidRPr="0022499F">
        <w:rPr>
          <w:lang w:val="pl-PL"/>
        </w:rPr>
        <w:fldChar w:fldCharType="begin"/>
      </w:r>
      <w:r w:rsidR="00B10CFC" w:rsidRPr="0022499F">
        <w:rPr>
          <w:lang w:val="pl-PL"/>
        </w:rPr>
        <w:instrText xml:space="preserve"> SEQ level0 \*arabic </w:instrText>
      </w:r>
      <w:r w:rsidRPr="0022499F">
        <w:rPr>
          <w:lang w:val="pl-PL"/>
        </w:rPr>
        <w:fldChar w:fldCharType="separate"/>
      </w:r>
      <w:r w:rsidR="000E0C74" w:rsidRPr="0022499F">
        <w:rPr>
          <w:noProof/>
          <w:lang w:val="pl-PL"/>
        </w:rPr>
        <w:t>18</w:t>
      </w:r>
      <w:r w:rsidRPr="0022499F">
        <w:rPr>
          <w:lang w:val="pl-PL"/>
        </w:rPr>
        <w:fldChar w:fldCharType="end"/>
      </w:r>
      <w:r w:rsidR="00B10CFC" w:rsidRPr="0022499F">
        <w:rPr>
          <w:lang w:val="pl-PL"/>
        </w:rPr>
        <w:t>.  </w:t>
      </w:r>
      <w:r w:rsidR="00EB2872" w:rsidRPr="0022499F">
        <w:rPr>
          <w:lang w:val="pl-PL"/>
        </w:rPr>
        <w:t xml:space="preserve">W dniu 14 sierpnia 2006 roku skarżący zwrócił się do Sądu Najwyższego (gdzie w tym czasie toczyła się jego sprawa karna: zobacz </w:t>
      </w:r>
      <w:r w:rsidR="004A064D" w:rsidRPr="0022499F">
        <w:rPr>
          <w:lang w:val="pl-PL"/>
        </w:rPr>
        <w:t>punkt</w:t>
      </w:r>
      <w:r w:rsidR="00EB2872" w:rsidRPr="0022499F">
        <w:rPr>
          <w:lang w:val="pl-PL"/>
        </w:rPr>
        <w:t xml:space="preserve"> 26 poniżej) i wyjaśnił, że sąd </w:t>
      </w:r>
      <w:r w:rsidR="000809F0" w:rsidRPr="0022499F">
        <w:rPr>
          <w:lang w:val="pl-PL"/>
        </w:rPr>
        <w:t xml:space="preserve">jest jedyną drogą, która daje </w:t>
      </w:r>
      <w:r w:rsidR="00EB2872" w:rsidRPr="0022499F">
        <w:rPr>
          <w:lang w:val="pl-PL"/>
        </w:rPr>
        <w:t xml:space="preserve">mu jeszcze nadzieję na uzyskanie przeniesienia do więzienia </w:t>
      </w:r>
      <w:proofErr w:type="spellStart"/>
      <w:r w:rsidR="00EB2872" w:rsidRPr="0022499F">
        <w:rPr>
          <w:lang w:val="pl-PL"/>
        </w:rPr>
        <w:t>Matīsa</w:t>
      </w:r>
      <w:proofErr w:type="spellEnd"/>
      <w:r w:rsidR="00EB2872" w:rsidRPr="0022499F">
        <w:rPr>
          <w:lang w:val="pl-PL"/>
        </w:rPr>
        <w:t>. Dnia 17 sierpnia 2006 roku otrzymał odpowiedź od sędziego Sądu Najwyższego, informuj</w:t>
      </w:r>
      <w:r w:rsidR="004A064D" w:rsidRPr="0022499F">
        <w:rPr>
          <w:lang w:val="pl-PL"/>
        </w:rPr>
        <w:t xml:space="preserve">ącą go, że </w:t>
      </w:r>
      <w:r w:rsidR="000809F0" w:rsidRPr="0022499F">
        <w:rPr>
          <w:lang w:val="pl-PL"/>
        </w:rPr>
        <w:t xml:space="preserve">wyłącznie </w:t>
      </w:r>
      <w:r w:rsidR="004A064D" w:rsidRPr="0022499F">
        <w:rPr>
          <w:lang w:val="pl-PL"/>
        </w:rPr>
        <w:t>Administracja Więzienna</w:t>
      </w:r>
      <w:r w:rsidR="00EB2872" w:rsidRPr="0022499F">
        <w:rPr>
          <w:lang w:val="pl-PL"/>
        </w:rPr>
        <w:t xml:space="preserve"> jest organem właściwym do rozstrzygania kwestii transferu więźniów.</w:t>
      </w:r>
    </w:p>
    <w:p w:rsidR="00A00C13" w:rsidRPr="0022499F" w:rsidRDefault="00DC3E30" w:rsidP="00910131">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19</w:t>
      </w:r>
      <w:r w:rsidRPr="0022499F">
        <w:rPr>
          <w:lang w:val="pl-PL"/>
        </w:rPr>
        <w:fldChar w:fldCharType="end"/>
      </w:r>
      <w:r w:rsidR="00A00C13" w:rsidRPr="0022499F">
        <w:rPr>
          <w:lang w:val="pl-PL"/>
        </w:rPr>
        <w:t>.  </w:t>
      </w:r>
      <w:r w:rsidR="00EB2872" w:rsidRPr="0022499F">
        <w:rPr>
          <w:lang w:val="pl-PL"/>
        </w:rPr>
        <w:t>W dniu 27 sierpnia 2006 roku skarżący zwrócił się do Prokuratora Generalnego o wszczęcie postępowania karnego przeciwk</w:t>
      </w:r>
      <w:r w:rsidR="000809F0" w:rsidRPr="0022499F">
        <w:rPr>
          <w:lang w:val="pl-PL"/>
        </w:rPr>
        <w:t xml:space="preserve">o Policji Kryminalnej w </w:t>
      </w:r>
      <w:proofErr w:type="spellStart"/>
      <w:r w:rsidR="000809F0" w:rsidRPr="0022499F">
        <w:rPr>
          <w:lang w:val="pl-PL"/>
        </w:rPr>
        <w:t>Balvi</w:t>
      </w:r>
      <w:proofErr w:type="spellEnd"/>
      <w:r w:rsidR="000809F0" w:rsidRPr="0022499F">
        <w:rPr>
          <w:lang w:val="pl-PL"/>
        </w:rPr>
        <w:t xml:space="preserve"> w sprawie</w:t>
      </w:r>
      <w:r w:rsidR="00EB2872" w:rsidRPr="0022499F">
        <w:rPr>
          <w:lang w:val="pl-PL"/>
        </w:rPr>
        <w:t xml:space="preserve"> br</w:t>
      </w:r>
      <w:r w:rsidR="008F37B7" w:rsidRPr="0022499F">
        <w:rPr>
          <w:lang w:val="pl-PL"/>
        </w:rPr>
        <w:t>ak</w:t>
      </w:r>
      <w:r w:rsidR="000809F0" w:rsidRPr="0022499F">
        <w:rPr>
          <w:lang w:val="pl-PL"/>
        </w:rPr>
        <w:t>u</w:t>
      </w:r>
      <w:r w:rsidR="008F37B7" w:rsidRPr="0022499F">
        <w:rPr>
          <w:lang w:val="pl-PL"/>
        </w:rPr>
        <w:t xml:space="preserve"> potwierdzenia jego współpracy</w:t>
      </w:r>
      <w:r w:rsidR="00EB2872" w:rsidRPr="0022499F">
        <w:rPr>
          <w:lang w:val="pl-PL"/>
        </w:rPr>
        <w:t xml:space="preserve"> z policją. </w:t>
      </w:r>
      <w:r w:rsidR="008F37B7" w:rsidRPr="0022499F">
        <w:rPr>
          <w:lang w:val="pl-PL"/>
        </w:rPr>
        <w:t>W d</w:t>
      </w:r>
      <w:r w:rsidR="000809F0" w:rsidRPr="0022499F">
        <w:rPr>
          <w:lang w:val="pl-PL"/>
        </w:rPr>
        <w:t xml:space="preserve">niu 22 września 2006 roku </w:t>
      </w:r>
      <w:r w:rsidR="008F37B7" w:rsidRPr="0022499F">
        <w:rPr>
          <w:lang w:val="pl-PL"/>
        </w:rPr>
        <w:t>Specjalistyczna Prokuratura</w:t>
      </w:r>
      <w:r w:rsidR="00EB2872" w:rsidRPr="0022499F">
        <w:rPr>
          <w:lang w:val="pl-PL"/>
        </w:rPr>
        <w:t xml:space="preserve"> (</w:t>
      </w:r>
      <w:proofErr w:type="spellStart"/>
      <w:r w:rsidR="008F37B7" w:rsidRPr="0022499F">
        <w:rPr>
          <w:i/>
          <w:lang w:val="pl-PL"/>
        </w:rPr>
        <w:t>Specializētā</w:t>
      </w:r>
      <w:proofErr w:type="spellEnd"/>
      <w:r w:rsidR="008F37B7" w:rsidRPr="0022499F">
        <w:rPr>
          <w:i/>
          <w:lang w:val="pl-PL"/>
        </w:rPr>
        <w:t xml:space="preserve"> </w:t>
      </w:r>
      <w:proofErr w:type="spellStart"/>
      <w:r w:rsidR="008F37B7" w:rsidRPr="0022499F">
        <w:rPr>
          <w:i/>
          <w:lang w:val="pl-PL"/>
        </w:rPr>
        <w:t>vairāku</w:t>
      </w:r>
      <w:proofErr w:type="spellEnd"/>
      <w:r w:rsidR="008F37B7" w:rsidRPr="0022499F">
        <w:rPr>
          <w:i/>
          <w:lang w:val="pl-PL"/>
        </w:rPr>
        <w:t xml:space="preserve"> </w:t>
      </w:r>
      <w:proofErr w:type="spellStart"/>
      <w:r w:rsidR="008F37B7" w:rsidRPr="0022499F">
        <w:rPr>
          <w:i/>
          <w:lang w:val="pl-PL"/>
        </w:rPr>
        <w:t>nozaru</w:t>
      </w:r>
      <w:proofErr w:type="spellEnd"/>
      <w:r w:rsidR="008F37B7" w:rsidRPr="0022499F">
        <w:rPr>
          <w:i/>
          <w:lang w:val="pl-PL"/>
        </w:rPr>
        <w:t xml:space="preserve"> </w:t>
      </w:r>
      <w:proofErr w:type="spellStart"/>
      <w:r w:rsidR="008F37B7" w:rsidRPr="0022499F">
        <w:rPr>
          <w:i/>
          <w:lang w:val="pl-PL"/>
        </w:rPr>
        <w:t>prokuratūra</w:t>
      </w:r>
      <w:proofErr w:type="spellEnd"/>
      <w:r w:rsidR="00EB2872" w:rsidRPr="0022499F">
        <w:rPr>
          <w:lang w:val="pl-PL"/>
        </w:rPr>
        <w:t xml:space="preserve">) zażądała od Policji Bezpieczeństwa </w:t>
      </w:r>
      <w:r w:rsidR="000809F0" w:rsidRPr="0022499F">
        <w:rPr>
          <w:lang w:val="pl-PL"/>
        </w:rPr>
        <w:t xml:space="preserve">informacji </w:t>
      </w:r>
      <w:r w:rsidR="00EB2872" w:rsidRPr="0022499F">
        <w:rPr>
          <w:lang w:val="pl-PL"/>
        </w:rPr>
        <w:t>na temat postępów poczynionych w odni</w:t>
      </w:r>
      <w:r w:rsidR="008F37B7" w:rsidRPr="0022499F">
        <w:rPr>
          <w:lang w:val="pl-PL"/>
        </w:rPr>
        <w:t>esieniu do wniosku skarżącego z</w:t>
      </w:r>
      <w:r w:rsidR="00EB2872" w:rsidRPr="0022499F">
        <w:rPr>
          <w:lang w:val="pl-PL"/>
        </w:rPr>
        <w:t xml:space="preserve"> maja 2006 roku</w:t>
      </w:r>
      <w:r w:rsidR="008F37B7" w:rsidRPr="0022499F">
        <w:rPr>
          <w:lang w:val="pl-PL"/>
        </w:rPr>
        <w:t>,</w:t>
      </w:r>
      <w:r w:rsidR="00EB2872" w:rsidRPr="0022499F">
        <w:rPr>
          <w:lang w:val="pl-PL"/>
        </w:rPr>
        <w:t xml:space="preserve"> w którym zwrócił się </w:t>
      </w:r>
      <w:r w:rsidR="008F37B7" w:rsidRPr="0022499F">
        <w:rPr>
          <w:lang w:val="pl-PL"/>
        </w:rPr>
        <w:t>do policji o potwierdzenie swojej współpracy</w:t>
      </w:r>
      <w:r w:rsidR="00A00C13" w:rsidRPr="0022499F">
        <w:rPr>
          <w:i/>
          <w:lang w:val="pl-PL"/>
        </w:rPr>
        <w:t>.</w:t>
      </w:r>
    </w:p>
    <w:p w:rsidR="003873E2" w:rsidRPr="0022499F" w:rsidRDefault="00DC3E30" w:rsidP="003873E2">
      <w:pPr>
        <w:pStyle w:val="JuPara"/>
        <w:rPr>
          <w:i/>
          <w:lang w:val="pl-PL"/>
        </w:rPr>
      </w:pPr>
      <w:r w:rsidRPr="0022499F">
        <w:rPr>
          <w:lang w:val="pl-PL"/>
        </w:rPr>
        <w:fldChar w:fldCharType="begin"/>
      </w:r>
      <w:r w:rsidR="003873E2" w:rsidRPr="0022499F">
        <w:rPr>
          <w:lang w:val="pl-PL"/>
        </w:rPr>
        <w:instrText xml:space="preserve"> SEQ level0 \*arabic </w:instrText>
      </w:r>
      <w:r w:rsidRPr="0022499F">
        <w:rPr>
          <w:lang w:val="pl-PL"/>
        </w:rPr>
        <w:fldChar w:fldCharType="separate"/>
      </w:r>
      <w:r w:rsidR="000E0C74" w:rsidRPr="0022499F">
        <w:rPr>
          <w:noProof/>
          <w:lang w:val="pl-PL"/>
        </w:rPr>
        <w:t>20</w:t>
      </w:r>
      <w:r w:rsidRPr="0022499F">
        <w:rPr>
          <w:lang w:val="pl-PL"/>
        </w:rPr>
        <w:fldChar w:fldCharType="end"/>
      </w:r>
      <w:r w:rsidR="003873E2" w:rsidRPr="0022499F">
        <w:rPr>
          <w:lang w:val="pl-PL"/>
        </w:rPr>
        <w:t>.  </w:t>
      </w:r>
      <w:r w:rsidR="008F37B7" w:rsidRPr="0022499F">
        <w:rPr>
          <w:lang w:val="pl-PL"/>
        </w:rPr>
        <w:t>W dniu 5 października 2006 roku skarżący otrzymał odpowiedź od policji kryminalnej, informującą, że jego współpraca została potwierdzona, a dnia 5 października 2006 roku Państwowa Policja zwróc</w:t>
      </w:r>
      <w:r w:rsidR="000809F0" w:rsidRPr="0022499F">
        <w:rPr>
          <w:lang w:val="pl-PL"/>
        </w:rPr>
        <w:t>iła się do Administracji Więziennej</w:t>
      </w:r>
      <w:r w:rsidR="008F37B7" w:rsidRPr="0022499F">
        <w:rPr>
          <w:lang w:val="pl-PL"/>
        </w:rPr>
        <w:t xml:space="preserve"> o </w:t>
      </w:r>
      <w:proofErr w:type="spellStart"/>
      <w:r w:rsidR="008F37B7" w:rsidRPr="0022499F">
        <w:rPr>
          <w:lang w:val="pl-PL"/>
        </w:rPr>
        <w:t>przenienie</w:t>
      </w:r>
      <w:proofErr w:type="spellEnd"/>
      <w:r w:rsidR="008F37B7" w:rsidRPr="0022499F">
        <w:rPr>
          <w:lang w:val="pl-PL"/>
        </w:rPr>
        <w:t xml:space="preserve"> go do więzienia </w:t>
      </w:r>
      <w:proofErr w:type="spellStart"/>
      <w:r w:rsidR="008F37B7" w:rsidRPr="0022499F">
        <w:rPr>
          <w:lang w:val="pl-PL"/>
        </w:rPr>
        <w:t>Matīsa</w:t>
      </w:r>
      <w:proofErr w:type="spellEnd"/>
      <w:r w:rsidR="000809F0" w:rsidRPr="0022499F">
        <w:rPr>
          <w:lang w:val="pl-PL"/>
        </w:rPr>
        <w:t xml:space="preserve">. Dyrektor Administracji </w:t>
      </w:r>
      <w:proofErr w:type="spellStart"/>
      <w:r w:rsidR="000809F0" w:rsidRPr="0022499F">
        <w:rPr>
          <w:lang w:val="pl-PL"/>
        </w:rPr>
        <w:t>Więzienej</w:t>
      </w:r>
      <w:proofErr w:type="spellEnd"/>
      <w:r w:rsidR="008F37B7" w:rsidRPr="0022499F">
        <w:rPr>
          <w:lang w:val="pl-PL"/>
        </w:rPr>
        <w:t xml:space="preserve"> </w:t>
      </w:r>
      <w:r w:rsidR="000809F0" w:rsidRPr="0022499F">
        <w:rPr>
          <w:lang w:val="pl-PL"/>
        </w:rPr>
        <w:t xml:space="preserve">zarządził </w:t>
      </w:r>
      <w:r w:rsidR="008F37B7" w:rsidRPr="0022499F">
        <w:rPr>
          <w:lang w:val="pl-PL"/>
        </w:rPr>
        <w:t xml:space="preserve">przeniesienie w dniu 13 października </w:t>
      </w:r>
      <w:r w:rsidR="008F37B7" w:rsidRPr="0022499F">
        <w:rPr>
          <w:lang w:val="pl-PL"/>
        </w:rPr>
        <w:lastRenderedPageBreak/>
        <w:t>2006 roku, a w dniu 26 października 2006 roku skarżący został przewieziony do Rygi.</w:t>
      </w:r>
    </w:p>
    <w:p w:rsidR="00AA6B55" w:rsidRPr="0022499F" w:rsidRDefault="00DC3E30" w:rsidP="003873E2">
      <w:pPr>
        <w:pStyle w:val="JuPara"/>
        <w:rPr>
          <w:i/>
          <w:lang w:val="pl-PL"/>
        </w:rPr>
      </w:pPr>
      <w:r w:rsidRPr="0022499F">
        <w:rPr>
          <w:lang w:val="pl-PL"/>
        </w:rPr>
        <w:fldChar w:fldCharType="begin"/>
      </w:r>
      <w:r w:rsidR="00AA6B55" w:rsidRPr="0022499F">
        <w:rPr>
          <w:lang w:val="pl-PL"/>
        </w:rPr>
        <w:instrText xml:space="preserve"> SEQ level0 \*arabic </w:instrText>
      </w:r>
      <w:r w:rsidRPr="0022499F">
        <w:rPr>
          <w:lang w:val="pl-PL"/>
        </w:rPr>
        <w:fldChar w:fldCharType="separate"/>
      </w:r>
      <w:r w:rsidR="000E0C74" w:rsidRPr="0022499F">
        <w:rPr>
          <w:noProof/>
          <w:lang w:val="pl-PL"/>
        </w:rPr>
        <w:t>21</w:t>
      </w:r>
      <w:r w:rsidRPr="0022499F">
        <w:rPr>
          <w:lang w:val="pl-PL"/>
        </w:rPr>
        <w:fldChar w:fldCharType="end"/>
      </w:r>
      <w:r w:rsidR="00AA6B55" w:rsidRPr="0022499F">
        <w:rPr>
          <w:lang w:val="pl-PL"/>
        </w:rPr>
        <w:t>.  </w:t>
      </w:r>
      <w:r w:rsidR="008F37B7" w:rsidRPr="0022499F">
        <w:rPr>
          <w:lang w:val="pl-PL"/>
        </w:rPr>
        <w:t>Na wniosek Pełnomocnika Rządu, w dniu 11 marca 2011 roku Ministerstwo Sprawiedliwości dostarczyło informacj</w:t>
      </w:r>
      <w:r w:rsidR="000809F0" w:rsidRPr="0022499F">
        <w:rPr>
          <w:lang w:val="pl-PL"/>
        </w:rPr>
        <w:t>i na temat</w:t>
      </w:r>
      <w:r w:rsidR="008F37B7" w:rsidRPr="0022499F">
        <w:rPr>
          <w:lang w:val="pl-PL"/>
        </w:rPr>
        <w:t xml:space="preserve">, między innymi, zarzutów skarżącego </w:t>
      </w:r>
      <w:r w:rsidR="000809F0" w:rsidRPr="0022499F">
        <w:rPr>
          <w:lang w:val="pl-PL"/>
        </w:rPr>
        <w:t>wniesionych</w:t>
      </w:r>
      <w:r w:rsidR="008F37B7" w:rsidRPr="0022499F">
        <w:rPr>
          <w:lang w:val="pl-PL"/>
        </w:rPr>
        <w:t xml:space="preserve"> do ministerstwa. Ministerstwo poinformowało, że otrzymało bezpośrednio od samego skarżącego lub </w:t>
      </w:r>
      <w:r w:rsidR="000809F0" w:rsidRPr="0022499F">
        <w:rPr>
          <w:lang w:val="pl-PL"/>
        </w:rPr>
        <w:t xml:space="preserve">za pośrednictwem </w:t>
      </w:r>
      <w:r w:rsidR="008F37B7" w:rsidRPr="0022499F">
        <w:rPr>
          <w:lang w:val="pl-PL"/>
        </w:rPr>
        <w:t xml:space="preserve">prokuratorów, liczne skargi, które odnosiły się przede wszystkim do niesprawiedliwego wyroku skazującego, kwestii zatrudnienia w </w:t>
      </w:r>
      <w:r w:rsidR="000809F0" w:rsidRPr="0022499F">
        <w:rPr>
          <w:lang w:val="pl-PL"/>
        </w:rPr>
        <w:t>jednostkach penitencjarnych i podobnych spraw</w:t>
      </w:r>
      <w:r w:rsidR="008F37B7" w:rsidRPr="0022499F">
        <w:rPr>
          <w:lang w:val="pl-PL"/>
        </w:rPr>
        <w:t xml:space="preserve">. Skarżący raz (dnia 13 sierpnia 2007 roku) skarżył się na </w:t>
      </w:r>
      <w:r w:rsidR="000809F0" w:rsidRPr="0022499F">
        <w:rPr>
          <w:lang w:val="pl-PL"/>
        </w:rPr>
        <w:t>“działania Administracji Więziennej</w:t>
      </w:r>
      <w:r w:rsidR="008F37B7" w:rsidRPr="0022499F">
        <w:rPr>
          <w:lang w:val="pl-PL"/>
        </w:rPr>
        <w:t xml:space="preserve"> w sprawie przenoszenia go między celami”. Ministerstwo Sprawiedliwości udzieliło skarżącemu odpowiedzi, których kopie nie zostały udostępnione Trybunałowi</w:t>
      </w:r>
      <w:r w:rsidR="00617474" w:rsidRPr="0022499F">
        <w:rPr>
          <w:i/>
          <w:lang w:val="pl-PL"/>
        </w:rPr>
        <w:t>.</w:t>
      </w:r>
    </w:p>
    <w:p w:rsidR="003873E2" w:rsidRPr="0022499F" w:rsidRDefault="00D870DC" w:rsidP="00D870DC">
      <w:pPr>
        <w:pStyle w:val="JuHA"/>
        <w:rPr>
          <w:lang w:val="pl-PL"/>
        </w:rPr>
      </w:pPr>
      <w:r w:rsidRPr="0022499F">
        <w:rPr>
          <w:lang w:val="pl-PL"/>
        </w:rPr>
        <w:t>B.  </w:t>
      </w:r>
      <w:r w:rsidR="00EB2872" w:rsidRPr="0022499F">
        <w:rPr>
          <w:lang w:val="pl-PL"/>
        </w:rPr>
        <w:t>Dokumentacja medyczna</w:t>
      </w:r>
    </w:p>
    <w:p w:rsidR="00D870DC" w:rsidRPr="0022499F" w:rsidRDefault="00DC3E30" w:rsidP="00A00C13">
      <w:pPr>
        <w:pStyle w:val="JuPara"/>
        <w:rPr>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22</w:t>
      </w:r>
      <w:r w:rsidRPr="0022499F">
        <w:rPr>
          <w:lang w:val="pl-PL"/>
        </w:rPr>
        <w:fldChar w:fldCharType="end"/>
      </w:r>
      <w:r w:rsidR="00A00C13" w:rsidRPr="0022499F">
        <w:rPr>
          <w:lang w:val="pl-PL"/>
        </w:rPr>
        <w:t>.  </w:t>
      </w:r>
      <w:r w:rsidR="008C38B2" w:rsidRPr="0022499F">
        <w:rPr>
          <w:lang w:val="pl-PL"/>
        </w:rPr>
        <w:t>Zgodnie z podsumowaniem dokumentacji medycznej skarżącego</w:t>
      </w:r>
      <w:r w:rsidR="000809F0" w:rsidRPr="0022499F">
        <w:rPr>
          <w:lang w:val="pl-PL"/>
        </w:rPr>
        <w:t>, przedstawionym</w:t>
      </w:r>
      <w:r w:rsidR="008C38B2" w:rsidRPr="0022499F">
        <w:rPr>
          <w:lang w:val="pl-PL"/>
        </w:rPr>
        <w:t xml:space="preserve"> przez Rząd, w listopadzie i grudniu 2006 roku oraz w styczniu 2007 roku </w:t>
      </w:r>
      <w:r w:rsidR="000809F0" w:rsidRPr="0022499F">
        <w:rPr>
          <w:lang w:val="pl-PL"/>
        </w:rPr>
        <w:t xml:space="preserve">w więzieniu w </w:t>
      </w:r>
      <w:proofErr w:type="spellStart"/>
      <w:r w:rsidR="000809F0" w:rsidRPr="0022499F">
        <w:rPr>
          <w:lang w:val="pl-PL"/>
        </w:rPr>
        <w:t>Daugavpils</w:t>
      </w:r>
      <w:proofErr w:type="spellEnd"/>
      <w:r w:rsidR="000809F0" w:rsidRPr="0022499F">
        <w:rPr>
          <w:lang w:val="pl-PL"/>
        </w:rPr>
        <w:t xml:space="preserve"> zostały wyrwane korzenie pięciu zębów skarżącego</w:t>
      </w:r>
      <w:r w:rsidR="008C38B2" w:rsidRPr="0022499F">
        <w:rPr>
          <w:lang w:val="pl-PL"/>
        </w:rPr>
        <w:t>. Dwa razy (w dniu 31 stycznia 2006 i 9 grudnia 2010 roku) u skarżącego zdiagnozowano przewlekłe zapalenie przyzębia</w:t>
      </w:r>
      <w:r w:rsidR="00697D56" w:rsidRPr="0022499F">
        <w:rPr>
          <w:lang w:val="pl-PL"/>
        </w:rPr>
        <w:t>.</w:t>
      </w:r>
    </w:p>
    <w:p w:rsidR="00A00C13" w:rsidRPr="0022499F" w:rsidRDefault="00DC3E30" w:rsidP="00A00C13">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23</w:t>
      </w:r>
      <w:r w:rsidRPr="0022499F">
        <w:rPr>
          <w:lang w:val="pl-PL"/>
        </w:rPr>
        <w:fldChar w:fldCharType="end"/>
      </w:r>
      <w:r w:rsidR="00A00C13" w:rsidRPr="0022499F">
        <w:rPr>
          <w:lang w:val="pl-PL"/>
        </w:rPr>
        <w:t>.  </w:t>
      </w:r>
      <w:r w:rsidR="008C38B2" w:rsidRPr="0022499F">
        <w:rPr>
          <w:lang w:val="pl-PL"/>
        </w:rPr>
        <w:t>W odpowiedzi udzielonej skarżącemu w dniu 28 sierpnia</w:t>
      </w:r>
      <w:r w:rsidR="004A064D" w:rsidRPr="0022499F">
        <w:rPr>
          <w:lang w:val="pl-PL"/>
        </w:rPr>
        <w:t xml:space="preserve"> 2007 roku Administracja Więzienna</w:t>
      </w:r>
      <w:r w:rsidR="008C38B2" w:rsidRPr="0022499F">
        <w:rPr>
          <w:lang w:val="pl-PL"/>
        </w:rPr>
        <w:t xml:space="preserve"> zauważyła, że w aktach sprawy skarżącego nie było niczego, co by wskazywało na to, że skarżący stracił zęby w czasie </w:t>
      </w:r>
      <w:r w:rsidR="007C739E" w:rsidRPr="0022499F">
        <w:rPr>
          <w:lang w:val="pl-PL"/>
        </w:rPr>
        <w:t>awantur</w:t>
      </w:r>
      <w:r w:rsidR="008C38B2" w:rsidRPr="0022499F">
        <w:rPr>
          <w:lang w:val="pl-PL"/>
        </w:rPr>
        <w:t xml:space="preserve"> z innymi osadzonymi w więzieniu w </w:t>
      </w:r>
      <w:proofErr w:type="spellStart"/>
      <w:r w:rsidR="008C38B2" w:rsidRPr="0022499F">
        <w:rPr>
          <w:lang w:val="pl-PL"/>
        </w:rPr>
        <w:t>Daugavpils</w:t>
      </w:r>
      <w:proofErr w:type="spellEnd"/>
      <w:r w:rsidR="00697D56" w:rsidRPr="0022499F">
        <w:rPr>
          <w:i/>
          <w:lang w:val="pl-PL"/>
        </w:rPr>
        <w:t>.</w:t>
      </w:r>
    </w:p>
    <w:p w:rsidR="00A00C13" w:rsidRPr="0022499F" w:rsidRDefault="00DC3E30" w:rsidP="00A00C13">
      <w:pPr>
        <w:pStyle w:val="JuPara"/>
        <w:rPr>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24</w:t>
      </w:r>
      <w:r w:rsidRPr="0022499F">
        <w:rPr>
          <w:lang w:val="pl-PL"/>
        </w:rPr>
        <w:fldChar w:fldCharType="end"/>
      </w:r>
      <w:r w:rsidR="00A00C13" w:rsidRPr="0022499F">
        <w:rPr>
          <w:lang w:val="pl-PL"/>
        </w:rPr>
        <w:t>.  </w:t>
      </w:r>
      <w:r w:rsidR="008C38B2" w:rsidRPr="0022499F">
        <w:rPr>
          <w:lang w:val="pl-PL"/>
        </w:rPr>
        <w:t xml:space="preserve">Według informacji uzyskanych przez skarżącego z oddziału medycznego więzienia </w:t>
      </w:r>
      <w:proofErr w:type="spellStart"/>
      <w:r w:rsidR="008C38B2" w:rsidRPr="0022499F">
        <w:rPr>
          <w:lang w:val="pl-PL"/>
        </w:rPr>
        <w:t>Matīsa</w:t>
      </w:r>
      <w:proofErr w:type="spellEnd"/>
      <w:r w:rsidR="008C38B2" w:rsidRPr="0022499F">
        <w:rPr>
          <w:lang w:val="pl-PL"/>
        </w:rPr>
        <w:t xml:space="preserve">, w 2007 roku odwiedził tam stomatologa nie mniej niż siedem razy. </w:t>
      </w:r>
      <w:r w:rsidR="007B5291" w:rsidRPr="0022499F">
        <w:rPr>
          <w:lang w:val="pl-PL"/>
        </w:rPr>
        <w:t>Powodu i</w:t>
      </w:r>
      <w:r w:rsidR="008C38B2" w:rsidRPr="0022499F">
        <w:rPr>
          <w:lang w:val="pl-PL"/>
        </w:rPr>
        <w:t xml:space="preserve"> charakter</w:t>
      </w:r>
      <w:r w:rsidR="007B5291" w:rsidRPr="0022499F">
        <w:rPr>
          <w:lang w:val="pl-PL"/>
        </w:rPr>
        <w:t>u</w:t>
      </w:r>
      <w:r w:rsidR="008C38B2" w:rsidRPr="0022499F">
        <w:rPr>
          <w:lang w:val="pl-PL"/>
        </w:rPr>
        <w:t xml:space="preserve"> tych wizyt nie </w:t>
      </w:r>
      <w:r w:rsidR="007B5291" w:rsidRPr="0022499F">
        <w:rPr>
          <w:lang w:val="pl-PL"/>
        </w:rPr>
        <w:t>po</w:t>
      </w:r>
      <w:r w:rsidR="008C38B2" w:rsidRPr="0022499F">
        <w:rPr>
          <w:lang w:val="pl-PL"/>
        </w:rPr>
        <w:t>dano</w:t>
      </w:r>
      <w:r w:rsidR="00697D56" w:rsidRPr="0022499F">
        <w:rPr>
          <w:lang w:val="pl-PL"/>
        </w:rPr>
        <w:t>.</w:t>
      </w:r>
    </w:p>
    <w:p w:rsidR="00A00C13" w:rsidRPr="0022499F" w:rsidRDefault="00A00C13" w:rsidP="00A00C13">
      <w:pPr>
        <w:pStyle w:val="JuHA"/>
        <w:rPr>
          <w:lang w:val="pl-PL"/>
        </w:rPr>
      </w:pPr>
      <w:r w:rsidRPr="0022499F">
        <w:rPr>
          <w:lang w:val="pl-PL"/>
        </w:rPr>
        <w:t>C.  </w:t>
      </w:r>
      <w:r w:rsidR="001F48FC" w:rsidRPr="0022499F">
        <w:rPr>
          <w:lang w:val="pl-PL"/>
        </w:rPr>
        <w:t>Postępowanie karne</w:t>
      </w:r>
    </w:p>
    <w:p w:rsidR="003873E2" w:rsidRPr="0022499F" w:rsidRDefault="00DC3E30" w:rsidP="00910131">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25</w:t>
      </w:r>
      <w:r w:rsidRPr="0022499F">
        <w:rPr>
          <w:lang w:val="pl-PL"/>
        </w:rPr>
        <w:fldChar w:fldCharType="end"/>
      </w:r>
      <w:r w:rsidR="00A00C13" w:rsidRPr="0022499F">
        <w:rPr>
          <w:lang w:val="pl-PL"/>
        </w:rPr>
        <w:t>.  </w:t>
      </w:r>
      <w:r w:rsidR="00931775" w:rsidRPr="0022499F">
        <w:rPr>
          <w:lang w:val="pl-PL"/>
        </w:rPr>
        <w:t xml:space="preserve">Wyrokiem z dnia 22 marca 2006 roku Sąd Okręgowy w </w:t>
      </w:r>
      <w:proofErr w:type="spellStart"/>
      <w:r w:rsidR="00931775" w:rsidRPr="0022499F">
        <w:rPr>
          <w:lang w:val="pl-PL"/>
        </w:rPr>
        <w:t>Latgale</w:t>
      </w:r>
      <w:proofErr w:type="spellEnd"/>
      <w:r w:rsidR="00931775" w:rsidRPr="0022499F">
        <w:rPr>
          <w:lang w:val="pl-PL"/>
        </w:rPr>
        <w:t xml:space="preserve"> uzn</w:t>
      </w:r>
      <w:r w:rsidR="007C739E" w:rsidRPr="0022499F">
        <w:rPr>
          <w:lang w:val="pl-PL"/>
        </w:rPr>
        <w:t>ał skarżącego winnym zarzucanych mu przestępstw i skazał</w:t>
      </w:r>
      <w:r w:rsidR="00931775" w:rsidRPr="0022499F">
        <w:rPr>
          <w:lang w:val="pl-PL"/>
        </w:rPr>
        <w:t xml:space="preserve"> na karę trzynastu lat i jednego miesiąca pozbawienia wolności. Decydując się na skazanie skarżącego, sąd pierwszej instancji oparł się na zeznaniach obu ofiar. Sąd odebrał również zeznania od dwóch innych świadków i wziął pod uwagę oświadczenia </w:t>
      </w:r>
      <w:r w:rsidR="007C739E" w:rsidRPr="0022499F">
        <w:rPr>
          <w:lang w:val="pl-PL"/>
        </w:rPr>
        <w:t>wspólnika</w:t>
      </w:r>
      <w:r w:rsidR="00931775" w:rsidRPr="0022499F">
        <w:rPr>
          <w:lang w:val="pl-PL"/>
        </w:rPr>
        <w:t xml:space="preserve"> skarżącego i jego matki. </w:t>
      </w:r>
      <w:r w:rsidR="007C739E" w:rsidRPr="0022499F">
        <w:rPr>
          <w:lang w:val="pl-PL"/>
        </w:rPr>
        <w:t>Powołał się również na dwie opinie</w:t>
      </w:r>
      <w:r w:rsidR="00931775" w:rsidRPr="0022499F">
        <w:rPr>
          <w:lang w:val="pl-PL"/>
        </w:rPr>
        <w:t xml:space="preserve"> biegłych psychologów.</w:t>
      </w:r>
      <w:r w:rsidR="007C739E" w:rsidRPr="0022499F">
        <w:rPr>
          <w:i/>
          <w:lang w:val="pl-PL"/>
        </w:rPr>
        <w:t xml:space="preserve"> </w:t>
      </w:r>
      <w:r w:rsidR="00931775" w:rsidRPr="0022499F">
        <w:rPr>
          <w:lang w:val="pl-PL"/>
        </w:rPr>
        <w:t xml:space="preserve">Wyjaśnienia skarżącego zostały podsumowane w wyroku, a następnie zauważono, że wycofał swoje przyznanie się </w:t>
      </w:r>
      <w:r w:rsidR="007C739E" w:rsidRPr="0022499F">
        <w:rPr>
          <w:lang w:val="pl-PL"/>
        </w:rPr>
        <w:t xml:space="preserve">do winy </w:t>
      </w:r>
      <w:r w:rsidR="00931775" w:rsidRPr="0022499F">
        <w:rPr>
          <w:lang w:val="pl-PL"/>
        </w:rPr>
        <w:t xml:space="preserve">przed rozprawą. Skarżący zarzucił, że starał się przedstawić sądowi pisemne oświadczenie o powodach, dla których </w:t>
      </w:r>
      <w:r w:rsidR="007C739E" w:rsidRPr="0022499F">
        <w:rPr>
          <w:lang w:val="pl-PL"/>
        </w:rPr>
        <w:t>przyznał si</w:t>
      </w:r>
      <w:r w:rsidR="00931775" w:rsidRPr="0022499F">
        <w:rPr>
          <w:lang w:val="pl-PL"/>
        </w:rPr>
        <w:t xml:space="preserve">ę </w:t>
      </w:r>
      <w:r w:rsidR="007C739E" w:rsidRPr="0022499F">
        <w:rPr>
          <w:lang w:val="pl-PL"/>
        </w:rPr>
        <w:t xml:space="preserve">do winy, a mianowicie, </w:t>
      </w:r>
      <w:r w:rsidR="00931775" w:rsidRPr="0022499F">
        <w:rPr>
          <w:lang w:val="pl-PL"/>
        </w:rPr>
        <w:t xml:space="preserve">chciał być przeniesiony do więzienia </w:t>
      </w:r>
      <w:proofErr w:type="spellStart"/>
      <w:r w:rsidR="00931775" w:rsidRPr="0022499F">
        <w:rPr>
          <w:lang w:val="pl-PL"/>
        </w:rPr>
        <w:t>Matīsa</w:t>
      </w:r>
      <w:proofErr w:type="spellEnd"/>
      <w:r w:rsidR="00931775" w:rsidRPr="0022499F">
        <w:rPr>
          <w:i/>
          <w:lang w:val="pl-PL"/>
        </w:rPr>
        <w:t xml:space="preserve">. </w:t>
      </w:r>
      <w:r w:rsidR="00931775" w:rsidRPr="0022499F">
        <w:rPr>
          <w:lang w:val="pl-PL"/>
        </w:rPr>
        <w:t>Jednak mając wybór, że albo jego oświadczenie zostanie odczytane na rozpraw</w:t>
      </w:r>
      <w:r w:rsidR="0002283C" w:rsidRPr="0022499F">
        <w:rPr>
          <w:lang w:val="pl-PL"/>
        </w:rPr>
        <w:t>ie i dopuszczone jako dowód, alb</w:t>
      </w:r>
      <w:r w:rsidR="00931775" w:rsidRPr="0022499F">
        <w:rPr>
          <w:lang w:val="pl-PL"/>
        </w:rPr>
        <w:t xml:space="preserve">o w ogóle nie zostanie </w:t>
      </w:r>
      <w:r w:rsidR="00931775" w:rsidRPr="0022499F">
        <w:rPr>
          <w:lang w:val="pl-PL"/>
        </w:rPr>
        <w:lastRenderedPageBreak/>
        <w:t xml:space="preserve">dopuszczone jako dowód, wybrał tę drugą opcję, ponieważ nie chciał ujawnić swojej </w:t>
      </w:r>
      <w:r w:rsidR="007C739E" w:rsidRPr="0022499F">
        <w:rPr>
          <w:lang w:val="pl-PL"/>
        </w:rPr>
        <w:t xml:space="preserve">dawnej </w:t>
      </w:r>
      <w:r w:rsidR="00931775" w:rsidRPr="0022499F">
        <w:rPr>
          <w:lang w:val="pl-PL"/>
        </w:rPr>
        <w:t>współpracy z policją na forum publicznym.</w:t>
      </w:r>
    </w:p>
    <w:p w:rsidR="00A00C13" w:rsidRPr="0022499F" w:rsidRDefault="00DC3E30" w:rsidP="00A00C13">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26</w:t>
      </w:r>
      <w:r w:rsidRPr="0022499F">
        <w:rPr>
          <w:lang w:val="pl-PL"/>
        </w:rPr>
        <w:fldChar w:fldCharType="end"/>
      </w:r>
      <w:r w:rsidR="00A00C13" w:rsidRPr="0022499F">
        <w:rPr>
          <w:lang w:val="pl-PL"/>
        </w:rPr>
        <w:t>.  </w:t>
      </w:r>
      <w:r w:rsidR="007C739E" w:rsidRPr="0022499F">
        <w:rPr>
          <w:lang w:val="pl-PL"/>
        </w:rPr>
        <w:t xml:space="preserve">W dniu 5 </w:t>
      </w:r>
      <w:r w:rsidR="0002283C" w:rsidRPr="0022499F">
        <w:rPr>
          <w:lang w:val="pl-PL"/>
        </w:rPr>
        <w:t xml:space="preserve">grudnia 2006 roku Sąd Najwyższy odrzucił apelację skarżącego od wyroku sądu pierwszej instancji, zgadzając się z uzasadnieniem sądu niższej instancji. W odniesieniu do przyznania się </w:t>
      </w:r>
      <w:r w:rsidR="007C739E" w:rsidRPr="0022499F">
        <w:rPr>
          <w:lang w:val="pl-PL"/>
        </w:rPr>
        <w:t>do winy</w:t>
      </w:r>
      <w:r w:rsidR="0002283C" w:rsidRPr="0022499F">
        <w:rPr>
          <w:lang w:val="pl-PL"/>
        </w:rPr>
        <w:t xml:space="preserve"> sąd odwoławczy zauważył, że </w:t>
      </w:r>
      <w:r w:rsidR="007C739E" w:rsidRPr="0022499F">
        <w:rPr>
          <w:lang w:val="pl-PL"/>
        </w:rPr>
        <w:t xml:space="preserve">skarżący </w:t>
      </w:r>
      <w:r w:rsidR="0002283C" w:rsidRPr="0022499F">
        <w:rPr>
          <w:lang w:val="pl-PL"/>
        </w:rPr>
        <w:t xml:space="preserve">złożył sprzeczne wyjaśnienia co do tego, dlaczego zostało ono </w:t>
      </w:r>
      <w:r w:rsidR="007C739E" w:rsidRPr="0022499F">
        <w:rPr>
          <w:lang w:val="pl-PL"/>
        </w:rPr>
        <w:t>złożone</w:t>
      </w:r>
      <w:r w:rsidR="0002283C" w:rsidRPr="0022499F">
        <w:rPr>
          <w:lang w:val="pl-PL"/>
        </w:rPr>
        <w:t xml:space="preserve">. W szczególności, raz miał wyjaśnić, że zrobił to, aby zapewnić sobie przeniesienie do innego więzienia, podczas gdy w liście do prezesa sądu pierwszej instancji miał </w:t>
      </w:r>
      <w:r w:rsidR="007C739E" w:rsidRPr="0022499F">
        <w:rPr>
          <w:lang w:val="pl-PL"/>
        </w:rPr>
        <w:t>podnieść</w:t>
      </w:r>
      <w:r w:rsidR="0002283C" w:rsidRPr="0022499F">
        <w:rPr>
          <w:lang w:val="pl-PL"/>
        </w:rPr>
        <w:t xml:space="preserve">, że przyznał się, bo </w:t>
      </w:r>
      <w:r w:rsidR="007C739E" w:rsidRPr="0022499F">
        <w:rPr>
          <w:lang w:val="pl-PL"/>
        </w:rPr>
        <w:t>był w takim</w:t>
      </w:r>
      <w:r w:rsidR="0002283C" w:rsidRPr="0022499F">
        <w:rPr>
          <w:lang w:val="pl-PL"/>
        </w:rPr>
        <w:t xml:space="preserve"> stan</w:t>
      </w:r>
      <w:r w:rsidR="007C739E" w:rsidRPr="0022499F">
        <w:rPr>
          <w:lang w:val="pl-PL"/>
        </w:rPr>
        <w:t>ie</w:t>
      </w:r>
      <w:r w:rsidR="0002283C" w:rsidRPr="0022499F">
        <w:rPr>
          <w:lang w:val="pl-PL"/>
        </w:rPr>
        <w:t xml:space="preserve"> psychiczny</w:t>
      </w:r>
      <w:r w:rsidR="007C739E" w:rsidRPr="0022499F">
        <w:rPr>
          <w:lang w:val="pl-PL"/>
        </w:rPr>
        <w:t>m</w:t>
      </w:r>
      <w:r w:rsidR="0002283C" w:rsidRPr="0022499F">
        <w:rPr>
          <w:lang w:val="pl-PL"/>
        </w:rPr>
        <w:t xml:space="preserve">, że nie pojmował, co się </w:t>
      </w:r>
      <w:r w:rsidR="007C739E" w:rsidRPr="0022499F">
        <w:rPr>
          <w:lang w:val="pl-PL"/>
        </w:rPr>
        <w:t>dzieje</w:t>
      </w:r>
      <w:r w:rsidR="0002283C" w:rsidRPr="0022499F">
        <w:rPr>
          <w:lang w:val="pl-PL"/>
        </w:rPr>
        <w:t>. Biorąc pod uwagę różne wyjaśnienia, sąd odwoławczy postanowił nie dać im wiary</w:t>
      </w:r>
      <w:r w:rsidR="00A00C13" w:rsidRPr="0022499F">
        <w:rPr>
          <w:i/>
          <w:lang w:val="pl-PL"/>
        </w:rPr>
        <w:t>.</w:t>
      </w:r>
    </w:p>
    <w:p w:rsidR="00A00C13" w:rsidRPr="0022499F" w:rsidRDefault="00DC3E30" w:rsidP="00A00C13">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27</w:t>
      </w:r>
      <w:r w:rsidRPr="0022499F">
        <w:rPr>
          <w:lang w:val="pl-PL"/>
        </w:rPr>
        <w:fldChar w:fldCharType="end"/>
      </w:r>
      <w:r w:rsidR="00A00C13" w:rsidRPr="0022499F">
        <w:rPr>
          <w:lang w:val="pl-PL"/>
        </w:rPr>
        <w:t>.  </w:t>
      </w:r>
      <w:r w:rsidR="0002283C" w:rsidRPr="0022499F">
        <w:rPr>
          <w:lang w:val="pl-PL"/>
        </w:rPr>
        <w:t>Dnia 1 lutego 2007 Senat Sądu Najwyższego odmówił przyjęcia odwołania skarżącego w zakresie kwestii prawnych, ponieważ orzeczono, że nie uzasadnił swojego odwołania wskazaniem znaczącego naruszenia prawa materialnego lub procesowego</w:t>
      </w:r>
      <w:r w:rsidR="00A00C13" w:rsidRPr="0022499F">
        <w:rPr>
          <w:i/>
          <w:lang w:val="pl-PL"/>
        </w:rPr>
        <w:t>.</w:t>
      </w:r>
    </w:p>
    <w:p w:rsidR="00A00C13" w:rsidRPr="0022499F" w:rsidRDefault="00DC3E30" w:rsidP="00A00C13">
      <w:pPr>
        <w:pStyle w:val="JuPara"/>
        <w:rPr>
          <w:i/>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28</w:t>
      </w:r>
      <w:r w:rsidRPr="0022499F">
        <w:rPr>
          <w:lang w:val="pl-PL"/>
        </w:rPr>
        <w:fldChar w:fldCharType="end"/>
      </w:r>
      <w:r w:rsidR="00A00C13" w:rsidRPr="0022499F">
        <w:rPr>
          <w:lang w:val="pl-PL"/>
        </w:rPr>
        <w:t>.  </w:t>
      </w:r>
      <w:r w:rsidR="0002283C" w:rsidRPr="0022499F">
        <w:rPr>
          <w:lang w:val="pl-PL"/>
        </w:rPr>
        <w:t xml:space="preserve">W dniu 16 lipca 2007 roku skarżący zwrócił się do Senatu Sądu Najwyższego o wznowienie postępowania w jego sprawie ze względu na naruszenie prawa procesowego i Konwencji, które rzekomo zostały </w:t>
      </w:r>
      <w:r w:rsidR="008462BB" w:rsidRPr="0022499F">
        <w:rPr>
          <w:lang w:val="pl-PL"/>
        </w:rPr>
        <w:t>dokonane</w:t>
      </w:r>
      <w:r w:rsidR="0002283C" w:rsidRPr="0022499F">
        <w:rPr>
          <w:lang w:val="pl-PL"/>
        </w:rPr>
        <w:t xml:space="preserve"> w czasie pierwotnego postępowania. Niniejszy wniosek został odrzucony w dniu 10 sierpnia 2007 roku, ponieważ wnioski o wznowienie postępowania mogą być s</w:t>
      </w:r>
      <w:r w:rsidR="007C739E" w:rsidRPr="0022499F">
        <w:rPr>
          <w:lang w:val="pl-PL"/>
        </w:rPr>
        <w:t>porządzone</w:t>
      </w:r>
      <w:r w:rsidR="0002283C" w:rsidRPr="0022499F">
        <w:rPr>
          <w:lang w:val="pl-PL"/>
        </w:rPr>
        <w:t xml:space="preserve"> </w:t>
      </w:r>
      <w:r w:rsidR="007C739E" w:rsidRPr="0022499F">
        <w:rPr>
          <w:lang w:val="pl-PL"/>
        </w:rPr>
        <w:t xml:space="preserve">wyłącznie przez prokuratora lub </w:t>
      </w:r>
      <w:r w:rsidR="00A1407C" w:rsidRPr="0022499F">
        <w:rPr>
          <w:lang w:val="pl-PL"/>
        </w:rPr>
        <w:t xml:space="preserve">profesjonalnego </w:t>
      </w:r>
      <w:r w:rsidR="0002283C" w:rsidRPr="0022499F">
        <w:rPr>
          <w:lang w:val="pl-PL"/>
        </w:rPr>
        <w:t xml:space="preserve">pełnomocnika działającego w imieniu skazanego. </w:t>
      </w:r>
      <w:r w:rsidR="007C739E" w:rsidRPr="0022499F">
        <w:rPr>
          <w:lang w:val="pl-PL"/>
        </w:rPr>
        <w:t>Dla wniosków o wznowienie postępowania nie była przewidziana ż</w:t>
      </w:r>
      <w:r w:rsidR="00A1407C" w:rsidRPr="0022499F">
        <w:rPr>
          <w:lang w:val="pl-PL"/>
        </w:rPr>
        <w:t xml:space="preserve">adna </w:t>
      </w:r>
      <w:r w:rsidR="007C739E" w:rsidRPr="0022499F">
        <w:rPr>
          <w:lang w:val="pl-PL"/>
        </w:rPr>
        <w:t xml:space="preserve">państwowa </w:t>
      </w:r>
      <w:r w:rsidR="00A1407C" w:rsidRPr="0022499F">
        <w:rPr>
          <w:lang w:val="pl-PL"/>
        </w:rPr>
        <w:t>pomoc prawna</w:t>
      </w:r>
      <w:r w:rsidR="00A00C13" w:rsidRPr="0022499F">
        <w:rPr>
          <w:i/>
          <w:lang w:val="pl-PL"/>
        </w:rPr>
        <w:t>.</w:t>
      </w:r>
    </w:p>
    <w:p w:rsidR="00910131" w:rsidRPr="0022499F" w:rsidRDefault="00DC3E30" w:rsidP="00A00C13">
      <w:pPr>
        <w:pStyle w:val="JuPara"/>
        <w:rPr>
          <w:lang w:val="pl-PL"/>
        </w:rPr>
      </w:pPr>
      <w:r w:rsidRPr="0022499F">
        <w:rPr>
          <w:lang w:val="pl-PL"/>
        </w:rPr>
        <w:fldChar w:fldCharType="begin"/>
      </w:r>
      <w:r w:rsidR="00A00C13" w:rsidRPr="0022499F">
        <w:rPr>
          <w:lang w:val="pl-PL"/>
        </w:rPr>
        <w:instrText xml:space="preserve"> SEQ level0 \*arabic </w:instrText>
      </w:r>
      <w:r w:rsidRPr="0022499F">
        <w:rPr>
          <w:lang w:val="pl-PL"/>
        </w:rPr>
        <w:fldChar w:fldCharType="separate"/>
      </w:r>
      <w:r w:rsidR="000E0C74" w:rsidRPr="0022499F">
        <w:rPr>
          <w:noProof/>
          <w:lang w:val="pl-PL"/>
        </w:rPr>
        <w:t>29</w:t>
      </w:r>
      <w:r w:rsidRPr="0022499F">
        <w:rPr>
          <w:lang w:val="pl-PL"/>
        </w:rPr>
        <w:fldChar w:fldCharType="end"/>
      </w:r>
      <w:r w:rsidR="00A00C13" w:rsidRPr="0022499F">
        <w:rPr>
          <w:lang w:val="pl-PL"/>
        </w:rPr>
        <w:t>.  </w:t>
      </w:r>
      <w:r w:rsidR="007C739E" w:rsidRPr="0022499F">
        <w:rPr>
          <w:lang w:val="pl-PL"/>
        </w:rPr>
        <w:t xml:space="preserve">Skarżący uzyskał ostatecznie </w:t>
      </w:r>
      <w:r w:rsidR="00A1407C" w:rsidRPr="0022499F">
        <w:rPr>
          <w:lang w:val="pl-PL"/>
        </w:rPr>
        <w:t xml:space="preserve">zastępstwo prawne, a w dniu 14 marca 2008 roku Senat rozpatrzył jego wniosek o wznowienie postępowania </w:t>
      </w:r>
      <w:r w:rsidR="007C739E" w:rsidRPr="0022499F">
        <w:rPr>
          <w:lang w:val="pl-PL"/>
        </w:rPr>
        <w:br/>
      </w:r>
      <w:r w:rsidR="00A1407C" w:rsidRPr="0022499F">
        <w:rPr>
          <w:lang w:val="pl-PL"/>
        </w:rPr>
        <w:t xml:space="preserve">i odrzucił go co do </w:t>
      </w:r>
      <w:r w:rsidR="00A1407C" w:rsidRPr="0022499F">
        <w:rPr>
          <w:i/>
          <w:lang w:val="pl-PL"/>
        </w:rPr>
        <w:t>meritum</w:t>
      </w:r>
      <w:r w:rsidR="00A00C13" w:rsidRPr="0022499F">
        <w:rPr>
          <w:lang w:val="pl-PL"/>
        </w:rPr>
        <w:t>.</w:t>
      </w:r>
    </w:p>
    <w:p w:rsidR="007352DD" w:rsidRPr="0022499F" w:rsidRDefault="007352DD" w:rsidP="008824B9">
      <w:pPr>
        <w:pStyle w:val="JuHIRoman"/>
        <w:outlineLvl w:val="0"/>
        <w:rPr>
          <w:lang w:val="pl-PL"/>
        </w:rPr>
      </w:pPr>
      <w:r w:rsidRPr="0022499F">
        <w:rPr>
          <w:lang w:val="pl-PL"/>
        </w:rPr>
        <w:t>II.  </w:t>
      </w:r>
      <w:r w:rsidR="00AF3CCF" w:rsidRPr="0022499F">
        <w:rPr>
          <w:lang w:val="pl-PL"/>
        </w:rPr>
        <w:t>WŁAŚCIWE PRAWO KRAJOWE I PRAKTYKA ORAZ MATERIAŁY RADY EUROPY</w:t>
      </w:r>
    </w:p>
    <w:p w:rsidR="00910131" w:rsidRPr="0022499F" w:rsidRDefault="00910131" w:rsidP="00910131">
      <w:pPr>
        <w:pStyle w:val="JuHA"/>
        <w:rPr>
          <w:lang w:val="pl-PL"/>
        </w:rPr>
      </w:pPr>
      <w:r w:rsidRPr="0022499F">
        <w:rPr>
          <w:lang w:val="pl-PL"/>
        </w:rPr>
        <w:t>A.  </w:t>
      </w:r>
      <w:r w:rsidR="00AF3CCF" w:rsidRPr="0022499F">
        <w:rPr>
          <w:lang w:val="pl-PL"/>
        </w:rPr>
        <w:t>Właściwe dokumenty Rady Europy</w:t>
      </w:r>
    </w:p>
    <w:p w:rsidR="00910131" w:rsidRPr="0022499F" w:rsidRDefault="00DC3E30" w:rsidP="00910131">
      <w:pPr>
        <w:pStyle w:val="JuPara"/>
        <w:rPr>
          <w:i/>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30</w:t>
      </w:r>
      <w:r w:rsidRPr="0022499F">
        <w:rPr>
          <w:lang w:val="pl-PL"/>
        </w:rPr>
        <w:fldChar w:fldCharType="end"/>
      </w:r>
      <w:r w:rsidR="00910131" w:rsidRPr="0022499F">
        <w:rPr>
          <w:szCs w:val="24"/>
          <w:lang w:val="pl-PL"/>
        </w:rPr>
        <w:t>.  </w:t>
      </w:r>
      <w:r w:rsidR="00A1407C" w:rsidRPr="0022499F">
        <w:rPr>
          <w:lang w:val="pl-PL"/>
        </w:rPr>
        <w:t>Europejski Komitet do Sp</w:t>
      </w:r>
      <w:r w:rsidR="007C739E" w:rsidRPr="0022499F">
        <w:rPr>
          <w:lang w:val="pl-PL"/>
        </w:rPr>
        <w:t>raw Zapobiegania Torturom oraz N</w:t>
      </w:r>
      <w:r w:rsidR="00A1407C" w:rsidRPr="0022499F">
        <w:rPr>
          <w:lang w:val="pl-PL"/>
        </w:rPr>
        <w:t>ieludzkiem</w:t>
      </w:r>
      <w:r w:rsidR="007C739E" w:rsidRPr="0022499F">
        <w:rPr>
          <w:lang w:val="pl-PL"/>
        </w:rPr>
        <w:t>u lub Poniżającemu Traktowaniu albo K</w:t>
      </w:r>
      <w:r w:rsidR="00A1407C" w:rsidRPr="0022499F">
        <w:rPr>
          <w:lang w:val="pl-PL"/>
        </w:rPr>
        <w:t>arani</w:t>
      </w:r>
      <w:r w:rsidR="007C739E" w:rsidRPr="0022499F">
        <w:rPr>
          <w:lang w:val="pl-PL"/>
        </w:rPr>
        <w:t>u (zwany dalej “CPT”) opracował</w:t>
      </w:r>
      <w:r w:rsidR="00A1407C" w:rsidRPr="0022499F">
        <w:rPr>
          <w:lang w:val="pl-PL"/>
        </w:rPr>
        <w:t xml:space="preserve"> standardy dotyczące traktowania osób pozbawionych wolności. </w:t>
      </w:r>
      <w:r w:rsidR="007C739E" w:rsidRPr="0022499F">
        <w:rPr>
          <w:lang w:val="pl-PL"/>
        </w:rPr>
        <w:t>Poniżej</w:t>
      </w:r>
      <w:r w:rsidR="00A1407C" w:rsidRPr="0022499F">
        <w:rPr>
          <w:lang w:val="pl-PL"/>
        </w:rPr>
        <w:t xml:space="preserve"> jego standardy dotyczące przemocy </w:t>
      </w:r>
      <w:r w:rsidR="007C739E" w:rsidRPr="0022499F">
        <w:rPr>
          <w:lang w:val="pl-PL"/>
        </w:rPr>
        <w:t>więziennej</w:t>
      </w:r>
      <w:r w:rsidR="00A1407C" w:rsidRPr="0022499F">
        <w:rPr>
          <w:lang w:val="pl-PL"/>
        </w:rPr>
        <w:t xml:space="preserve"> (dokument nr CPT/</w:t>
      </w:r>
      <w:proofErr w:type="spellStart"/>
      <w:r w:rsidR="00A1407C" w:rsidRPr="0022499F">
        <w:rPr>
          <w:lang w:val="pl-PL"/>
        </w:rPr>
        <w:t>Inf</w:t>
      </w:r>
      <w:proofErr w:type="spellEnd"/>
      <w:r w:rsidR="00A1407C" w:rsidRPr="0022499F">
        <w:rPr>
          <w:lang w:val="pl-PL"/>
        </w:rPr>
        <w:t xml:space="preserve">/E (2002) 1, </w:t>
      </w:r>
      <w:proofErr w:type="spellStart"/>
      <w:r w:rsidR="00A1407C" w:rsidRPr="0022499F">
        <w:rPr>
          <w:lang w:val="pl-PL"/>
        </w:rPr>
        <w:t>Rev</w:t>
      </w:r>
      <w:proofErr w:type="spellEnd"/>
      <w:r w:rsidR="00A1407C" w:rsidRPr="0022499F">
        <w:rPr>
          <w:lang w:val="pl-PL"/>
        </w:rPr>
        <w:t>. 2009, pkt 27):</w:t>
      </w:r>
    </w:p>
    <w:p w:rsidR="00910131" w:rsidRPr="0022499F" w:rsidRDefault="00910131" w:rsidP="00910131">
      <w:pPr>
        <w:pStyle w:val="JuQuot"/>
        <w:rPr>
          <w:lang w:val="pl-PL"/>
        </w:rPr>
      </w:pPr>
      <w:r w:rsidRPr="0022499F">
        <w:rPr>
          <w:lang w:val="pl-PL"/>
        </w:rPr>
        <w:t>“</w:t>
      </w:r>
      <w:r w:rsidR="00A1407C" w:rsidRPr="0022499F">
        <w:rPr>
          <w:lang w:val="pl-PL"/>
        </w:rPr>
        <w:t xml:space="preserve">Obowiązek pieczy nad osadzonymi spoczywający na strażnikach obejmuje odpowiedzialność za ich ochronę przed innymi współosadzonymi, którzy mogą wyrządzić im krzywdę. W istocie incydenty z użyciem przemocy wśród osadzonych są zjawiskiem regularnym we wszystkich systemach penitencjarnych; łączą się one z </w:t>
      </w:r>
      <w:r w:rsidR="00A1407C" w:rsidRPr="0022499F">
        <w:rPr>
          <w:lang w:val="pl-PL"/>
        </w:rPr>
        <w:lastRenderedPageBreak/>
        <w:t xml:space="preserve">szeroką gamą </w:t>
      </w:r>
      <w:proofErr w:type="spellStart"/>
      <w:r w:rsidR="00A1407C" w:rsidRPr="0022499F">
        <w:rPr>
          <w:lang w:val="pl-PL"/>
        </w:rPr>
        <w:t>zachowań</w:t>
      </w:r>
      <w:proofErr w:type="spellEnd"/>
      <w:r w:rsidR="00A1407C" w:rsidRPr="0022499F">
        <w:rPr>
          <w:lang w:val="pl-PL"/>
        </w:rPr>
        <w:t>, od subtelnych form dokuczania do jawnego zastraszania i poważnych ataków fizycznych.</w:t>
      </w:r>
    </w:p>
    <w:p w:rsidR="00910131" w:rsidRPr="0022499F" w:rsidRDefault="00513EC1" w:rsidP="00910131">
      <w:pPr>
        <w:pStyle w:val="JuQuot"/>
        <w:rPr>
          <w:lang w:val="pl-PL"/>
        </w:rPr>
      </w:pPr>
      <w:r w:rsidRPr="0022499F">
        <w:rPr>
          <w:lang w:val="pl-PL"/>
        </w:rPr>
        <w:t>Opanowanie zjawiska przemocy wśród osadzonych wymaga, aby personel penitencjarny był w stanie korzystać z przysługującej mu władzy i wykonywać zadania nadzorcze w odpowiedni sposób. Personel penitencjarny musi zachować czujność na sygnały budzące niepokój, a także być gotowy i właściwie wyszkolony, aby w razie konieczności interweniować. W tym kontekście decydującym czynnikiem jest obecność pozytywnych relacji pomiędzy personelem a osadzonymi, w oparciu o zapewnienie osadzonym bezpieczeństwa i opieki, co w dużym stopniu zależy od posiadania przez personel właściwych umiejętności komunikacji międzyludzkiej. Ponadto władze zakładu karnego muszą być gotowe do pełnego poparcia personelu, gdy korzysta on ze swojej władzy. Sytuacja może także wymagać zastosowania specyficznych środków bezpieczeństwa (włącznie ze skutecznymi procedurami przeszukań); jednakże tego typu środki mogą stanowić jedynie dopełnienie opisanych wyżej założeń. Ponadto system penitencjarny musi się także zajmować właściwą klasyfikacją i rozmieszczeniem osadzonych.</w:t>
      </w:r>
    </w:p>
    <w:p w:rsidR="00910131" w:rsidRPr="0022499F" w:rsidRDefault="00513EC1" w:rsidP="00513EC1">
      <w:pPr>
        <w:pStyle w:val="JuQuot"/>
        <w:rPr>
          <w:lang w:val="pl-PL"/>
        </w:rPr>
      </w:pPr>
      <w:r w:rsidRPr="0022499F">
        <w:rPr>
          <w:lang w:val="pl-PL"/>
        </w:rPr>
        <w:t>Szczególnie wysokie ryzyko napaści ze strony współosadzonych ponoszą osoby podejrzane lub skazane za przestępstwa seksualne. Zapobieganie tego typu zjawiskom jest zawsze trudnym wyzwaniem. Często stosowanym rozwiązaniem jest oddzielenie takich osadzonych od reszty populacji zakładu karnego. Jednakże ta kategoria osadzonych może ponieść duże koszty ich – względnego – bezpieczeństwa z uwagi na ograniczenie programów zajęciowych w porównaniu do osadzonych poddanych zwykłemu reżimowi więziennemu. Innym rozwiązaniem jest rozproszenie osób podejrzanych lub skazanych za przestępstwa seksualne po całym zakładzie karnym. W takim przypadku należy zagwarantować niezbędne warunki dla właściwej integracji tych osadzonych w zwykłym reżimie; w szczególności personel penitencjarny musi być gotowy do stanowczego reagowania na wszelkie przejawy wrogości lub prześladowań. Trzecim przykładem rozwiązania w tym zakresie jest przeniesienie osadzonych do innego zakładu karnego przy jednoczesnym podjęciu środków w celu ukrycia charakteru popełnionych przez nich przestępstw. Każde z powyższych rozwiązań ma swoje wady i zalety, a Komitet nie dąży do promowania określonego z nich, dyskredytując pozostałe. W rzeczywistości decyzja co do sposobu poradzenia sobie z omawianym problemem zależy głównie od konkretnych okoliczności każdego przypadku.”</w:t>
      </w:r>
    </w:p>
    <w:p w:rsidR="00910131" w:rsidRPr="0022499F" w:rsidRDefault="00DC3E30" w:rsidP="00910131">
      <w:pPr>
        <w:pStyle w:val="JuPara"/>
        <w:rPr>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31</w:t>
      </w:r>
      <w:r w:rsidRPr="0022499F">
        <w:rPr>
          <w:lang w:val="pl-PL"/>
        </w:rPr>
        <w:fldChar w:fldCharType="end"/>
      </w:r>
      <w:r w:rsidR="00910131" w:rsidRPr="0022499F">
        <w:rPr>
          <w:lang w:val="pl-PL"/>
        </w:rPr>
        <w:t>.  </w:t>
      </w:r>
      <w:r w:rsidR="00513EC1" w:rsidRPr="0022499F">
        <w:rPr>
          <w:lang w:val="pl-PL"/>
        </w:rPr>
        <w:t xml:space="preserve">W swoim sprawozdaniu </w:t>
      </w:r>
      <w:r w:rsidR="007C739E" w:rsidRPr="0022499F">
        <w:rPr>
          <w:lang w:val="pl-PL"/>
        </w:rPr>
        <w:t>z</w:t>
      </w:r>
      <w:r w:rsidR="0008516C" w:rsidRPr="0022499F">
        <w:rPr>
          <w:lang w:val="pl-PL"/>
        </w:rPr>
        <w:t xml:space="preserve"> wizyty na Łotwie w 2002 roku</w:t>
      </w:r>
      <w:r w:rsidR="00513EC1" w:rsidRPr="0022499F">
        <w:rPr>
          <w:lang w:val="pl-PL"/>
        </w:rPr>
        <w:t xml:space="preserve"> CPT wyraził poważne zaniepokojenie częstym występowaniem przemocy </w:t>
      </w:r>
      <w:r w:rsidR="007C739E" w:rsidRPr="0022499F">
        <w:rPr>
          <w:lang w:val="pl-PL"/>
        </w:rPr>
        <w:t>więziennej</w:t>
      </w:r>
      <w:r w:rsidR="00513EC1" w:rsidRPr="0022499F">
        <w:rPr>
          <w:lang w:val="pl-PL"/>
        </w:rPr>
        <w:t xml:space="preserve"> w więzieniu w </w:t>
      </w:r>
      <w:proofErr w:type="spellStart"/>
      <w:r w:rsidR="00513EC1" w:rsidRPr="0022499F">
        <w:rPr>
          <w:lang w:val="pl-PL"/>
        </w:rPr>
        <w:t>Daugavpils</w:t>
      </w:r>
      <w:proofErr w:type="spellEnd"/>
      <w:r w:rsidR="00513EC1" w:rsidRPr="0022499F">
        <w:rPr>
          <w:lang w:val="pl-PL"/>
        </w:rPr>
        <w:t xml:space="preserve"> (</w:t>
      </w:r>
      <w:r w:rsidR="004A064D" w:rsidRPr="0022499F">
        <w:rPr>
          <w:lang w:val="pl-PL"/>
        </w:rPr>
        <w:t>punkt</w:t>
      </w:r>
      <w:r w:rsidR="00513EC1" w:rsidRPr="0022499F">
        <w:rPr>
          <w:lang w:val="pl-PL"/>
        </w:rPr>
        <w:t xml:space="preserve"> 69). W tym względzie należy powtórzyć, że władze więzienne mają obowiązek podjęcia aktywnych środków w celu zapobiegania takiej przemocy (</w:t>
      </w:r>
      <w:r w:rsidR="004A064D" w:rsidRPr="0022499F">
        <w:rPr>
          <w:lang w:val="pl-PL"/>
        </w:rPr>
        <w:t xml:space="preserve">punkt </w:t>
      </w:r>
      <w:r w:rsidR="00513EC1" w:rsidRPr="0022499F">
        <w:rPr>
          <w:lang w:val="pl-PL"/>
        </w:rPr>
        <w:t>71)</w:t>
      </w:r>
      <w:r w:rsidR="00910131" w:rsidRPr="0022499F">
        <w:rPr>
          <w:lang w:val="pl-PL"/>
        </w:rPr>
        <w:t>.</w:t>
      </w:r>
    </w:p>
    <w:p w:rsidR="00910131" w:rsidRPr="0022499F" w:rsidRDefault="00DC3E30" w:rsidP="00910131">
      <w:pPr>
        <w:pStyle w:val="JuPara"/>
        <w:rPr>
          <w:i/>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32</w:t>
      </w:r>
      <w:r w:rsidRPr="0022499F">
        <w:rPr>
          <w:lang w:val="pl-PL"/>
        </w:rPr>
        <w:fldChar w:fldCharType="end"/>
      </w:r>
      <w:r w:rsidR="00910131" w:rsidRPr="0022499F">
        <w:rPr>
          <w:lang w:val="pl-PL"/>
        </w:rPr>
        <w:t>.  </w:t>
      </w:r>
      <w:r w:rsidR="00D066A2" w:rsidRPr="0022499F">
        <w:rPr>
          <w:lang w:val="pl-PL"/>
        </w:rPr>
        <w:t xml:space="preserve">Podobne obawy zostały wyrażone </w:t>
      </w:r>
      <w:r w:rsidR="007C739E" w:rsidRPr="0022499F">
        <w:rPr>
          <w:lang w:val="pl-PL"/>
        </w:rPr>
        <w:t>po wizycie</w:t>
      </w:r>
      <w:r w:rsidR="00D066A2" w:rsidRPr="0022499F">
        <w:rPr>
          <w:lang w:val="pl-PL"/>
        </w:rPr>
        <w:t xml:space="preserve"> CPT na Łotwie w 2004 roku. W sprawozdaniu po raz kolejny wyrażono zaniepokojenie częstotliwością i nasileniem skarg w sprawie przemocy </w:t>
      </w:r>
      <w:r w:rsidR="007C739E" w:rsidRPr="0022499F">
        <w:rPr>
          <w:lang w:val="pl-PL"/>
        </w:rPr>
        <w:t>więziennej</w:t>
      </w:r>
      <w:r w:rsidR="00D066A2" w:rsidRPr="0022499F">
        <w:rPr>
          <w:lang w:val="pl-PL"/>
        </w:rPr>
        <w:t xml:space="preserve"> w więzieniu w </w:t>
      </w:r>
      <w:proofErr w:type="spellStart"/>
      <w:r w:rsidR="00D066A2" w:rsidRPr="0022499F">
        <w:rPr>
          <w:lang w:val="pl-PL"/>
        </w:rPr>
        <w:t>Daugavpils</w:t>
      </w:r>
      <w:proofErr w:type="spellEnd"/>
      <w:r w:rsidR="00D066A2" w:rsidRPr="0022499F">
        <w:rPr>
          <w:lang w:val="pl-PL"/>
        </w:rPr>
        <w:t xml:space="preserve"> (</w:t>
      </w:r>
      <w:r w:rsidR="004A064D" w:rsidRPr="0022499F">
        <w:rPr>
          <w:lang w:val="pl-PL"/>
        </w:rPr>
        <w:t xml:space="preserve">punkt </w:t>
      </w:r>
      <w:r w:rsidR="00D066A2" w:rsidRPr="0022499F">
        <w:rPr>
          <w:lang w:val="pl-PL"/>
        </w:rPr>
        <w:t xml:space="preserve">43). Władze łotewskie były wielokrotnie wzywane “do podjęcia specjalnych środków ostrożności w celu ochrony ... </w:t>
      </w:r>
      <w:r w:rsidR="00E17C05" w:rsidRPr="0022499F">
        <w:rPr>
          <w:lang w:val="pl-PL"/>
        </w:rPr>
        <w:t>narażonych więźniów przed wszystkimi</w:t>
      </w:r>
      <w:r w:rsidR="00D066A2" w:rsidRPr="0022499F">
        <w:rPr>
          <w:lang w:val="pl-PL"/>
        </w:rPr>
        <w:t xml:space="preserve"> form</w:t>
      </w:r>
      <w:r w:rsidR="00E17C05" w:rsidRPr="0022499F">
        <w:rPr>
          <w:lang w:val="pl-PL"/>
        </w:rPr>
        <w:t>ami przemocy” i “</w:t>
      </w:r>
      <w:r w:rsidR="00D066A2" w:rsidRPr="0022499F">
        <w:rPr>
          <w:lang w:val="pl-PL"/>
        </w:rPr>
        <w:t xml:space="preserve">do opracowania strategii z myślą o rozwiązywaniu problemu przemocy między </w:t>
      </w:r>
      <w:r w:rsidR="00E17C05" w:rsidRPr="0022499F">
        <w:rPr>
          <w:lang w:val="pl-PL"/>
        </w:rPr>
        <w:t>osadzonymi</w:t>
      </w:r>
      <w:r w:rsidR="00D066A2" w:rsidRPr="0022499F">
        <w:rPr>
          <w:lang w:val="pl-PL"/>
        </w:rPr>
        <w:t>”</w:t>
      </w:r>
      <w:r w:rsidR="00E17C05" w:rsidRPr="0022499F">
        <w:rPr>
          <w:lang w:val="pl-PL"/>
        </w:rPr>
        <w:t>.</w:t>
      </w:r>
    </w:p>
    <w:p w:rsidR="00262446" w:rsidRPr="0022499F" w:rsidRDefault="00DC3E30" w:rsidP="00910131">
      <w:pPr>
        <w:pStyle w:val="JuPara"/>
        <w:rPr>
          <w:bCs/>
          <w:i/>
          <w:lang w:val="pl-PL"/>
        </w:rPr>
      </w:pPr>
      <w:r w:rsidRPr="0022499F">
        <w:rPr>
          <w:lang w:val="pl-PL"/>
        </w:rPr>
        <w:lastRenderedPageBreak/>
        <w:fldChar w:fldCharType="begin"/>
      </w:r>
      <w:r w:rsidR="00366B92" w:rsidRPr="0022499F">
        <w:rPr>
          <w:lang w:val="pl-PL"/>
        </w:rPr>
        <w:instrText xml:space="preserve"> SEQ level0 \*arabic </w:instrText>
      </w:r>
      <w:r w:rsidRPr="0022499F">
        <w:rPr>
          <w:lang w:val="pl-PL"/>
        </w:rPr>
        <w:fldChar w:fldCharType="separate"/>
      </w:r>
      <w:r w:rsidR="000E0C74" w:rsidRPr="0022499F">
        <w:rPr>
          <w:noProof/>
          <w:lang w:val="pl-PL"/>
        </w:rPr>
        <w:t>33</w:t>
      </w:r>
      <w:r w:rsidRPr="0022499F">
        <w:rPr>
          <w:lang w:val="pl-PL"/>
        </w:rPr>
        <w:fldChar w:fldCharType="end"/>
      </w:r>
      <w:r w:rsidR="00366B92" w:rsidRPr="0022499F">
        <w:rPr>
          <w:lang w:val="pl-PL"/>
        </w:rPr>
        <w:t>.  </w:t>
      </w:r>
      <w:r w:rsidR="007C739E" w:rsidRPr="0022499F">
        <w:rPr>
          <w:lang w:val="pl-PL"/>
        </w:rPr>
        <w:t>Pomimo że CPT nie odwiedził</w:t>
      </w:r>
      <w:r w:rsidR="00E17C05" w:rsidRPr="0022499F">
        <w:rPr>
          <w:lang w:val="pl-PL"/>
        </w:rPr>
        <w:t xml:space="preserve"> więzienie w </w:t>
      </w:r>
      <w:proofErr w:type="spellStart"/>
      <w:r w:rsidR="00E17C05" w:rsidRPr="0022499F">
        <w:rPr>
          <w:lang w:val="pl-PL"/>
        </w:rPr>
        <w:t>Daugavgrīva</w:t>
      </w:r>
      <w:proofErr w:type="spellEnd"/>
      <w:r w:rsidR="00E17C05" w:rsidRPr="0022499F">
        <w:rPr>
          <w:lang w:val="pl-PL"/>
        </w:rPr>
        <w:t xml:space="preserve"> podczas swojej wizyty na Ło</w:t>
      </w:r>
      <w:r w:rsidR="007C739E" w:rsidRPr="0022499F">
        <w:rPr>
          <w:lang w:val="pl-PL"/>
        </w:rPr>
        <w:t>twie w 2011 roku, w sprawozdaniu</w:t>
      </w:r>
      <w:r w:rsidR="00E17C05" w:rsidRPr="0022499F">
        <w:rPr>
          <w:lang w:val="pl-PL"/>
        </w:rPr>
        <w:t xml:space="preserve"> z tej wizyty wezwano władze łotewskie “do opracowania kompleksowej strategii w celu rozwiązania problemu przemocy </w:t>
      </w:r>
      <w:r w:rsidR="007C739E" w:rsidRPr="0022499F">
        <w:rPr>
          <w:lang w:val="pl-PL"/>
        </w:rPr>
        <w:t>więziennej</w:t>
      </w:r>
      <w:r w:rsidR="00E17C05" w:rsidRPr="0022499F">
        <w:rPr>
          <w:lang w:val="pl-PL"/>
        </w:rPr>
        <w:t>” (</w:t>
      </w:r>
      <w:r w:rsidR="004A064D" w:rsidRPr="0022499F">
        <w:rPr>
          <w:lang w:val="pl-PL"/>
        </w:rPr>
        <w:t>punkt</w:t>
      </w:r>
      <w:r w:rsidR="00E17C05" w:rsidRPr="0022499F">
        <w:rPr>
          <w:lang w:val="pl-PL"/>
        </w:rPr>
        <w:t xml:space="preserve"> 55).</w:t>
      </w:r>
    </w:p>
    <w:p w:rsidR="00AE537E" w:rsidRPr="0022499F" w:rsidRDefault="00DC3E30" w:rsidP="00910131">
      <w:pPr>
        <w:pStyle w:val="JuPara"/>
        <w:rPr>
          <w:bCs/>
          <w:i/>
          <w:lang w:val="pl-PL"/>
        </w:rPr>
      </w:pPr>
      <w:r w:rsidRPr="0022499F">
        <w:rPr>
          <w:bCs/>
          <w:lang w:val="pl-PL"/>
        </w:rPr>
        <w:fldChar w:fldCharType="begin"/>
      </w:r>
      <w:r w:rsidR="00AE537E" w:rsidRPr="0022499F">
        <w:rPr>
          <w:bCs/>
          <w:lang w:val="pl-PL"/>
        </w:rPr>
        <w:instrText xml:space="preserve"> SEQ level0 \*arabic </w:instrText>
      </w:r>
      <w:r w:rsidRPr="0022499F">
        <w:rPr>
          <w:bCs/>
          <w:lang w:val="pl-PL"/>
        </w:rPr>
        <w:fldChar w:fldCharType="separate"/>
      </w:r>
      <w:r w:rsidR="000E0C74" w:rsidRPr="0022499F">
        <w:rPr>
          <w:bCs/>
          <w:noProof/>
          <w:lang w:val="pl-PL"/>
        </w:rPr>
        <w:t>34</w:t>
      </w:r>
      <w:r w:rsidRPr="0022499F">
        <w:rPr>
          <w:bCs/>
          <w:lang w:val="pl-PL"/>
        </w:rPr>
        <w:fldChar w:fldCharType="end"/>
      </w:r>
      <w:r w:rsidR="00AE537E" w:rsidRPr="0022499F">
        <w:rPr>
          <w:bCs/>
          <w:lang w:val="pl-PL"/>
        </w:rPr>
        <w:t>.  </w:t>
      </w:r>
      <w:r w:rsidR="00E17C05" w:rsidRPr="0022499F">
        <w:rPr>
          <w:bCs/>
          <w:lang w:val="pl-PL"/>
        </w:rPr>
        <w:t>W odpowiedzi na sprawozdanie CPT z wizyty w 2011 roku Rząd przedstawił szereg gwaranc</w:t>
      </w:r>
      <w:r w:rsidR="007C739E" w:rsidRPr="0022499F">
        <w:rPr>
          <w:bCs/>
          <w:lang w:val="pl-PL"/>
        </w:rPr>
        <w:t xml:space="preserve">ji w celu zapobiegania przemocy </w:t>
      </w:r>
      <w:r w:rsidR="00E17C05" w:rsidRPr="0022499F">
        <w:rPr>
          <w:bCs/>
          <w:lang w:val="pl-PL"/>
        </w:rPr>
        <w:t>wię</w:t>
      </w:r>
      <w:r w:rsidR="007C739E" w:rsidRPr="0022499F">
        <w:rPr>
          <w:bCs/>
          <w:lang w:val="pl-PL"/>
        </w:rPr>
        <w:t>ziennej</w:t>
      </w:r>
      <w:r w:rsidR="00E17C05" w:rsidRPr="0022499F">
        <w:rPr>
          <w:bCs/>
          <w:lang w:val="pl-PL"/>
        </w:rPr>
        <w:t>, wskazując, że służby bezpieczeństwa w więzieniach “w niektórych przypadkach wnios</w:t>
      </w:r>
      <w:r w:rsidR="007C739E" w:rsidRPr="0022499F">
        <w:rPr>
          <w:bCs/>
          <w:lang w:val="pl-PL"/>
        </w:rPr>
        <w:t>kowały [do Administracji Więziennej</w:t>
      </w:r>
      <w:r w:rsidR="00E17C05" w:rsidRPr="0022499F">
        <w:rPr>
          <w:bCs/>
          <w:lang w:val="pl-PL"/>
        </w:rPr>
        <w:t xml:space="preserve">] o przeniesienie osadzonego do innego więzienia ze względów bezpieczeństwa”. Przy podejmowaniu decyzji o umieszczeniu </w:t>
      </w:r>
      <w:r w:rsidR="007C739E" w:rsidRPr="0022499F">
        <w:rPr>
          <w:bCs/>
          <w:lang w:val="pl-PL"/>
        </w:rPr>
        <w:t>więźniów</w:t>
      </w:r>
      <w:r w:rsidR="00E17C05" w:rsidRPr="0022499F">
        <w:rPr>
          <w:bCs/>
          <w:lang w:val="pl-PL"/>
        </w:rPr>
        <w:t xml:space="preserve"> w poszczególnych </w:t>
      </w:r>
      <w:r w:rsidR="007C739E" w:rsidRPr="0022499F">
        <w:rPr>
          <w:bCs/>
          <w:lang w:val="pl-PL"/>
        </w:rPr>
        <w:t>jednostkach penitencjarnych</w:t>
      </w:r>
      <w:r w:rsidR="00E17C05" w:rsidRPr="0022499F">
        <w:rPr>
          <w:bCs/>
          <w:lang w:val="pl-PL"/>
        </w:rPr>
        <w:t xml:space="preserve">, właściwe władze uwzględniają, między innymi, charakter popełnionych przestępstw i “psychologiczną </w:t>
      </w:r>
      <w:r w:rsidR="0008516C" w:rsidRPr="0022499F">
        <w:rPr>
          <w:bCs/>
          <w:lang w:val="pl-PL"/>
        </w:rPr>
        <w:t>zgodność</w:t>
      </w:r>
      <w:r w:rsidR="00E17C05" w:rsidRPr="0022499F">
        <w:rPr>
          <w:bCs/>
          <w:lang w:val="pl-PL"/>
        </w:rPr>
        <w:t xml:space="preserve"> więźniów”.</w:t>
      </w:r>
    </w:p>
    <w:p w:rsidR="00D50EB3" w:rsidRPr="0022499F" w:rsidRDefault="00DC3E30" w:rsidP="00D50EB3">
      <w:pPr>
        <w:pStyle w:val="JuPara"/>
        <w:rPr>
          <w:lang w:val="pl-PL"/>
        </w:rPr>
      </w:pPr>
      <w:r w:rsidRPr="0022499F">
        <w:rPr>
          <w:lang w:val="pl-PL"/>
        </w:rPr>
        <w:fldChar w:fldCharType="begin"/>
      </w:r>
      <w:r w:rsidR="00D50EB3" w:rsidRPr="0022499F">
        <w:rPr>
          <w:lang w:val="pl-PL"/>
        </w:rPr>
        <w:instrText xml:space="preserve"> SEQ level0 \*arabic </w:instrText>
      </w:r>
      <w:r w:rsidRPr="0022499F">
        <w:rPr>
          <w:lang w:val="pl-PL"/>
        </w:rPr>
        <w:fldChar w:fldCharType="separate"/>
      </w:r>
      <w:r w:rsidR="000E0C74" w:rsidRPr="0022499F">
        <w:rPr>
          <w:noProof/>
          <w:lang w:val="pl-PL"/>
        </w:rPr>
        <w:t>35</w:t>
      </w:r>
      <w:r w:rsidRPr="0022499F">
        <w:rPr>
          <w:lang w:val="pl-PL"/>
        </w:rPr>
        <w:fldChar w:fldCharType="end"/>
      </w:r>
      <w:r w:rsidR="00D50EB3" w:rsidRPr="0022499F">
        <w:rPr>
          <w:lang w:val="pl-PL"/>
        </w:rPr>
        <w:t>. </w:t>
      </w:r>
      <w:r w:rsidR="00E17C05" w:rsidRPr="0022499F">
        <w:rPr>
          <w:lang w:val="pl-PL"/>
        </w:rPr>
        <w:t xml:space="preserve">Odnośna część Rekomendacji </w:t>
      </w:r>
      <w:proofErr w:type="spellStart"/>
      <w:r w:rsidR="00E17C05" w:rsidRPr="0022499F">
        <w:rPr>
          <w:lang w:val="pl-PL"/>
        </w:rPr>
        <w:t>Rec</w:t>
      </w:r>
      <w:proofErr w:type="spellEnd"/>
      <w:r w:rsidR="00E17C05" w:rsidRPr="0022499F">
        <w:rPr>
          <w:lang w:val="pl-PL"/>
        </w:rPr>
        <w:t xml:space="preserve"> (2005) 9 Komitetu Ministrów Rady Europy dla państw członkowskich w sprawie ochrony świadków i osób współpracujących z wymiarem sprawiedliwości stanowi, co następuje</w:t>
      </w:r>
      <w:r w:rsidR="00D50EB3" w:rsidRPr="0022499F">
        <w:rPr>
          <w:rStyle w:val="sb8d990e2"/>
          <w:lang w:val="pl-PL"/>
        </w:rPr>
        <w:t>.</w:t>
      </w:r>
    </w:p>
    <w:p w:rsidR="00D50EB3" w:rsidRPr="0022499F" w:rsidRDefault="00D50EB3" w:rsidP="00D50EB3">
      <w:pPr>
        <w:pStyle w:val="JuQuot"/>
        <w:rPr>
          <w:lang w:val="pl-PL"/>
        </w:rPr>
      </w:pPr>
      <w:r w:rsidRPr="0022499F">
        <w:rPr>
          <w:rStyle w:val="sfbbfee58"/>
          <w:lang w:val="pl-PL"/>
        </w:rPr>
        <w:t xml:space="preserve"> “II. </w:t>
      </w:r>
      <w:r w:rsidR="00E17C05" w:rsidRPr="0022499F">
        <w:rPr>
          <w:rStyle w:val="sfbbfee58"/>
          <w:lang w:val="pl-PL"/>
        </w:rPr>
        <w:t>Zasady Ogólne</w:t>
      </w:r>
    </w:p>
    <w:p w:rsidR="00D50EB3" w:rsidRPr="0022499F" w:rsidRDefault="00683DCB" w:rsidP="00D50EB3">
      <w:pPr>
        <w:pStyle w:val="JuQuot"/>
        <w:rPr>
          <w:i/>
          <w:lang w:val="pl-PL"/>
        </w:rPr>
      </w:pPr>
      <w:r w:rsidRPr="0022499F">
        <w:rPr>
          <w:rStyle w:val="sfbbfee58"/>
          <w:lang w:val="pl-PL"/>
        </w:rPr>
        <w:t>...</w:t>
      </w:r>
      <w:r w:rsidR="001420AC" w:rsidRPr="0022499F">
        <w:rPr>
          <w:rStyle w:val="sfbbfee58"/>
          <w:lang w:val="pl-PL"/>
        </w:rPr>
        <w:t xml:space="preserve"> </w:t>
      </w:r>
      <w:r w:rsidR="00D50EB3" w:rsidRPr="0022499F">
        <w:rPr>
          <w:rStyle w:val="sfbbfee58"/>
          <w:lang w:val="pl-PL"/>
        </w:rPr>
        <w:t xml:space="preserve">2. </w:t>
      </w:r>
      <w:r w:rsidR="00E17C05" w:rsidRPr="0022499F">
        <w:rPr>
          <w:rStyle w:val="sfbbfee58"/>
          <w:lang w:val="pl-PL"/>
        </w:rPr>
        <w:t>Przy jednoczesnym posza</w:t>
      </w:r>
      <w:r w:rsidR="00BD64D6" w:rsidRPr="0022499F">
        <w:rPr>
          <w:rStyle w:val="sfbbfee58"/>
          <w:lang w:val="pl-PL"/>
        </w:rPr>
        <w:t>nowaniu prawa do obrony, ochrona</w:t>
      </w:r>
      <w:r w:rsidR="00E17C05" w:rsidRPr="0022499F">
        <w:rPr>
          <w:rStyle w:val="sfbbfee58"/>
          <w:lang w:val="pl-PL"/>
        </w:rPr>
        <w:t xml:space="preserve"> świadków, </w:t>
      </w:r>
      <w:r w:rsidR="00BD64D6" w:rsidRPr="0022499F">
        <w:rPr>
          <w:lang w:val="pl-PL"/>
        </w:rPr>
        <w:t xml:space="preserve">osób współpracujących z wymiarem sprawiedliwości </w:t>
      </w:r>
      <w:r w:rsidR="007C739E" w:rsidRPr="0022499F">
        <w:rPr>
          <w:rStyle w:val="sfbbfee58"/>
          <w:lang w:val="pl-PL"/>
        </w:rPr>
        <w:t>i ich bliskich powinna</w:t>
      </w:r>
      <w:r w:rsidR="00E17C05" w:rsidRPr="0022499F">
        <w:rPr>
          <w:rStyle w:val="sfbbfee58"/>
          <w:lang w:val="pl-PL"/>
        </w:rPr>
        <w:t xml:space="preserve"> być </w:t>
      </w:r>
      <w:r w:rsidR="00BD64D6" w:rsidRPr="0022499F">
        <w:rPr>
          <w:rStyle w:val="sfbbfee58"/>
          <w:lang w:val="pl-PL"/>
        </w:rPr>
        <w:t>w miarę potrzeby organizowana</w:t>
      </w:r>
      <w:r w:rsidR="00E17C05" w:rsidRPr="0022499F">
        <w:rPr>
          <w:rStyle w:val="sfbbfee58"/>
          <w:lang w:val="pl-PL"/>
        </w:rPr>
        <w:t xml:space="preserve"> przed, w trakcie i po procesi</w:t>
      </w:r>
      <w:r w:rsidR="00BD64D6" w:rsidRPr="0022499F">
        <w:rPr>
          <w:rStyle w:val="sfbbfee58"/>
          <w:lang w:val="pl-PL"/>
        </w:rPr>
        <w:t>e</w:t>
      </w:r>
      <w:r w:rsidR="00D50EB3" w:rsidRPr="0022499F">
        <w:rPr>
          <w:rStyle w:val="sfbbfee58"/>
          <w:i/>
          <w:lang w:val="pl-PL"/>
        </w:rPr>
        <w:t>.</w:t>
      </w:r>
    </w:p>
    <w:p w:rsidR="00D50EB3" w:rsidRPr="0022499F" w:rsidRDefault="00D50EB3" w:rsidP="00D50EB3">
      <w:pPr>
        <w:pStyle w:val="JuQuot"/>
        <w:rPr>
          <w:i/>
          <w:lang w:val="pl-PL"/>
        </w:rPr>
      </w:pPr>
      <w:r w:rsidRPr="0022499F">
        <w:rPr>
          <w:rStyle w:val="sfbbfee58"/>
          <w:lang w:val="pl-PL"/>
        </w:rPr>
        <w:t xml:space="preserve">3. </w:t>
      </w:r>
      <w:r w:rsidR="00BD64D6" w:rsidRPr="0022499F">
        <w:rPr>
          <w:rStyle w:val="sfbbfee58"/>
          <w:lang w:val="pl-PL"/>
        </w:rPr>
        <w:t>Zastraszanie świadków, osób współpracujących z wymiarem sprawiedliwości i ich bliskich powinno, w miarę potrzeby, być karane zarówno jako odrębne przestępstwo lub też w ramach przestępstwa przy użyciu nielegalnych gróźb”.</w:t>
      </w:r>
    </w:p>
    <w:p w:rsidR="00910131" w:rsidRPr="0022499F" w:rsidRDefault="00910131" w:rsidP="00910131">
      <w:pPr>
        <w:pStyle w:val="JuHA"/>
        <w:rPr>
          <w:lang w:val="pl-PL"/>
        </w:rPr>
      </w:pPr>
      <w:r w:rsidRPr="0022499F">
        <w:rPr>
          <w:lang w:val="pl-PL"/>
        </w:rPr>
        <w:t>B.  </w:t>
      </w:r>
      <w:r w:rsidR="00AF3CCF" w:rsidRPr="0022499F">
        <w:rPr>
          <w:lang w:val="pl-PL"/>
        </w:rPr>
        <w:t>Właściwe prawo krajowe</w:t>
      </w:r>
    </w:p>
    <w:p w:rsidR="00E32A32" w:rsidRPr="0022499F" w:rsidRDefault="00E32A32" w:rsidP="00E32A32">
      <w:pPr>
        <w:pStyle w:val="JuH1"/>
        <w:rPr>
          <w:lang w:val="pl-PL"/>
        </w:rPr>
      </w:pPr>
      <w:r w:rsidRPr="0022499F">
        <w:rPr>
          <w:lang w:val="pl-PL"/>
        </w:rPr>
        <w:t>1</w:t>
      </w:r>
      <w:r w:rsidR="00580E6F" w:rsidRPr="0022499F">
        <w:rPr>
          <w:lang w:val="pl-PL"/>
        </w:rPr>
        <w:t>.</w:t>
      </w:r>
      <w:r w:rsidRPr="0022499F">
        <w:rPr>
          <w:lang w:val="pl-PL"/>
        </w:rPr>
        <w:t>  </w:t>
      </w:r>
      <w:r w:rsidR="006B66D7" w:rsidRPr="0022499F">
        <w:rPr>
          <w:lang w:val="pl-PL"/>
        </w:rPr>
        <w:t>Rozmieszczenie więźniów</w:t>
      </w:r>
    </w:p>
    <w:p w:rsidR="00910131" w:rsidRPr="0022499F" w:rsidRDefault="00DC3E30" w:rsidP="00910131">
      <w:pPr>
        <w:pStyle w:val="JuPara"/>
        <w:rPr>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36</w:t>
      </w:r>
      <w:r w:rsidRPr="0022499F">
        <w:rPr>
          <w:lang w:val="pl-PL"/>
        </w:rPr>
        <w:fldChar w:fldCharType="end"/>
      </w:r>
      <w:r w:rsidR="00910131" w:rsidRPr="0022499F">
        <w:rPr>
          <w:lang w:val="pl-PL"/>
        </w:rPr>
        <w:t>.  </w:t>
      </w:r>
      <w:r w:rsidR="008D45A0" w:rsidRPr="0022499F">
        <w:rPr>
          <w:lang w:val="pl-PL"/>
        </w:rPr>
        <w:t>W chwili aresztowania skarżącego rozmieszczenie osób, które zos</w:t>
      </w:r>
      <w:r w:rsidR="007C739E" w:rsidRPr="0022499F">
        <w:rPr>
          <w:lang w:val="pl-PL"/>
        </w:rPr>
        <w:t>tały zatrzymane, ale nie skazane</w:t>
      </w:r>
      <w:r w:rsidR="008D45A0" w:rsidRPr="0022499F">
        <w:rPr>
          <w:lang w:val="pl-PL"/>
        </w:rPr>
        <w:t>, było uregulowane Rozporządzeniem Gabinetu Ministrów nr 211 (2003), zatytułowanym “Zasady ładu wewnętrznego w jednostkach penitencjarnych” (</w:t>
      </w:r>
      <w:proofErr w:type="spellStart"/>
      <w:r w:rsidR="008D45A0" w:rsidRPr="0022499F">
        <w:rPr>
          <w:i/>
          <w:lang w:val="pl-PL"/>
        </w:rPr>
        <w:t>Ministru</w:t>
      </w:r>
      <w:proofErr w:type="spellEnd"/>
      <w:r w:rsidR="008D45A0" w:rsidRPr="0022499F">
        <w:rPr>
          <w:i/>
          <w:lang w:val="pl-PL"/>
        </w:rPr>
        <w:t xml:space="preserve"> </w:t>
      </w:r>
      <w:proofErr w:type="spellStart"/>
      <w:r w:rsidR="008D45A0" w:rsidRPr="0022499F">
        <w:rPr>
          <w:i/>
          <w:lang w:val="pl-PL"/>
        </w:rPr>
        <w:t>kabineta</w:t>
      </w:r>
      <w:proofErr w:type="spellEnd"/>
      <w:r w:rsidR="008D45A0" w:rsidRPr="0022499F">
        <w:rPr>
          <w:i/>
          <w:lang w:val="pl-PL"/>
        </w:rPr>
        <w:t xml:space="preserve"> </w:t>
      </w:r>
      <w:proofErr w:type="spellStart"/>
      <w:r w:rsidR="008D45A0" w:rsidRPr="0022499F">
        <w:rPr>
          <w:i/>
          <w:lang w:val="pl-PL"/>
        </w:rPr>
        <w:t>noteikumi</w:t>
      </w:r>
      <w:proofErr w:type="spellEnd"/>
      <w:r w:rsidR="008D45A0" w:rsidRPr="0022499F">
        <w:rPr>
          <w:i/>
          <w:lang w:val="pl-PL"/>
        </w:rPr>
        <w:t xml:space="preserve"> Nr. 211 “</w:t>
      </w:r>
      <w:proofErr w:type="spellStart"/>
      <w:r w:rsidR="008D45A0" w:rsidRPr="0022499F">
        <w:rPr>
          <w:i/>
          <w:lang w:val="pl-PL"/>
        </w:rPr>
        <w:t>Izmeklēšanas</w:t>
      </w:r>
      <w:proofErr w:type="spellEnd"/>
      <w:r w:rsidR="008D45A0" w:rsidRPr="0022499F">
        <w:rPr>
          <w:i/>
          <w:lang w:val="pl-PL"/>
        </w:rPr>
        <w:t xml:space="preserve"> </w:t>
      </w:r>
      <w:proofErr w:type="spellStart"/>
      <w:r w:rsidR="008D45A0" w:rsidRPr="0022499F">
        <w:rPr>
          <w:i/>
          <w:lang w:val="pl-PL"/>
        </w:rPr>
        <w:t>cietumu</w:t>
      </w:r>
      <w:proofErr w:type="spellEnd"/>
      <w:r w:rsidR="008D45A0" w:rsidRPr="0022499F">
        <w:rPr>
          <w:i/>
          <w:lang w:val="pl-PL"/>
        </w:rPr>
        <w:t xml:space="preserve"> </w:t>
      </w:r>
      <w:proofErr w:type="spellStart"/>
      <w:r w:rsidR="008D45A0" w:rsidRPr="0022499F">
        <w:rPr>
          <w:i/>
          <w:lang w:val="pl-PL"/>
        </w:rPr>
        <w:t>iekšējās</w:t>
      </w:r>
      <w:proofErr w:type="spellEnd"/>
      <w:r w:rsidR="008D45A0" w:rsidRPr="0022499F">
        <w:rPr>
          <w:i/>
          <w:lang w:val="pl-PL"/>
        </w:rPr>
        <w:t xml:space="preserve"> </w:t>
      </w:r>
      <w:proofErr w:type="spellStart"/>
      <w:r w:rsidR="008D45A0" w:rsidRPr="0022499F">
        <w:rPr>
          <w:i/>
          <w:lang w:val="pl-PL"/>
        </w:rPr>
        <w:t>kārtības</w:t>
      </w:r>
      <w:proofErr w:type="spellEnd"/>
      <w:r w:rsidR="008D45A0" w:rsidRPr="0022499F">
        <w:rPr>
          <w:i/>
          <w:lang w:val="pl-PL"/>
        </w:rPr>
        <w:t xml:space="preserve"> </w:t>
      </w:r>
      <w:proofErr w:type="spellStart"/>
      <w:r w:rsidR="008D45A0" w:rsidRPr="0022499F">
        <w:rPr>
          <w:i/>
          <w:lang w:val="pl-PL"/>
        </w:rPr>
        <w:t>noteikumi</w:t>
      </w:r>
      <w:proofErr w:type="spellEnd"/>
      <w:r w:rsidR="008D45A0" w:rsidRPr="0022499F">
        <w:rPr>
          <w:i/>
          <w:lang w:val="pl-PL"/>
        </w:rPr>
        <w:t>”</w:t>
      </w:r>
      <w:r w:rsidR="008D45A0" w:rsidRPr="0022499F">
        <w:rPr>
          <w:lang w:val="pl-PL"/>
        </w:rPr>
        <w:t xml:space="preserve">), które pozostawały w mocy do dnia 1 kwietnia 2006 roku. Paragraf 19 przewidywał, że zatrzymane osoby </w:t>
      </w:r>
      <w:r w:rsidR="00CC6369" w:rsidRPr="0022499F">
        <w:rPr>
          <w:lang w:val="pl-PL"/>
        </w:rPr>
        <w:t>należy umieścić</w:t>
      </w:r>
      <w:r w:rsidR="008D45A0" w:rsidRPr="0022499F">
        <w:rPr>
          <w:lang w:val="pl-PL"/>
        </w:rPr>
        <w:t xml:space="preserve"> w celach, a decyzje, kiedy i czy należy je przenieść, </w:t>
      </w:r>
      <w:r w:rsidR="00CC6369" w:rsidRPr="0022499F">
        <w:rPr>
          <w:lang w:val="pl-PL"/>
        </w:rPr>
        <w:t>winny uwzględniać</w:t>
      </w:r>
      <w:r w:rsidR="008D45A0" w:rsidRPr="0022499F">
        <w:rPr>
          <w:lang w:val="pl-PL"/>
        </w:rPr>
        <w:t xml:space="preserve"> bezpieczeństw</w:t>
      </w:r>
      <w:r w:rsidR="00CC6369" w:rsidRPr="0022499F">
        <w:rPr>
          <w:lang w:val="pl-PL"/>
        </w:rPr>
        <w:t>o</w:t>
      </w:r>
      <w:r w:rsidR="008D45A0" w:rsidRPr="0022499F">
        <w:rPr>
          <w:lang w:val="pl-PL"/>
        </w:rPr>
        <w:t xml:space="preserve"> wewnętrzn</w:t>
      </w:r>
      <w:r w:rsidR="00CC6369" w:rsidRPr="0022499F">
        <w:rPr>
          <w:lang w:val="pl-PL"/>
        </w:rPr>
        <w:t>e</w:t>
      </w:r>
      <w:r w:rsidR="008D45A0" w:rsidRPr="0022499F">
        <w:rPr>
          <w:lang w:val="pl-PL"/>
        </w:rPr>
        <w:t xml:space="preserve">, </w:t>
      </w:r>
      <w:r w:rsidR="004303A5" w:rsidRPr="0022499F">
        <w:rPr>
          <w:lang w:val="pl-PL"/>
        </w:rPr>
        <w:t>charakter przestępstwa</w:t>
      </w:r>
      <w:r w:rsidR="008D45A0" w:rsidRPr="0022499F">
        <w:rPr>
          <w:lang w:val="pl-PL"/>
        </w:rPr>
        <w:t>, na podstawie którego nastąpiło zatrzymanie, osobist</w:t>
      </w:r>
      <w:r w:rsidR="00CC6369" w:rsidRPr="0022499F">
        <w:rPr>
          <w:lang w:val="pl-PL"/>
        </w:rPr>
        <w:t xml:space="preserve">e </w:t>
      </w:r>
      <w:r w:rsidR="008D45A0" w:rsidRPr="0022499F">
        <w:rPr>
          <w:lang w:val="pl-PL"/>
        </w:rPr>
        <w:t>cech</w:t>
      </w:r>
      <w:r w:rsidR="00CC6369" w:rsidRPr="0022499F">
        <w:rPr>
          <w:lang w:val="pl-PL"/>
        </w:rPr>
        <w:t>y</w:t>
      </w:r>
      <w:r w:rsidR="008D45A0" w:rsidRPr="0022499F">
        <w:rPr>
          <w:lang w:val="pl-PL"/>
        </w:rPr>
        <w:t xml:space="preserve"> i czynnik</w:t>
      </w:r>
      <w:r w:rsidR="00CC6369" w:rsidRPr="0022499F">
        <w:rPr>
          <w:lang w:val="pl-PL"/>
        </w:rPr>
        <w:t xml:space="preserve">i </w:t>
      </w:r>
      <w:r w:rsidR="008D45A0" w:rsidRPr="0022499F">
        <w:rPr>
          <w:lang w:val="pl-PL"/>
        </w:rPr>
        <w:t>psychologicz</w:t>
      </w:r>
      <w:r w:rsidR="00CC6369" w:rsidRPr="0022499F">
        <w:rPr>
          <w:lang w:val="pl-PL"/>
        </w:rPr>
        <w:t>ne</w:t>
      </w:r>
      <w:r w:rsidR="008D45A0" w:rsidRPr="0022499F">
        <w:rPr>
          <w:lang w:val="pl-PL"/>
        </w:rPr>
        <w:t>.</w:t>
      </w:r>
    </w:p>
    <w:p w:rsidR="00910131" w:rsidRPr="0022499F" w:rsidRDefault="00DC3E30" w:rsidP="00910131">
      <w:pPr>
        <w:pStyle w:val="JuPara"/>
        <w:rPr>
          <w:i/>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37</w:t>
      </w:r>
      <w:r w:rsidRPr="0022499F">
        <w:rPr>
          <w:lang w:val="pl-PL"/>
        </w:rPr>
        <w:fldChar w:fldCharType="end"/>
      </w:r>
      <w:r w:rsidR="00910131" w:rsidRPr="0022499F">
        <w:rPr>
          <w:lang w:val="pl-PL"/>
        </w:rPr>
        <w:t>.  </w:t>
      </w:r>
      <w:r w:rsidR="008D45A0" w:rsidRPr="0022499F">
        <w:rPr>
          <w:lang w:val="pl-PL"/>
        </w:rPr>
        <w:t xml:space="preserve">Od dnia 20 kwietnia 2006 roku rozmieszczenie zatrzymanych </w:t>
      </w:r>
      <w:r w:rsidR="004303A5" w:rsidRPr="0022499F">
        <w:rPr>
          <w:lang w:val="pl-PL"/>
        </w:rPr>
        <w:t>jest</w:t>
      </w:r>
      <w:r w:rsidR="008D45A0" w:rsidRPr="0022499F">
        <w:rPr>
          <w:lang w:val="pl-PL"/>
        </w:rPr>
        <w:t xml:space="preserve"> uregulowane w ustawie o Procedurze Zatrzymania (</w:t>
      </w:r>
      <w:proofErr w:type="spellStart"/>
      <w:r w:rsidR="008D45A0" w:rsidRPr="0022499F">
        <w:rPr>
          <w:i/>
          <w:lang w:val="pl-PL"/>
        </w:rPr>
        <w:t>Apcietinājumā</w:t>
      </w:r>
      <w:proofErr w:type="spellEnd"/>
      <w:r w:rsidR="008D45A0" w:rsidRPr="0022499F">
        <w:rPr>
          <w:i/>
          <w:lang w:val="pl-PL"/>
        </w:rPr>
        <w:t xml:space="preserve"> </w:t>
      </w:r>
      <w:proofErr w:type="spellStart"/>
      <w:r w:rsidR="008D45A0" w:rsidRPr="0022499F">
        <w:rPr>
          <w:i/>
          <w:lang w:val="pl-PL"/>
        </w:rPr>
        <w:t>turēšanas</w:t>
      </w:r>
      <w:proofErr w:type="spellEnd"/>
      <w:r w:rsidR="008D45A0" w:rsidRPr="0022499F">
        <w:rPr>
          <w:i/>
          <w:lang w:val="pl-PL"/>
        </w:rPr>
        <w:t xml:space="preserve"> </w:t>
      </w:r>
      <w:proofErr w:type="spellStart"/>
      <w:r w:rsidR="008D45A0" w:rsidRPr="0022499F">
        <w:rPr>
          <w:i/>
          <w:lang w:val="pl-PL"/>
        </w:rPr>
        <w:t>kārtības</w:t>
      </w:r>
      <w:proofErr w:type="spellEnd"/>
      <w:r w:rsidR="008D45A0" w:rsidRPr="0022499F">
        <w:rPr>
          <w:i/>
          <w:lang w:val="pl-PL"/>
        </w:rPr>
        <w:t xml:space="preserve"> </w:t>
      </w:r>
      <w:proofErr w:type="spellStart"/>
      <w:r w:rsidR="008D45A0" w:rsidRPr="0022499F">
        <w:rPr>
          <w:i/>
          <w:lang w:val="pl-PL"/>
        </w:rPr>
        <w:t>likums</w:t>
      </w:r>
      <w:proofErr w:type="spellEnd"/>
      <w:r w:rsidR="008D45A0" w:rsidRPr="0022499F">
        <w:rPr>
          <w:lang w:val="pl-PL"/>
        </w:rPr>
        <w:t xml:space="preserve">), sekcja 11 (4) i (5), </w:t>
      </w:r>
      <w:r w:rsidR="00940ADE" w:rsidRPr="0022499F">
        <w:rPr>
          <w:lang w:val="pl-PL"/>
        </w:rPr>
        <w:t>stanowiącej</w:t>
      </w:r>
      <w:r w:rsidR="008D45A0" w:rsidRPr="0022499F">
        <w:rPr>
          <w:lang w:val="pl-PL"/>
        </w:rPr>
        <w:t xml:space="preserve">, że osoby zatrzymane powinny być osadzane oddzielnie od </w:t>
      </w:r>
      <w:r w:rsidR="004303A5" w:rsidRPr="0022499F">
        <w:rPr>
          <w:lang w:val="pl-PL"/>
        </w:rPr>
        <w:t>skazanych</w:t>
      </w:r>
      <w:r w:rsidR="008D45A0" w:rsidRPr="0022499F">
        <w:rPr>
          <w:lang w:val="pl-PL"/>
        </w:rPr>
        <w:t>,</w:t>
      </w:r>
      <w:r w:rsidR="005F0674" w:rsidRPr="0022499F">
        <w:rPr>
          <w:lang w:val="pl-PL"/>
        </w:rPr>
        <w:t xml:space="preserve"> </w:t>
      </w:r>
      <w:r w:rsidR="008D45A0" w:rsidRPr="0022499F">
        <w:rPr>
          <w:lang w:val="pl-PL"/>
        </w:rPr>
        <w:t xml:space="preserve">a pracownicy i byli pracownicy niektórych instytucji, których </w:t>
      </w:r>
      <w:r w:rsidR="00940ADE" w:rsidRPr="0022499F">
        <w:rPr>
          <w:lang w:val="pl-PL"/>
        </w:rPr>
        <w:t>pełną listę załączono</w:t>
      </w:r>
      <w:r w:rsidR="008D45A0" w:rsidRPr="0022499F">
        <w:rPr>
          <w:lang w:val="pl-PL"/>
        </w:rPr>
        <w:t xml:space="preserve"> </w:t>
      </w:r>
      <w:r w:rsidR="004A064D" w:rsidRPr="0022499F">
        <w:rPr>
          <w:lang w:val="pl-PL"/>
        </w:rPr>
        <w:lastRenderedPageBreak/>
        <w:t>(Administracja Więzienna</w:t>
      </w:r>
      <w:r w:rsidR="005F0674" w:rsidRPr="0022499F">
        <w:rPr>
          <w:lang w:val="pl-PL"/>
        </w:rPr>
        <w:t xml:space="preserve"> </w:t>
      </w:r>
      <w:r w:rsidR="008D45A0" w:rsidRPr="0022499F">
        <w:rPr>
          <w:lang w:val="pl-PL"/>
        </w:rPr>
        <w:t>i inne), jak również i</w:t>
      </w:r>
      <w:r w:rsidR="005F0674" w:rsidRPr="0022499F">
        <w:rPr>
          <w:lang w:val="pl-PL"/>
        </w:rPr>
        <w:t>ch współmałżonkowi</w:t>
      </w:r>
      <w:r w:rsidR="004303A5" w:rsidRPr="0022499F">
        <w:rPr>
          <w:lang w:val="pl-PL"/>
        </w:rPr>
        <w:t>e</w:t>
      </w:r>
      <w:r w:rsidR="005F0674" w:rsidRPr="0022499F">
        <w:rPr>
          <w:lang w:val="pl-PL"/>
        </w:rPr>
        <w:t xml:space="preserve"> i najbliższa rodzina </w:t>
      </w:r>
      <w:r w:rsidR="004303A5" w:rsidRPr="0022499F">
        <w:rPr>
          <w:lang w:val="pl-PL"/>
        </w:rPr>
        <w:t>powinni być</w:t>
      </w:r>
      <w:r w:rsidR="008D45A0" w:rsidRPr="0022499F">
        <w:rPr>
          <w:lang w:val="pl-PL"/>
        </w:rPr>
        <w:t xml:space="preserve"> </w:t>
      </w:r>
      <w:r w:rsidR="005F0674" w:rsidRPr="0022499F">
        <w:rPr>
          <w:lang w:val="pl-PL"/>
        </w:rPr>
        <w:t xml:space="preserve">osadzeni </w:t>
      </w:r>
      <w:r w:rsidR="008D45A0" w:rsidRPr="0022499F">
        <w:rPr>
          <w:lang w:val="pl-PL"/>
        </w:rPr>
        <w:t>oddzielnie od innych więźniów</w:t>
      </w:r>
      <w:r w:rsidR="00910131" w:rsidRPr="0022499F">
        <w:rPr>
          <w:i/>
          <w:lang w:val="pl-PL"/>
        </w:rPr>
        <w:t>.</w:t>
      </w:r>
    </w:p>
    <w:p w:rsidR="007352DD" w:rsidRPr="0022499F" w:rsidRDefault="00DC3E30" w:rsidP="00910131">
      <w:pPr>
        <w:pStyle w:val="JuPara"/>
        <w:rPr>
          <w:lang w:val="pl-PL"/>
        </w:rPr>
      </w:pPr>
      <w:r w:rsidRPr="0022499F">
        <w:rPr>
          <w:lang w:val="pl-PL"/>
        </w:rPr>
        <w:fldChar w:fldCharType="begin"/>
      </w:r>
      <w:r w:rsidR="00910131" w:rsidRPr="0022499F">
        <w:rPr>
          <w:lang w:val="pl-PL"/>
        </w:rPr>
        <w:instrText xml:space="preserve"> SEQ level0 \*arabic </w:instrText>
      </w:r>
      <w:r w:rsidRPr="0022499F">
        <w:rPr>
          <w:lang w:val="pl-PL"/>
        </w:rPr>
        <w:fldChar w:fldCharType="separate"/>
      </w:r>
      <w:r w:rsidR="000E0C74" w:rsidRPr="0022499F">
        <w:rPr>
          <w:noProof/>
          <w:lang w:val="pl-PL"/>
        </w:rPr>
        <w:t>38</w:t>
      </w:r>
      <w:r w:rsidRPr="0022499F">
        <w:rPr>
          <w:lang w:val="pl-PL"/>
        </w:rPr>
        <w:fldChar w:fldCharType="end"/>
      </w:r>
      <w:r w:rsidR="00910131" w:rsidRPr="0022499F">
        <w:rPr>
          <w:lang w:val="pl-PL"/>
        </w:rPr>
        <w:t>.  </w:t>
      </w:r>
      <w:r w:rsidR="005F0674" w:rsidRPr="0022499F">
        <w:rPr>
          <w:lang w:val="pl-PL"/>
        </w:rPr>
        <w:t xml:space="preserve">W dniu 18 lipca 2006 roku ustawa o Procedurze Zatrzymania została zmieniona. Do wersji w brzmieniu obowiązującym do dnia 26 października 2006 roku (kiedy to skarżący został przeniesiony do więzienia </w:t>
      </w:r>
      <w:proofErr w:type="spellStart"/>
      <w:r w:rsidR="005F0674" w:rsidRPr="0022499F">
        <w:rPr>
          <w:lang w:val="pl-PL"/>
        </w:rPr>
        <w:t>Matīsa</w:t>
      </w:r>
      <w:proofErr w:type="spellEnd"/>
      <w:r w:rsidR="005F0674" w:rsidRPr="0022499F">
        <w:rPr>
          <w:lang w:val="pl-PL"/>
        </w:rPr>
        <w:t>) została dodana nowa sekcja 11 (6), która przewidywała, że zatrzymani po ra</w:t>
      </w:r>
      <w:r w:rsidR="004303A5" w:rsidRPr="0022499F">
        <w:rPr>
          <w:lang w:val="pl-PL"/>
        </w:rPr>
        <w:t>z pierwszy powinn</w:t>
      </w:r>
      <w:r w:rsidR="00163652" w:rsidRPr="0022499F">
        <w:rPr>
          <w:lang w:val="pl-PL"/>
        </w:rPr>
        <w:t>i</w:t>
      </w:r>
      <w:r w:rsidR="004303A5" w:rsidRPr="0022499F">
        <w:rPr>
          <w:lang w:val="pl-PL"/>
        </w:rPr>
        <w:t xml:space="preserve"> być osadzeni</w:t>
      </w:r>
      <w:r w:rsidR="005F0674" w:rsidRPr="0022499F">
        <w:rPr>
          <w:lang w:val="pl-PL"/>
        </w:rPr>
        <w:t xml:space="preserve"> oddzie</w:t>
      </w:r>
      <w:r w:rsidR="004303A5" w:rsidRPr="0022499F">
        <w:rPr>
          <w:lang w:val="pl-PL"/>
        </w:rPr>
        <w:t>lnie od innych. Ten sam paragra</w:t>
      </w:r>
      <w:r w:rsidR="005F0674" w:rsidRPr="0022499F">
        <w:rPr>
          <w:lang w:val="pl-PL"/>
        </w:rPr>
        <w:t>f przewidywał również, że “zat</w:t>
      </w:r>
      <w:r w:rsidR="00163652" w:rsidRPr="0022499F">
        <w:rPr>
          <w:lang w:val="pl-PL"/>
        </w:rPr>
        <w:t>rzymani są umieszczani w celach</w:t>
      </w:r>
      <w:r w:rsidR="005F0674" w:rsidRPr="0022499F">
        <w:rPr>
          <w:lang w:val="pl-PL"/>
        </w:rPr>
        <w:t xml:space="preserve"> </w:t>
      </w:r>
      <w:r w:rsidR="00163652" w:rsidRPr="0022499F">
        <w:rPr>
          <w:lang w:val="pl-PL"/>
        </w:rPr>
        <w:t>z uwzględnieniem</w:t>
      </w:r>
      <w:r w:rsidR="005F0674" w:rsidRPr="0022499F">
        <w:rPr>
          <w:lang w:val="pl-PL"/>
        </w:rPr>
        <w:t xml:space="preserve"> bezpieczeństw</w:t>
      </w:r>
      <w:r w:rsidR="00163652" w:rsidRPr="0022499F">
        <w:rPr>
          <w:lang w:val="pl-PL"/>
        </w:rPr>
        <w:t>a</w:t>
      </w:r>
      <w:r w:rsidR="005F0674" w:rsidRPr="0022499F">
        <w:rPr>
          <w:lang w:val="pl-PL"/>
        </w:rPr>
        <w:t xml:space="preserve"> wewnętrzne</w:t>
      </w:r>
      <w:r w:rsidR="00163652" w:rsidRPr="0022499F">
        <w:rPr>
          <w:lang w:val="pl-PL"/>
        </w:rPr>
        <w:t>go</w:t>
      </w:r>
      <w:r w:rsidR="005F0674" w:rsidRPr="0022499F">
        <w:rPr>
          <w:lang w:val="pl-PL"/>
        </w:rPr>
        <w:t>, jak również (w miarę możliwości) [ich] cech indywidualn</w:t>
      </w:r>
      <w:r w:rsidR="00163652" w:rsidRPr="0022499F">
        <w:rPr>
          <w:lang w:val="pl-PL"/>
        </w:rPr>
        <w:t>ych i czynników psychologicznych</w:t>
      </w:r>
      <w:r w:rsidR="005F0674" w:rsidRPr="0022499F">
        <w:rPr>
          <w:lang w:val="pl-PL"/>
        </w:rPr>
        <w:t>”.</w:t>
      </w:r>
    </w:p>
    <w:p w:rsidR="00E32A32" w:rsidRPr="0022499F" w:rsidRDefault="00DC3E30" w:rsidP="00910131">
      <w:pPr>
        <w:pStyle w:val="JuPara"/>
        <w:rPr>
          <w:i/>
          <w:lang w:val="pl-PL"/>
        </w:rPr>
      </w:pPr>
      <w:r w:rsidRPr="0022499F">
        <w:rPr>
          <w:lang w:val="pl-PL"/>
        </w:rPr>
        <w:fldChar w:fldCharType="begin"/>
      </w:r>
      <w:r w:rsidR="00E32A32" w:rsidRPr="0022499F">
        <w:rPr>
          <w:lang w:val="pl-PL"/>
        </w:rPr>
        <w:instrText xml:space="preserve"> SEQ level0 \*arabic </w:instrText>
      </w:r>
      <w:r w:rsidRPr="0022499F">
        <w:rPr>
          <w:lang w:val="pl-PL"/>
        </w:rPr>
        <w:fldChar w:fldCharType="separate"/>
      </w:r>
      <w:r w:rsidR="000E0C74" w:rsidRPr="0022499F">
        <w:rPr>
          <w:noProof/>
          <w:lang w:val="pl-PL"/>
        </w:rPr>
        <w:t>39</w:t>
      </w:r>
      <w:r w:rsidRPr="0022499F">
        <w:rPr>
          <w:lang w:val="pl-PL"/>
        </w:rPr>
        <w:fldChar w:fldCharType="end"/>
      </w:r>
      <w:r w:rsidR="00E32A32" w:rsidRPr="0022499F">
        <w:rPr>
          <w:lang w:val="pl-PL"/>
        </w:rPr>
        <w:t>.  </w:t>
      </w:r>
      <w:r w:rsidR="004303A5" w:rsidRPr="0022499F">
        <w:rPr>
          <w:lang w:val="pl-PL"/>
        </w:rPr>
        <w:t>Zalecenie Administracji Więziennej</w:t>
      </w:r>
      <w:r w:rsidR="005F0674" w:rsidRPr="0022499F">
        <w:rPr>
          <w:lang w:val="pl-PL"/>
        </w:rPr>
        <w:t xml:space="preserve"> nr 114 z dnia 6 sierpnia 2004 roku “W sprawie rozmieszczania skaz</w:t>
      </w:r>
      <w:r w:rsidR="004303A5" w:rsidRPr="0022499F">
        <w:rPr>
          <w:lang w:val="pl-PL"/>
        </w:rPr>
        <w:t>anych w instytucjach</w:t>
      </w:r>
      <w:r w:rsidR="005F0674" w:rsidRPr="0022499F">
        <w:rPr>
          <w:lang w:val="pl-PL"/>
        </w:rPr>
        <w:t xml:space="preserve"> pozbawienia wolności” (</w:t>
      </w:r>
      <w:proofErr w:type="spellStart"/>
      <w:r w:rsidR="005F0674" w:rsidRPr="0022499F">
        <w:rPr>
          <w:i/>
          <w:lang w:val="pl-PL"/>
        </w:rPr>
        <w:t>Ieslodzījuma</w:t>
      </w:r>
      <w:proofErr w:type="spellEnd"/>
      <w:r w:rsidR="005F0674" w:rsidRPr="0022499F">
        <w:rPr>
          <w:i/>
          <w:lang w:val="pl-PL"/>
        </w:rPr>
        <w:t xml:space="preserve"> </w:t>
      </w:r>
      <w:proofErr w:type="spellStart"/>
      <w:r w:rsidR="005F0674" w:rsidRPr="0022499F">
        <w:rPr>
          <w:i/>
          <w:lang w:val="pl-PL"/>
        </w:rPr>
        <w:t>vietu</w:t>
      </w:r>
      <w:proofErr w:type="spellEnd"/>
      <w:r w:rsidR="005F0674" w:rsidRPr="0022499F">
        <w:rPr>
          <w:i/>
          <w:lang w:val="pl-PL"/>
        </w:rPr>
        <w:t xml:space="preserve"> </w:t>
      </w:r>
      <w:proofErr w:type="spellStart"/>
      <w:r w:rsidR="005F0674" w:rsidRPr="0022499F">
        <w:rPr>
          <w:i/>
          <w:lang w:val="pl-PL"/>
        </w:rPr>
        <w:t>pārvaldes</w:t>
      </w:r>
      <w:proofErr w:type="spellEnd"/>
      <w:r w:rsidR="005F0674" w:rsidRPr="0022499F">
        <w:rPr>
          <w:i/>
          <w:lang w:val="pl-PL"/>
        </w:rPr>
        <w:t xml:space="preserve"> 2004. gada 6. augusta </w:t>
      </w:r>
      <w:proofErr w:type="spellStart"/>
      <w:r w:rsidR="005F0674" w:rsidRPr="0022499F">
        <w:rPr>
          <w:i/>
          <w:lang w:val="pl-PL"/>
        </w:rPr>
        <w:t>rīkojums</w:t>
      </w:r>
      <w:proofErr w:type="spellEnd"/>
      <w:r w:rsidR="005F0674" w:rsidRPr="0022499F">
        <w:rPr>
          <w:i/>
          <w:lang w:val="pl-PL"/>
        </w:rPr>
        <w:t xml:space="preserve"> Nr. 114 “Par </w:t>
      </w:r>
      <w:proofErr w:type="spellStart"/>
      <w:r w:rsidR="005F0674" w:rsidRPr="0022499F">
        <w:rPr>
          <w:i/>
          <w:lang w:val="pl-PL"/>
        </w:rPr>
        <w:t>notiesāto</w:t>
      </w:r>
      <w:proofErr w:type="spellEnd"/>
      <w:r w:rsidR="005F0674" w:rsidRPr="0022499F">
        <w:rPr>
          <w:i/>
          <w:lang w:val="pl-PL"/>
        </w:rPr>
        <w:t xml:space="preserve"> </w:t>
      </w:r>
      <w:proofErr w:type="spellStart"/>
      <w:r w:rsidR="005F0674" w:rsidRPr="0022499F">
        <w:rPr>
          <w:i/>
          <w:lang w:val="pl-PL"/>
        </w:rPr>
        <w:t>izvietošanas</w:t>
      </w:r>
      <w:proofErr w:type="spellEnd"/>
      <w:r w:rsidR="005F0674" w:rsidRPr="0022499F">
        <w:rPr>
          <w:i/>
          <w:lang w:val="pl-PL"/>
        </w:rPr>
        <w:t xml:space="preserve"> </w:t>
      </w:r>
      <w:proofErr w:type="spellStart"/>
      <w:r w:rsidR="005F0674" w:rsidRPr="0022499F">
        <w:rPr>
          <w:i/>
          <w:lang w:val="pl-PL"/>
        </w:rPr>
        <w:t>kārtību</w:t>
      </w:r>
      <w:proofErr w:type="spellEnd"/>
      <w:r w:rsidR="005F0674" w:rsidRPr="0022499F">
        <w:rPr>
          <w:i/>
          <w:lang w:val="pl-PL"/>
        </w:rPr>
        <w:t xml:space="preserve"> </w:t>
      </w:r>
      <w:proofErr w:type="spellStart"/>
      <w:r w:rsidR="005F0674" w:rsidRPr="0022499F">
        <w:rPr>
          <w:i/>
          <w:lang w:val="pl-PL"/>
        </w:rPr>
        <w:t>brīvības</w:t>
      </w:r>
      <w:proofErr w:type="spellEnd"/>
      <w:r w:rsidR="005F0674" w:rsidRPr="0022499F">
        <w:rPr>
          <w:i/>
          <w:lang w:val="pl-PL"/>
        </w:rPr>
        <w:t xml:space="preserve"> </w:t>
      </w:r>
      <w:proofErr w:type="spellStart"/>
      <w:r w:rsidR="005F0674" w:rsidRPr="0022499F">
        <w:rPr>
          <w:i/>
          <w:lang w:val="pl-PL"/>
        </w:rPr>
        <w:t>atņemšanas</w:t>
      </w:r>
      <w:proofErr w:type="spellEnd"/>
      <w:r w:rsidR="005F0674" w:rsidRPr="0022499F">
        <w:rPr>
          <w:i/>
          <w:lang w:val="pl-PL"/>
        </w:rPr>
        <w:t xml:space="preserve"> </w:t>
      </w:r>
      <w:proofErr w:type="spellStart"/>
      <w:r w:rsidR="005F0674" w:rsidRPr="0022499F">
        <w:rPr>
          <w:i/>
          <w:lang w:val="pl-PL"/>
        </w:rPr>
        <w:t>iestādēs</w:t>
      </w:r>
      <w:proofErr w:type="spellEnd"/>
      <w:r w:rsidR="005F0674" w:rsidRPr="0022499F">
        <w:rPr>
          <w:i/>
          <w:lang w:val="pl-PL"/>
        </w:rPr>
        <w:t>”</w:t>
      </w:r>
      <w:r w:rsidR="005F0674" w:rsidRPr="0022499F">
        <w:rPr>
          <w:lang w:val="pl-PL"/>
        </w:rPr>
        <w:t xml:space="preserve">) stanowiło, że wśród kategorii osób skazanych, które </w:t>
      </w:r>
      <w:r w:rsidR="004303A5" w:rsidRPr="0022499F">
        <w:rPr>
          <w:lang w:val="pl-PL"/>
        </w:rPr>
        <w:t>mogą</w:t>
      </w:r>
      <w:r w:rsidR="005F0674" w:rsidRPr="0022499F">
        <w:rPr>
          <w:lang w:val="pl-PL"/>
        </w:rPr>
        <w:t xml:space="preserve"> być osadzone w więzieniu </w:t>
      </w:r>
      <w:proofErr w:type="spellStart"/>
      <w:r w:rsidR="005F0674" w:rsidRPr="0022499F">
        <w:rPr>
          <w:lang w:val="pl-PL"/>
        </w:rPr>
        <w:t>Matīsa</w:t>
      </w:r>
      <w:proofErr w:type="spellEnd"/>
      <w:r w:rsidR="005F0674" w:rsidRPr="0022499F">
        <w:rPr>
          <w:lang w:val="pl-PL"/>
        </w:rPr>
        <w:t xml:space="preserve"> po tym, jak ich skazanie stanie się prawomocne, można wyróż</w:t>
      </w:r>
      <w:r w:rsidR="004303A5" w:rsidRPr="0022499F">
        <w:rPr>
          <w:lang w:val="pl-PL"/>
        </w:rPr>
        <w:t xml:space="preserve">nić następujące: osoby skazane </w:t>
      </w:r>
      <w:r w:rsidR="005F0674" w:rsidRPr="0022499F">
        <w:rPr>
          <w:lang w:val="pl-PL"/>
        </w:rPr>
        <w:t>wymagające specjalnej i</w:t>
      </w:r>
      <w:r w:rsidR="004303A5" w:rsidRPr="0022499F">
        <w:rPr>
          <w:lang w:val="pl-PL"/>
        </w:rPr>
        <w:t>zolacji na mocy ustawy o Działaniach Operacyjnych (paragraf</w:t>
      </w:r>
      <w:r w:rsidR="005F0674" w:rsidRPr="0022499F">
        <w:rPr>
          <w:lang w:val="pl-PL"/>
        </w:rPr>
        <w:t xml:space="preserve"> 3.7) oraz, w szczególnych przypadkach, na podstawie decyzji wydziału bezp</w:t>
      </w:r>
      <w:r w:rsidR="004303A5" w:rsidRPr="0022499F">
        <w:rPr>
          <w:lang w:val="pl-PL"/>
        </w:rPr>
        <w:t>ieczeństwa Administracji Więziennej</w:t>
      </w:r>
      <w:r w:rsidR="005F0674" w:rsidRPr="0022499F">
        <w:rPr>
          <w:lang w:val="pl-PL"/>
        </w:rPr>
        <w:t xml:space="preserve">, skazani po raz pierwszy, których zbrodnie </w:t>
      </w:r>
      <w:r w:rsidR="004303A5" w:rsidRPr="0022499F">
        <w:rPr>
          <w:lang w:val="pl-PL"/>
        </w:rPr>
        <w:t>nie były popełnione przy użyciu</w:t>
      </w:r>
      <w:r w:rsidR="005F0674" w:rsidRPr="0022499F">
        <w:rPr>
          <w:lang w:val="pl-PL"/>
        </w:rPr>
        <w:t xml:space="preserve"> </w:t>
      </w:r>
      <w:r w:rsidR="004303A5" w:rsidRPr="0022499F">
        <w:rPr>
          <w:lang w:val="pl-PL"/>
        </w:rPr>
        <w:t>przemocy fizycznej ani nie</w:t>
      </w:r>
      <w:r w:rsidR="005F0674" w:rsidRPr="0022499F">
        <w:rPr>
          <w:lang w:val="pl-PL"/>
        </w:rPr>
        <w:t xml:space="preserve"> </w:t>
      </w:r>
      <w:r w:rsidR="004303A5" w:rsidRPr="0022499F">
        <w:rPr>
          <w:lang w:val="pl-PL"/>
        </w:rPr>
        <w:t>polegały na rozpowszechnianiu</w:t>
      </w:r>
      <w:r w:rsidR="005F0674" w:rsidRPr="0022499F">
        <w:rPr>
          <w:lang w:val="pl-PL"/>
        </w:rPr>
        <w:t xml:space="preserve"> substancji odurzających.</w:t>
      </w:r>
    </w:p>
    <w:p w:rsidR="00D870DC" w:rsidRPr="0022499F" w:rsidRDefault="00E32A32" w:rsidP="00E32A32">
      <w:pPr>
        <w:pStyle w:val="JuH1"/>
        <w:rPr>
          <w:lang w:val="pl-PL"/>
        </w:rPr>
      </w:pPr>
      <w:r w:rsidRPr="0022499F">
        <w:rPr>
          <w:lang w:val="pl-PL"/>
        </w:rPr>
        <w:t>2</w:t>
      </w:r>
      <w:r w:rsidR="00580E6F" w:rsidRPr="0022499F">
        <w:rPr>
          <w:lang w:val="pl-PL"/>
        </w:rPr>
        <w:t>.</w:t>
      </w:r>
      <w:r w:rsidRPr="0022499F">
        <w:rPr>
          <w:lang w:val="pl-PL"/>
        </w:rPr>
        <w:t>  </w:t>
      </w:r>
      <w:r w:rsidR="000740D6" w:rsidRPr="0022499F">
        <w:rPr>
          <w:lang w:val="pl-PL"/>
        </w:rPr>
        <w:t>Kodeks Postępowania Administracyjnego</w:t>
      </w:r>
    </w:p>
    <w:p w:rsidR="00624FB8" w:rsidRPr="0022499F" w:rsidRDefault="00DC3E30" w:rsidP="007C2CE8">
      <w:pPr>
        <w:pStyle w:val="JuPara"/>
        <w:rPr>
          <w:rStyle w:val="sb8d990e2"/>
          <w:color w:val="000000"/>
          <w:lang w:val="pl-PL"/>
        </w:rPr>
      </w:pPr>
      <w:r w:rsidRPr="0022499F">
        <w:rPr>
          <w:color w:val="000000"/>
          <w:lang w:val="pl-PL"/>
        </w:rPr>
        <w:fldChar w:fldCharType="begin"/>
      </w:r>
      <w:r w:rsidR="00624FB8" w:rsidRPr="0022499F">
        <w:rPr>
          <w:color w:val="000000"/>
          <w:lang w:val="pl-PL"/>
        </w:rPr>
        <w:instrText xml:space="preserve"> SEQ level0 \*arabic </w:instrText>
      </w:r>
      <w:r w:rsidRPr="0022499F">
        <w:rPr>
          <w:color w:val="000000"/>
          <w:lang w:val="pl-PL"/>
        </w:rPr>
        <w:fldChar w:fldCharType="separate"/>
      </w:r>
      <w:r w:rsidR="000E0C74" w:rsidRPr="0022499F">
        <w:rPr>
          <w:noProof/>
          <w:color w:val="000000"/>
          <w:lang w:val="pl-PL"/>
        </w:rPr>
        <w:t>40</w:t>
      </w:r>
      <w:r w:rsidRPr="0022499F">
        <w:rPr>
          <w:color w:val="000000"/>
          <w:lang w:val="pl-PL"/>
        </w:rPr>
        <w:fldChar w:fldCharType="end"/>
      </w:r>
      <w:r w:rsidR="00624FB8" w:rsidRPr="0022499F">
        <w:rPr>
          <w:color w:val="000000"/>
          <w:lang w:val="pl-PL"/>
        </w:rPr>
        <w:t>.  </w:t>
      </w:r>
      <w:r w:rsidR="000740D6" w:rsidRPr="0022499F">
        <w:rPr>
          <w:color w:val="000000"/>
          <w:lang w:val="pl-PL"/>
        </w:rPr>
        <w:t>Kodeks Postępowania Administracyjnego (</w:t>
      </w:r>
      <w:proofErr w:type="spellStart"/>
      <w:r w:rsidR="000740D6" w:rsidRPr="0022499F">
        <w:rPr>
          <w:rStyle w:val="s6b621b36"/>
          <w:i/>
          <w:color w:val="000000"/>
          <w:lang w:val="pl-PL"/>
        </w:rPr>
        <w:t>Administratīvā</w:t>
      </w:r>
      <w:proofErr w:type="spellEnd"/>
      <w:r w:rsidR="000740D6" w:rsidRPr="0022499F">
        <w:rPr>
          <w:rStyle w:val="s6b621b36"/>
          <w:i/>
          <w:color w:val="000000"/>
          <w:lang w:val="pl-PL"/>
        </w:rPr>
        <w:t xml:space="preserve"> </w:t>
      </w:r>
      <w:proofErr w:type="spellStart"/>
      <w:r w:rsidR="000740D6" w:rsidRPr="0022499F">
        <w:rPr>
          <w:rStyle w:val="s6b621b36"/>
          <w:i/>
          <w:color w:val="000000"/>
          <w:lang w:val="pl-PL"/>
        </w:rPr>
        <w:t>procesa</w:t>
      </w:r>
      <w:proofErr w:type="spellEnd"/>
      <w:r w:rsidR="000740D6" w:rsidRPr="0022499F">
        <w:rPr>
          <w:rStyle w:val="s6b621b36"/>
          <w:i/>
          <w:color w:val="000000"/>
          <w:lang w:val="pl-PL"/>
        </w:rPr>
        <w:t xml:space="preserve"> </w:t>
      </w:r>
      <w:proofErr w:type="spellStart"/>
      <w:r w:rsidR="000740D6" w:rsidRPr="0022499F">
        <w:rPr>
          <w:rStyle w:val="s6b621b36"/>
          <w:i/>
          <w:color w:val="000000"/>
          <w:lang w:val="pl-PL"/>
        </w:rPr>
        <w:t>likums</w:t>
      </w:r>
      <w:proofErr w:type="spellEnd"/>
      <w:r w:rsidR="000740D6" w:rsidRPr="0022499F">
        <w:rPr>
          <w:color w:val="000000"/>
          <w:lang w:val="pl-PL"/>
        </w:rPr>
        <w:t>) wszedł w życie dnia 1 lutego 2004 roku. Zapewnia, między innymi, prawo do zaskarżania aktów administracyjnych (</w:t>
      </w:r>
      <w:proofErr w:type="spellStart"/>
      <w:r w:rsidR="000740D6" w:rsidRPr="0022499F">
        <w:rPr>
          <w:i/>
          <w:color w:val="000000"/>
          <w:lang w:val="pl-PL"/>
        </w:rPr>
        <w:t>administratīvais</w:t>
      </w:r>
      <w:proofErr w:type="spellEnd"/>
      <w:r w:rsidR="000740D6" w:rsidRPr="0022499F">
        <w:rPr>
          <w:i/>
          <w:color w:val="000000"/>
          <w:lang w:val="pl-PL"/>
        </w:rPr>
        <w:t xml:space="preserve"> </w:t>
      </w:r>
      <w:proofErr w:type="spellStart"/>
      <w:r w:rsidR="000740D6" w:rsidRPr="0022499F">
        <w:rPr>
          <w:i/>
          <w:color w:val="000000"/>
          <w:lang w:val="pl-PL"/>
        </w:rPr>
        <w:t>akts</w:t>
      </w:r>
      <w:proofErr w:type="spellEnd"/>
      <w:r w:rsidR="000740D6" w:rsidRPr="0022499F">
        <w:rPr>
          <w:color w:val="000000"/>
          <w:lang w:val="pl-PL"/>
        </w:rPr>
        <w:t>) oraz działań władz publicznych (</w:t>
      </w:r>
      <w:proofErr w:type="spellStart"/>
      <w:r w:rsidR="000740D6" w:rsidRPr="0022499F">
        <w:rPr>
          <w:rStyle w:val="sb8d990e2"/>
          <w:i/>
          <w:color w:val="000000"/>
          <w:lang w:val="pl-PL"/>
        </w:rPr>
        <w:t>faktiskā</w:t>
      </w:r>
      <w:proofErr w:type="spellEnd"/>
      <w:r w:rsidR="000740D6" w:rsidRPr="0022499F">
        <w:rPr>
          <w:rStyle w:val="sb8d990e2"/>
          <w:i/>
          <w:color w:val="000000"/>
          <w:lang w:val="pl-PL"/>
        </w:rPr>
        <w:t xml:space="preserve"> </w:t>
      </w:r>
      <w:proofErr w:type="spellStart"/>
      <w:r w:rsidR="000740D6" w:rsidRPr="0022499F">
        <w:rPr>
          <w:rStyle w:val="sb8d990e2"/>
          <w:i/>
          <w:color w:val="000000"/>
          <w:lang w:val="pl-PL"/>
        </w:rPr>
        <w:t>rīcība</w:t>
      </w:r>
      <w:proofErr w:type="spellEnd"/>
      <w:r w:rsidR="000740D6" w:rsidRPr="0022499F">
        <w:rPr>
          <w:color w:val="000000"/>
          <w:lang w:val="pl-PL"/>
        </w:rPr>
        <w:t>) przed sądami administracyjnymi.</w:t>
      </w:r>
    </w:p>
    <w:p w:rsidR="00D870DC" w:rsidRPr="0022499F" w:rsidRDefault="00DC3E30" w:rsidP="007C2CE8">
      <w:pPr>
        <w:pStyle w:val="JuPara"/>
        <w:rPr>
          <w:rStyle w:val="sb8d990e2"/>
          <w:color w:val="000000"/>
          <w:lang w:val="pl-PL"/>
        </w:rPr>
      </w:pPr>
      <w:r w:rsidRPr="0022499F">
        <w:rPr>
          <w:rStyle w:val="sb8d990e2"/>
          <w:color w:val="000000"/>
          <w:lang w:val="pl-PL"/>
        </w:rPr>
        <w:fldChar w:fldCharType="begin"/>
      </w:r>
      <w:r w:rsidR="000B32D6" w:rsidRPr="0022499F">
        <w:rPr>
          <w:rStyle w:val="sb8d990e2"/>
          <w:color w:val="000000"/>
          <w:lang w:val="pl-PL"/>
        </w:rPr>
        <w:instrText xml:space="preserve"> SEQ level0 \*arabic </w:instrText>
      </w:r>
      <w:r w:rsidRPr="0022499F">
        <w:rPr>
          <w:rStyle w:val="sb8d990e2"/>
          <w:color w:val="000000"/>
          <w:lang w:val="pl-PL"/>
        </w:rPr>
        <w:fldChar w:fldCharType="separate"/>
      </w:r>
      <w:r w:rsidR="000E0C74" w:rsidRPr="0022499F">
        <w:rPr>
          <w:rStyle w:val="sb8d990e2"/>
          <w:noProof/>
          <w:color w:val="000000"/>
          <w:lang w:val="pl-PL"/>
        </w:rPr>
        <w:t>41</w:t>
      </w:r>
      <w:r w:rsidRPr="0022499F">
        <w:rPr>
          <w:rStyle w:val="sb8d990e2"/>
          <w:color w:val="000000"/>
          <w:lang w:val="pl-PL"/>
        </w:rPr>
        <w:fldChar w:fldCharType="end"/>
      </w:r>
      <w:r w:rsidR="000B32D6" w:rsidRPr="0022499F">
        <w:rPr>
          <w:rStyle w:val="sb8d990e2"/>
          <w:color w:val="000000"/>
          <w:lang w:val="pl-PL"/>
        </w:rPr>
        <w:t>.  </w:t>
      </w:r>
      <w:r w:rsidR="000740D6" w:rsidRPr="0022499F">
        <w:rPr>
          <w:rStyle w:val="sb8d990e2"/>
          <w:color w:val="000000"/>
          <w:lang w:val="pl-PL"/>
        </w:rPr>
        <w:t>W danym czasie sekcja 1 (3) Kodeksu Postępowania Administracyjnego definiowała akt administracyjny jako</w:t>
      </w:r>
    </w:p>
    <w:p w:rsidR="000B32D6" w:rsidRPr="0022499F" w:rsidRDefault="000B32D6" w:rsidP="007C2CE8">
      <w:pPr>
        <w:pStyle w:val="JuQuot"/>
        <w:rPr>
          <w:rStyle w:val="sb8d990e2"/>
          <w:lang w:val="pl-PL"/>
        </w:rPr>
      </w:pPr>
      <w:r w:rsidRPr="0022499F">
        <w:rPr>
          <w:rStyle w:val="sb8d990e2"/>
          <w:lang w:val="pl-PL"/>
        </w:rPr>
        <w:t>“</w:t>
      </w:r>
      <w:r w:rsidR="000740D6" w:rsidRPr="0022499F">
        <w:rPr>
          <w:rStyle w:val="sb8d990e2"/>
          <w:lang w:val="pl-PL"/>
        </w:rPr>
        <w:t>decyzję ... [która] znacząco ingeruje w prawa człowieka osoby szczególnie podporządkowanej [</w:t>
      </w:r>
      <w:proofErr w:type="spellStart"/>
      <w:r w:rsidR="000740D6" w:rsidRPr="0022499F">
        <w:rPr>
          <w:rStyle w:val="sb8d990e2"/>
          <w:lang w:val="pl-PL"/>
        </w:rPr>
        <w:t>īpaši</w:t>
      </w:r>
      <w:proofErr w:type="spellEnd"/>
      <w:r w:rsidR="000740D6" w:rsidRPr="0022499F">
        <w:rPr>
          <w:rStyle w:val="sb8d990e2"/>
          <w:lang w:val="pl-PL"/>
        </w:rPr>
        <w:t xml:space="preserve"> </w:t>
      </w:r>
      <w:proofErr w:type="spellStart"/>
      <w:r w:rsidR="000740D6" w:rsidRPr="0022499F">
        <w:rPr>
          <w:rStyle w:val="sb8d990e2"/>
          <w:lang w:val="pl-PL"/>
        </w:rPr>
        <w:t>pakļauta</w:t>
      </w:r>
      <w:proofErr w:type="spellEnd"/>
      <w:r w:rsidR="000740D6" w:rsidRPr="0022499F">
        <w:rPr>
          <w:rStyle w:val="sb8d990e2"/>
          <w:lang w:val="pl-PL"/>
        </w:rPr>
        <w:t xml:space="preserve">] władzy publicznej. Wewnętrzna decyzja organu władzy publicznej, która dotyczy wyłącznie </w:t>
      </w:r>
      <w:r w:rsidR="004303A5" w:rsidRPr="0022499F">
        <w:rPr>
          <w:rStyle w:val="sb8d990e2"/>
          <w:lang w:val="pl-PL"/>
        </w:rPr>
        <w:t>tego organu</w:t>
      </w:r>
      <w:r w:rsidR="000740D6" w:rsidRPr="0022499F">
        <w:rPr>
          <w:rStyle w:val="sb8d990e2"/>
          <w:lang w:val="pl-PL"/>
        </w:rPr>
        <w:t xml:space="preserve"> [lub] osoby szczególnie podporządkowanej nie stanowi aktu administracyjnego. Nie są aktami administracyjnymi również decyzje wydane w toku procedury karnej”.</w:t>
      </w:r>
    </w:p>
    <w:bookmarkStart w:id="1" w:name="p67"/>
    <w:bookmarkStart w:id="2" w:name="domlaw_compensation"/>
    <w:bookmarkEnd w:id="1"/>
    <w:bookmarkEnd w:id="2"/>
    <w:p w:rsidR="005F1C45" w:rsidRPr="0022499F" w:rsidRDefault="00DC3E30" w:rsidP="007C2CE8">
      <w:pPr>
        <w:pStyle w:val="JuPara"/>
        <w:rPr>
          <w:color w:val="000000"/>
          <w:lang w:val="pl-PL"/>
        </w:rPr>
      </w:pPr>
      <w:r w:rsidRPr="0022499F">
        <w:rPr>
          <w:rStyle w:val="sb8d990e2"/>
          <w:color w:val="000000"/>
          <w:lang w:val="pl-PL"/>
        </w:rPr>
        <w:fldChar w:fldCharType="begin"/>
      </w:r>
      <w:r w:rsidR="00420868" w:rsidRPr="0022499F">
        <w:rPr>
          <w:rStyle w:val="sb8d990e2"/>
          <w:color w:val="000000"/>
          <w:lang w:val="pl-PL"/>
        </w:rPr>
        <w:instrText xml:space="preserve"> SEQ level0 \*arabic </w:instrText>
      </w:r>
      <w:r w:rsidRPr="0022499F">
        <w:rPr>
          <w:rStyle w:val="sb8d990e2"/>
          <w:color w:val="000000"/>
          <w:lang w:val="pl-PL"/>
        </w:rPr>
        <w:fldChar w:fldCharType="separate"/>
      </w:r>
      <w:r w:rsidR="000E0C74" w:rsidRPr="0022499F">
        <w:rPr>
          <w:rStyle w:val="sb8d990e2"/>
          <w:noProof/>
          <w:color w:val="000000"/>
          <w:lang w:val="pl-PL"/>
        </w:rPr>
        <w:t>42</w:t>
      </w:r>
      <w:r w:rsidRPr="0022499F">
        <w:rPr>
          <w:rStyle w:val="sb8d990e2"/>
          <w:color w:val="000000"/>
          <w:lang w:val="pl-PL"/>
        </w:rPr>
        <w:fldChar w:fldCharType="end"/>
      </w:r>
      <w:r w:rsidR="00420868" w:rsidRPr="0022499F">
        <w:rPr>
          <w:rStyle w:val="sb8d990e2"/>
          <w:color w:val="000000"/>
          <w:lang w:val="pl-PL"/>
        </w:rPr>
        <w:t>.  </w:t>
      </w:r>
      <w:r w:rsidR="000740D6" w:rsidRPr="0022499F">
        <w:rPr>
          <w:rStyle w:val="sb8d990e2"/>
          <w:color w:val="000000"/>
          <w:lang w:val="pl-PL"/>
        </w:rPr>
        <w:t>Na podstawie sekcji 92 Kodeksu Postępowania Administracyjnego każdy ma prawo do otrzymani</w:t>
      </w:r>
      <w:r w:rsidR="00A231BE" w:rsidRPr="0022499F">
        <w:rPr>
          <w:rStyle w:val="sb8d990e2"/>
          <w:color w:val="000000"/>
          <w:lang w:val="pl-PL"/>
        </w:rPr>
        <w:t>a odpowiedniego odszkodowania z tytułu szkody majątkowej i niemajątkowej, wyrządzonej przez akt administracyjny. Zgodnie z paragrafem</w:t>
      </w:r>
      <w:r w:rsidR="000740D6" w:rsidRPr="0022499F">
        <w:rPr>
          <w:rStyle w:val="sb8d990e2"/>
          <w:color w:val="000000"/>
          <w:lang w:val="pl-PL"/>
        </w:rPr>
        <w:t xml:space="preserve"> 93 tej samej ustawy, roszczenie o o</w:t>
      </w:r>
      <w:r w:rsidR="00A231BE" w:rsidRPr="0022499F">
        <w:rPr>
          <w:rStyle w:val="sb8d990e2"/>
          <w:color w:val="000000"/>
          <w:lang w:val="pl-PL"/>
        </w:rPr>
        <w:t>dszkodowanie może zostać złożone</w:t>
      </w:r>
      <w:r w:rsidR="000740D6" w:rsidRPr="0022499F">
        <w:rPr>
          <w:rStyle w:val="sb8d990e2"/>
          <w:color w:val="000000"/>
          <w:lang w:val="pl-PL"/>
        </w:rPr>
        <w:t xml:space="preserve"> </w:t>
      </w:r>
      <w:r w:rsidR="004303A5" w:rsidRPr="0022499F">
        <w:rPr>
          <w:rStyle w:val="sb8d990e2"/>
          <w:color w:val="000000"/>
          <w:lang w:val="pl-PL"/>
        </w:rPr>
        <w:t xml:space="preserve">albo </w:t>
      </w:r>
      <w:r w:rsidR="003154F6" w:rsidRPr="0022499F">
        <w:rPr>
          <w:rStyle w:val="sb8d990e2"/>
          <w:color w:val="000000"/>
          <w:lang w:val="pl-PL"/>
        </w:rPr>
        <w:t>do sądu administracyjnego</w:t>
      </w:r>
      <w:r w:rsidR="003154F6" w:rsidRPr="0022499F">
        <w:rPr>
          <w:rStyle w:val="sb8d990e2"/>
          <w:color w:val="000000"/>
          <w:lang w:val="pl-PL"/>
        </w:rPr>
        <w:t xml:space="preserve"> </w:t>
      </w:r>
      <w:r w:rsidR="000740D6" w:rsidRPr="0022499F">
        <w:rPr>
          <w:rStyle w:val="sb8d990e2"/>
          <w:color w:val="000000"/>
          <w:lang w:val="pl-PL"/>
        </w:rPr>
        <w:t xml:space="preserve">wraz z wnioskiem </w:t>
      </w:r>
      <w:r w:rsidR="00A231BE" w:rsidRPr="0022499F">
        <w:rPr>
          <w:rStyle w:val="sb8d990e2"/>
          <w:color w:val="000000"/>
          <w:lang w:val="pl-PL"/>
        </w:rPr>
        <w:t>o uznanie</w:t>
      </w:r>
      <w:r w:rsidR="000740D6" w:rsidRPr="0022499F">
        <w:rPr>
          <w:rStyle w:val="sb8d990e2"/>
          <w:color w:val="000000"/>
          <w:lang w:val="pl-PL"/>
        </w:rPr>
        <w:t xml:space="preserve"> aktu administracyjnego </w:t>
      </w:r>
      <w:r w:rsidR="00A231BE" w:rsidRPr="0022499F">
        <w:rPr>
          <w:rStyle w:val="sb8d990e2"/>
          <w:color w:val="000000"/>
          <w:lang w:val="pl-PL"/>
        </w:rPr>
        <w:t>za bezprawny</w:t>
      </w:r>
      <w:r w:rsidR="003154F6" w:rsidRPr="0022499F">
        <w:rPr>
          <w:rStyle w:val="sb8d990e2"/>
          <w:color w:val="000000"/>
          <w:lang w:val="pl-PL"/>
        </w:rPr>
        <w:t>,</w:t>
      </w:r>
      <w:r w:rsidR="004303A5" w:rsidRPr="0022499F">
        <w:rPr>
          <w:rStyle w:val="sb8d990e2"/>
          <w:color w:val="000000"/>
          <w:lang w:val="pl-PL"/>
        </w:rPr>
        <w:t xml:space="preserve"> al</w:t>
      </w:r>
      <w:r w:rsidR="000740D6" w:rsidRPr="0022499F">
        <w:rPr>
          <w:rStyle w:val="sb8d990e2"/>
          <w:color w:val="000000"/>
          <w:lang w:val="pl-PL"/>
        </w:rPr>
        <w:t>b</w:t>
      </w:r>
      <w:r w:rsidR="004303A5" w:rsidRPr="0022499F">
        <w:rPr>
          <w:rStyle w:val="sb8d990e2"/>
          <w:color w:val="000000"/>
          <w:lang w:val="pl-PL"/>
        </w:rPr>
        <w:t>o</w:t>
      </w:r>
      <w:r w:rsidR="000740D6" w:rsidRPr="0022499F">
        <w:rPr>
          <w:rStyle w:val="sb8d990e2"/>
          <w:color w:val="000000"/>
          <w:lang w:val="pl-PL"/>
        </w:rPr>
        <w:t xml:space="preserve"> </w:t>
      </w:r>
      <w:r w:rsidR="00A231BE" w:rsidRPr="0022499F">
        <w:rPr>
          <w:rStyle w:val="sb8d990e2"/>
          <w:color w:val="000000"/>
          <w:lang w:val="pl-PL"/>
        </w:rPr>
        <w:t>do właściwego</w:t>
      </w:r>
      <w:r w:rsidR="000740D6" w:rsidRPr="0022499F">
        <w:rPr>
          <w:rStyle w:val="sb8d990e2"/>
          <w:color w:val="000000"/>
          <w:lang w:val="pl-PL"/>
        </w:rPr>
        <w:t xml:space="preserve"> organ</w:t>
      </w:r>
      <w:r w:rsidR="00A231BE" w:rsidRPr="0022499F">
        <w:rPr>
          <w:rStyle w:val="sb8d990e2"/>
          <w:color w:val="000000"/>
          <w:lang w:val="pl-PL"/>
        </w:rPr>
        <w:t>u</w:t>
      </w:r>
      <w:r w:rsidR="000740D6" w:rsidRPr="0022499F">
        <w:rPr>
          <w:rStyle w:val="sb8d990e2"/>
          <w:color w:val="000000"/>
          <w:lang w:val="pl-PL"/>
        </w:rPr>
        <w:t xml:space="preserve"> władzy publicznej </w:t>
      </w:r>
      <w:r w:rsidR="00A231BE" w:rsidRPr="0022499F">
        <w:rPr>
          <w:rStyle w:val="sb8d990e2"/>
          <w:color w:val="000000"/>
          <w:lang w:val="pl-PL"/>
        </w:rPr>
        <w:t xml:space="preserve">po wyroku </w:t>
      </w:r>
      <w:r w:rsidR="003154F6" w:rsidRPr="0022499F">
        <w:rPr>
          <w:rStyle w:val="sb8d990e2"/>
          <w:color w:val="000000"/>
          <w:lang w:val="pl-PL"/>
        </w:rPr>
        <w:t>wydanym</w:t>
      </w:r>
      <w:r w:rsidR="00A231BE" w:rsidRPr="0022499F">
        <w:rPr>
          <w:rStyle w:val="sb8d990e2"/>
          <w:color w:val="000000"/>
          <w:lang w:val="pl-PL"/>
        </w:rPr>
        <w:t xml:space="preserve"> w takim postępowaniu</w:t>
      </w:r>
      <w:r w:rsidR="000740D6" w:rsidRPr="0022499F">
        <w:rPr>
          <w:rStyle w:val="sb8d990e2"/>
          <w:color w:val="000000"/>
          <w:lang w:val="pl-PL"/>
        </w:rPr>
        <w:t>.</w:t>
      </w:r>
    </w:p>
    <w:p w:rsidR="00FC02B4" w:rsidRPr="0022499F" w:rsidRDefault="00DC3E30" w:rsidP="00A231BE">
      <w:pPr>
        <w:pStyle w:val="JuPara"/>
        <w:tabs>
          <w:tab w:val="left" w:pos="2552"/>
        </w:tabs>
        <w:rPr>
          <w:snapToGrid w:val="0"/>
          <w:color w:val="000000"/>
          <w:szCs w:val="24"/>
          <w:lang w:val="pl-PL" w:eastAsia="en-US"/>
        </w:rPr>
      </w:pPr>
      <w:r w:rsidRPr="0022499F">
        <w:rPr>
          <w:snapToGrid w:val="0"/>
          <w:color w:val="000000"/>
          <w:szCs w:val="24"/>
          <w:lang w:val="pl-PL" w:eastAsia="en-US"/>
        </w:rPr>
        <w:lastRenderedPageBreak/>
        <w:fldChar w:fldCharType="begin"/>
      </w:r>
      <w:r w:rsidR="00B24177" w:rsidRPr="0022499F">
        <w:rPr>
          <w:snapToGrid w:val="0"/>
          <w:color w:val="000000"/>
          <w:szCs w:val="24"/>
          <w:lang w:val="pl-PL" w:eastAsia="en-US"/>
        </w:rPr>
        <w:instrText xml:space="preserve"> SEQ level0 \*arabic </w:instrText>
      </w:r>
      <w:r w:rsidRPr="0022499F">
        <w:rPr>
          <w:snapToGrid w:val="0"/>
          <w:color w:val="000000"/>
          <w:szCs w:val="24"/>
          <w:lang w:val="pl-PL" w:eastAsia="en-US"/>
        </w:rPr>
        <w:fldChar w:fldCharType="separate"/>
      </w:r>
      <w:r w:rsidR="000E0C74" w:rsidRPr="0022499F">
        <w:rPr>
          <w:noProof/>
          <w:snapToGrid w:val="0"/>
          <w:color w:val="000000"/>
          <w:szCs w:val="24"/>
          <w:lang w:val="pl-PL" w:eastAsia="en-US"/>
        </w:rPr>
        <w:t>43</w:t>
      </w:r>
      <w:r w:rsidRPr="0022499F">
        <w:rPr>
          <w:snapToGrid w:val="0"/>
          <w:color w:val="000000"/>
          <w:szCs w:val="24"/>
          <w:lang w:val="pl-PL" w:eastAsia="en-US"/>
        </w:rPr>
        <w:fldChar w:fldCharType="end"/>
      </w:r>
      <w:r w:rsidR="00B24177" w:rsidRPr="0022499F">
        <w:rPr>
          <w:snapToGrid w:val="0"/>
          <w:color w:val="000000"/>
          <w:szCs w:val="24"/>
          <w:lang w:val="pl-PL" w:eastAsia="en-US"/>
        </w:rPr>
        <w:t>.  </w:t>
      </w:r>
      <w:r w:rsidR="00A231BE" w:rsidRPr="0022499F">
        <w:rPr>
          <w:snapToGrid w:val="0"/>
          <w:color w:val="000000"/>
          <w:szCs w:val="24"/>
          <w:lang w:val="pl-PL" w:eastAsia="en-US"/>
        </w:rPr>
        <w:t>Ponadto rozdział 22 Kodeksu Postępowania Administracyjnego przewiduje możliwość s</w:t>
      </w:r>
      <w:r w:rsidR="004303A5" w:rsidRPr="0022499F">
        <w:rPr>
          <w:snapToGrid w:val="0"/>
          <w:color w:val="000000"/>
          <w:szCs w:val="24"/>
          <w:lang w:val="pl-PL" w:eastAsia="en-US"/>
        </w:rPr>
        <w:t xml:space="preserve">tosowania środków tymczasowych. </w:t>
      </w:r>
      <w:r w:rsidR="00A231BE" w:rsidRPr="0022499F">
        <w:rPr>
          <w:snapToGrid w:val="0"/>
          <w:color w:val="000000"/>
          <w:szCs w:val="24"/>
          <w:lang w:val="pl-PL" w:eastAsia="en-US"/>
        </w:rPr>
        <w:t>W brzmieniu obowiązującym w czasie właściwym dla niniejszej sprawy, sekcja 195 tej ustawy przewidywała możliwość zastosowania środków tymczasowych, jeśli istniał “powód, by uznać, że wprowadzenie w życie decyzji sądu może być trudne lub niemożliwe”. W danym czasie sekcja 197 nie określała żadnego termin</w:t>
      </w:r>
      <w:r w:rsidR="004303A5" w:rsidRPr="0022499F">
        <w:rPr>
          <w:snapToGrid w:val="0"/>
          <w:color w:val="000000"/>
          <w:szCs w:val="24"/>
          <w:lang w:val="pl-PL" w:eastAsia="en-US"/>
        </w:rPr>
        <w:t>u</w:t>
      </w:r>
      <w:r w:rsidR="00A231BE" w:rsidRPr="0022499F">
        <w:rPr>
          <w:snapToGrid w:val="0"/>
          <w:color w:val="000000"/>
          <w:szCs w:val="24"/>
          <w:lang w:val="pl-PL" w:eastAsia="en-US"/>
        </w:rPr>
        <w:t xml:space="preserve"> na rozpatrzenie wniosku o zastosowanie środków tymczasowych</w:t>
      </w:r>
      <w:r w:rsidR="00B24177" w:rsidRPr="0022499F">
        <w:rPr>
          <w:i/>
          <w:snapToGrid w:val="0"/>
          <w:color w:val="000000"/>
          <w:szCs w:val="24"/>
          <w:lang w:val="pl-PL" w:eastAsia="en-US"/>
        </w:rPr>
        <w:t>.</w:t>
      </w:r>
    </w:p>
    <w:p w:rsidR="002F4F2D" w:rsidRPr="0022499F" w:rsidRDefault="002F4F2D" w:rsidP="002F4F2D">
      <w:pPr>
        <w:pStyle w:val="JuH1"/>
        <w:rPr>
          <w:snapToGrid w:val="0"/>
          <w:lang w:val="pl-PL" w:eastAsia="en-US"/>
        </w:rPr>
      </w:pPr>
      <w:r w:rsidRPr="0022499F">
        <w:rPr>
          <w:snapToGrid w:val="0"/>
          <w:lang w:val="pl-PL" w:eastAsia="en-US"/>
        </w:rPr>
        <w:t>3</w:t>
      </w:r>
      <w:r w:rsidR="00580E6F" w:rsidRPr="0022499F">
        <w:rPr>
          <w:snapToGrid w:val="0"/>
          <w:lang w:val="pl-PL" w:eastAsia="en-US"/>
        </w:rPr>
        <w:t>.</w:t>
      </w:r>
      <w:r w:rsidRPr="0022499F">
        <w:rPr>
          <w:snapToGrid w:val="0"/>
          <w:lang w:val="pl-PL" w:eastAsia="en-US"/>
        </w:rPr>
        <w:t>  </w:t>
      </w:r>
      <w:r w:rsidR="00A231BE" w:rsidRPr="0022499F">
        <w:rPr>
          <w:snapToGrid w:val="0"/>
          <w:lang w:val="pl-PL" w:eastAsia="en-US"/>
        </w:rPr>
        <w:t>Orzecznictwo sądów administracyjnych</w:t>
      </w:r>
    </w:p>
    <w:p w:rsidR="00D870DC" w:rsidRPr="0022499F" w:rsidRDefault="00DC3E30" w:rsidP="00E32A32">
      <w:pPr>
        <w:pStyle w:val="JuPara"/>
        <w:rPr>
          <w:lang w:val="pl-PL"/>
        </w:rPr>
      </w:pPr>
      <w:r w:rsidRPr="0022499F">
        <w:rPr>
          <w:lang w:val="pl-PL"/>
        </w:rPr>
        <w:fldChar w:fldCharType="begin"/>
      </w:r>
      <w:r w:rsidR="00FC02B4" w:rsidRPr="0022499F">
        <w:rPr>
          <w:lang w:val="pl-PL"/>
        </w:rPr>
        <w:instrText xml:space="preserve"> SEQ level0 \*arabic </w:instrText>
      </w:r>
      <w:r w:rsidRPr="0022499F">
        <w:rPr>
          <w:lang w:val="pl-PL"/>
        </w:rPr>
        <w:fldChar w:fldCharType="separate"/>
      </w:r>
      <w:r w:rsidR="000E0C74" w:rsidRPr="0022499F">
        <w:rPr>
          <w:noProof/>
          <w:lang w:val="pl-PL"/>
        </w:rPr>
        <w:t>44</w:t>
      </w:r>
      <w:r w:rsidRPr="0022499F">
        <w:rPr>
          <w:lang w:val="pl-PL"/>
        </w:rPr>
        <w:fldChar w:fldCharType="end"/>
      </w:r>
      <w:r w:rsidR="00FC02B4" w:rsidRPr="0022499F">
        <w:rPr>
          <w:lang w:val="pl-PL"/>
        </w:rPr>
        <w:t>.  </w:t>
      </w:r>
      <w:r w:rsidR="0027408E" w:rsidRPr="0022499F">
        <w:rPr>
          <w:lang w:val="pl-PL"/>
        </w:rPr>
        <w:t xml:space="preserve">W dniu 7 listopada 2007 roku Senat Sądu Najwyższego </w:t>
      </w:r>
      <w:r w:rsidR="003154F6" w:rsidRPr="0022499F">
        <w:rPr>
          <w:lang w:val="pl-PL"/>
        </w:rPr>
        <w:t>wydał</w:t>
      </w:r>
      <w:r w:rsidR="0027408E" w:rsidRPr="0022499F">
        <w:rPr>
          <w:lang w:val="pl-PL"/>
        </w:rPr>
        <w:t xml:space="preserve"> decyzję (nr SKA-576/2007), w której w paragrafie 19 wyraźnie stwierdzono, że </w:t>
      </w:r>
    </w:p>
    <w:p w:rsidR="00B24177" w:rsidRPr="0022499F" w:rsidRDefault="005F1C45" w:rsidP="007C2CE8">
      <w:pPr>
        <w:pStyle w:val="JuQuot"/>
        <w:rPr>
          <w:lang w:val="pl-PL"/>
        </w:rPr>
      </w:pPr>
      <w:r w:rsidRPr="0022499F">
        <w:rPr>
          <w:lang w:val="pl-PL"/>
        </w:rPr>
        <w:t>“</w:t>
      </w:r>
      <w:r w:rsidR="004303A5" w:rsidRPr="0022499F">
        <w:rPr>
          <w:lang w:val="pl-PL"/>
        </w:rPr>
        <w:t>Odmowa Administracji Więziennej</w:t>
      </w:r>
      <w:r w:rsidR="0027408E" w:rsidRPr="0022499F">
        <w:rPr>
          <w:lang w:val="pl-PL"/>
        </w:rPr>
        <w:t xml:space="preserve"> na przeniesienie wnioskodawcy do [innego] więzienia ... nie jest … aktem administracyjnym. Jest to wewnętrzna decyzja organu władzy publicznej ... Jako wewnętrzna decyzja nie może być przedmiotem kontroli w postępowaniu administracyjnym, chyba że znacząco narusza praw</w:t>
      </w:r>
      <w:r w:rsidR="003164C1" w:rsidRPr="0022499F">
        <w:rPr>
          <w:lang w:val="pl-PL"/>
        </w:rPr>
        <w:t>a</w:t>
      </w:r>
      <w:r w:rsidR="0027408E" w:rsidRPr="0022499F">
        <w:rPr>
          <w:lang w:val="pl-PL"/>
        </w:rPr>
        <w:t xml:space="preserve"> człowieka osoby szczególnie podporządkowanej władzy publicznej</w:t>
      </w:r>
      <w:r w:rsidRPr="0022499F">
        <w:rPr>
          <w:lang w:val="pl-PL"/>
        </w:rPr>
        <w:t>”</w:t>
      </w:r>
      <w:r w:rsidR="002F4F2D" w:rsidRPr="0022499F">
        <w:rPr>
          <w:lang w:val="pl-PL"/>
        </w:rPr>
        <w:t>.</w:t>
      </w:r>
    </w:p>
    <w:p w:rsidR="002F4F2D" w:rsidRPr="0022499F" w:rsidRDefault="00DC3E30" w:rsidP="00E32A32">
      <w:pPr>
        <w:pStyle w:val="JuPara"/>
        <w:rPr>
          <w:i/>
          <w:lang w:val="pl-PL"/>
        </w:rPr>
      </w:pPr>
      <w:r w:rsidRPr="0022499F">
        <w:rPr>
          <w:lang w:val="pl-PL"/>
        </w:rPr>
        <w:fldChar w:fldCharType="begin"/>
      </w:r>
      <w:r w:rsidR="002F4F2D" w:rsidRPr="0022499F">
        <w:rPr>
          <w:lang w:val="pl-PL"/>
        </w:rPr>
        <w:instrText xml:space="preserve"> SEQ level0 \*arabic </w:instrText>
      </w:r>
      <w:r w:rsidRPr="0022499F">
        <w:rPr>
          <w:lang w:val="pl-PL"/>
        </w:rPr>
        <w:fldChar w:fldCharType="separate"/>
      </w:r>
      <w:r w:rsidR="000E0C74" w:rsidRPr="0022499F">
        <w:rPr>
          <w:noProof/>
          <w:lang w:val="pl-PL"/>
        </w:rPr>
        <w:t>45</w:t>
      </w:r>
      <w:r w:rsidRPr="0022499F">
        <w:rPr>
          <w:lang w:val="pl-PL"/>
        </w:rPr>
        <w:fldChar w:fldCharType="end"/>
      </w:r>
      <w:r w:rsidR="002F4F2D" w:rsidRPr="0022499F">
        <w:rPr>
          <w:lang w:val="pl-PL"/>
        </w:rPr>
        <w:t>.  </w:t>
      </w:r>
      <w:r w:rsidR="0027408E" w:rsidRPr="0022499F">
        <w:rPr>
          <w:lang w:val="pl-PL"/>
        </w:rPr>
        <w:t>W dniu 19 grudnia 2010 roku Senat został ponownie wezwany do zbadania, c</w:t>
      </w:r>
      <w:r w:rsidR="004303A5" w:rsidRPr="0022499F">
        <w:rPr>
          <w:lang w:val="pl-PL"/>
        </w:rPr>
        <w:t>zy decyzja Administracji Więziennej</w:t>
      </w:r>
      <w:r w:rsidR="0027408E" w:rsidRPr="0022499F">
        <w:rPr>
          <w:lang w:val="pl-PL"/>
        </w:rPr>
        <w:t xml:space="preserve"> o odmowie przeniesienia osadzonego do innego więzienia może być przedm</w:t>
      </w:r>
      <w:r w:rsidR="004303A5" w:rsidRPr="0022499F">
        <w:rPr>
          <w:lang w:val="pl-PL"/>
        </w:rPr>
        <w:t>iotem kontroli sądów</w:t>
      </w:r>
      <w:r w:rsidR="0027408E" w:rsidRPr="0022499F">
        <w:rPr>
          <w:lang w:val="pl-PL"/>
        </w:rPr>
        <w:t xml:space="preserve"> administracyjnych (decyzja nr SKA-267/2010). W paragrafie 7 tej decyzji Senat stwierdz</w:t>
      </w:r>
      <w:r w:rsidR="006C1EA2" w:rsidRPr="0022499F">
        <w:rPr>
          <w:lang w:val="pl-PL"/>
        </w:rPr>
        <w:t>ił, że w przypadku, gdy odmowa</w:t>
      </w:r>
      <w:r w:rsidR="0027408E" w:rsidRPr="0022499F">
        <w:rPr>
          <w:lang w:val="pl-PL"/>
        </w:rPr>
        <w:t xml:space="preserve"> przeniesieni</w:t>
      </w:r>
      <w:r w:rsidR="006C1EA2" w:rsidRPr="0022499F">
        <w:rPr>
          <w:lang w:val="pl-PL"/>
        </w:rPr>
        <w:t>a osadzonego znacząco ingeruje</w:t>
      </w:r>
      <w:r w:rsidR="0027408E" w:rsidRPr="0022499F">
        <w:rPr>
          <w:lang w:val="pl-PL"/>
        </w:rPr>
        <w:t xml:space="preserve"> w </w:t>
      </w:r>
      <w:r w:rsidR="006C1EA2" w:rsidRPr="0022499F">
        <w:rPr>
          <w:lang w:val="pl-PL"/>
        </w:rPr>
        <w:t>jego prawa człowieka, należy</w:t>
      </w:r>
      <w:r w:rsidR="0027408E" w:rsidRPr="0022499F">
        <w:rPr>
          <w:lang w:val="pl-PL"/>
        </w:rPr>
        <w:t xml:space="preserve"> ją uznać za akt administracyjny</w:t>
      </w:r>
      <w:r w:rsidR="00020080" w:rsidRPr="0022499F">
        <w:rPr>
          <w:i/>
          <w:lang w:val="pl-PL"/>
        </w:rPr>
        <w:t>.</w:t>
      </w:r>
    </w:p>
    <w:p w:rsidR="00F71A6A" w:rsidRPr="0022499F" w:rsidRDefault="00BD64D6" w:rsidP="008824B9">
      <w:pPr>
        <w:pStyle w:val="JuHHead"/>
        <w:rPr>
          <w:lang w:val="pl-PL"/>
        </w:rPr>
      </w:pPr>
      <w:r w:rsidRPr="0022499F">
        <w:rPr>
          <w:lang w:val="pl-PL"/>
        </w:rPr>
        <w:t>PRAWO</w:t>
      </w:r>
    </w:p>
    <w:p w:rsidR="00F71A6A" w:rsidRPr="0022499F" w:rsidRDefault="00F71A6A">
      <w:pPr>
        <w:pStyle w:val="JuHIRoman"/>
        <w:rPr>
          <w:lang w:val="pl-PL"/>
        </w:rPr>
      </w:pPr>
      <w:r w:rsidRPr="0022499F">
        <w:rPr>
          <w:lang w:val="pl-PL"/>
        </w:rPr>
        <w:t>I.  </w:t>
      </w:r>
      <w:r w:rsidR="00BD64D6" w:rsidRPr="0022499F">
        <w:rPr>
          <w:lang w:val="pl-PL"/>
        </w:rPr>
        <w:t>ZARZUT NARUSZENIA ARTYKUŁU 3 KONWENCJI</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46</w:t>
      </w:r>
      <w:r w:rsidRPr="0022499F">
        <w:rPr>
          <w:lang w:val="pl-PL"/>
        </w:rPr>
        <w:fldChar w:fldCharType="end"/>
      </w:r>
      <w:r w:rsidR="00F71A6A" w:rsidRPr="0022499F">
        <w:rPr>
          <w:lang w:val="pl-PL"/>
        </w:rPr>
        <w:t>.  </w:t>
      </w:r>
      <w:r w:rsidR="00542320" w:rsidRPr="0022499F">
        <w:rPr>
          <w:lang w:val="pl-PL"/>
        </w:rPr>
        <w:t xml:space="preserve">Skarżący zarzucił, że nie był w stanie uzyskać przeniesienia do więzienia </w:t>
      </w:r>
      <w:proofErr w:type="spellStart"/>
      <w:r w:rsidR="00542320" w:rsidRPr="0022499F">
        <w:rPr>
          <w:lang w:val="pl-PL"/>
        </w:rPr>
        <w:t>Matīsa</w:t>
      </w:r>
      <w:proofErr w:type="spellEnd"/>
      <w:r w:rsidR="00542320" w:rsidRPr="0022499F">
        <w:rPr>
          <w:lang w:val="pl-PL"/>
        </w:rPr>
        <w:t xml:space="preserve">, do którego był upoważniony przez prawo, a także że w rezultacie stał się obiektem przemocy, upokorzenia oraz cierpienia fizycznego i psychicznego w więzieniu w </w:t>
      </w:r>
      <w:proofErr w:type="spellStart"/>
      <w:r w:rsidR="00542320" w:rsidRPr="0022499F">
        <w:rPr>
          <w:lang w:val="pl-PL"/>
        </w:rPr>
        <w:t>Daugavpils</w:t>
      </w:r>
      <w:proofErr w:type="spellEnd"/>
      <w:r w:rsidR="00542320" w:rsidRPr="0022499F">
        <w:rPr>
          <w:lang w:val="pl-PL"/>
        </w:rPr>
        <w:t xml:space="preserve">. </w:t>
      </w:r>
      <w:r w:rsidR="00624870" w:rsidRPr="0022499F">
        <w:rPr>
          <w:lang w:val="pl-PL"/>
        </w:rPr>
        <w:t xml:space="preserve">Zaskarżył </w:t>
      </w:r>
      <w:r w:rsidR="00542320" w:rsidRPr="0022499F">
        <w:rPr>
          <w:lang w:val="pl-PL"/>
        </w:rPr>
        <w:t xml:space="preserve"> również brak skutecznego środka odwoławczego do właściwego organu w tym zakresie. Powołał się na Artykuły 3 i 13 Konwencji. </w:t>
      </w:r>
      <w:r w:rsidR="00624870" w:rsidRPr="0022499F">
        <w:rPr>
          <w:lang w:val="pl-PL"/>
        </w:rPr>
        <w:t xml:space="preserve">Jednak </w:t>
      </w:r>
      <w:r w:rsidR="00542320" w:rsidRPr="0022499F">
        <w:rPr>
          <w:lang w:val="pl-PL"/>
        </w:rPr>
        <w:t>Trybunał uznaje za właściwe, aby rozpatrzyć niniejsze zarzuty jedynie na podstawie Artykułu 3. Niniejszy artykuł stanowi, co następuje:</w:t>
      </w:r>
    </w:p>
    <w:p w:rsidR="005B16A8" w:rsidRPr="0022499F" w:rsidRDefault="00B24177">
      <w:pPr>
        <w:pStyle w:val="JuQuot"/>
        <w:rPr>
          <w:lang w:val="pl-PL"/>
        </w:rPr>
      </w:pPr>
      <w:r w:rsidRPr="0022499F">
        <w:rPr>
          <w:lang w:val="pl-PL"/>
        </w:rPr>
        <w:t>“</w:t>
      </w:r>
      <w:r w:rsidR="00542320" w:rsidRPr="0022499F">
        <w:rPr>
          <w:lang w:val="pl-PL"/>
        </w:rPr>
        <w:t>Nikt nie może być poddany torturom ani nieludzkiemu lub poniżającemu traktowaniu albo karaniu</w:t>
      </w:r>
      <w:r w:rsidRPr="0022499F">
        <w:rPr>
          <w:lang w:val="pl-PL"/>
        </w:rPr>
        <w:t>.”</w:t>
      </w:r>
    </w:p>
    <w:p w:rsidR="00832702" w:rsidRPr="0022499F" w:rsidRDefault="00DC3E30" w:rsidP="002F4BCF">
      <w:pPr>
        <w:pStyle w:val="JuPara"/>
        <w:rPr>
          <w:lang w:val="pl-PL"/>
        </w:rPr>
      </w:pPr>
      <w:r w:rsidRPr="0022499F">
        <w:rPr>
          <w:lang w:val="pl-PL"/>
        </w:rPr>
        <w:lastRenderedPageBreak/>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47</w:t>
      </w:r>
      <w:r w:rsidRPr="0022499F">
        <w:rPr>
          <w:lang w:val="pl-PL"/>
        </w:rPr>
        <w:fldChar w:fldCharType="end"/>
      </w:r>
      <w:r w:rsidR="00F71A6A" w:rsidRPr="0022499F">
        <w:rPr>
          <w:lang w:val="pl-PL"/>
        </w:rPr>
        <w:t>.  </w:t>
      </w:r>
      <w:r w:rsidR="00BB3607" w:rsidRPr="0022499F">
        <w:rPr>
          <w:lang w:val="pl-PL"/>
        </w:rPr>
        <w:t xml:space="preserve">Trybunał zbada dwa aspekty skargi skarżącego. Po pierwsze, jego zarzut, że był źle traktowany przez </w:t>
      </w:r>
      <w:r w:rsidR="00624870" w:rsidRPr="0022499F">
        <w:rPr>
          <w:lang w:val="pl-PL"/>
        </w:rPr>
        <w:t>współosadzonych</w:t>
      </w:r>
      <w:r w:rsidR="00BB3607" w:rsidRPr="0022499F">
        <w:rPr>
          <w:lang w:val="pl-PL"/>
        </w:rPr>
        <w:t xml:space="preserve"> w więzieniu w </w:t>
      </w:r>
      <w:proofErr w:type="spellStart"/>
      <w:r w:rsidR="00BB3607" w:rsidRPr="0022499F">
        <w:rPr>
          <w:lang w:val="pl-PL"/>
        </w:rPr>
        <w:t>Daugavpils</w:t>
      </w:r>
      <w:proofErr w:type="spellEnd"/>
      <w:r w:rsidR="00BB3607" w:rsidRPr="0022499F">
        <w:rPr>
          <w:lang w:val="pl-PL"/>
        </w:rPr>
        <w:t xml:space="preserve">, a po drugie domniemane naruszenie Artykułu 3 ze względu na opóźnienie w zarządzeniu jego przeniesienia do </w:t>
      </w:r>
      <w:r w:rsidR="00624870" w:rsidRPr="0022499F">
        <w:rPr>
          <w:lang w:val="pl-PL"/>
        </w:rPr>
        <w:t>więzienia</w:t>
      </w:r>
      <w:r w:rsidR="00BB3607" w:rsidRPr="0022499F">
        <w:rPr>
          <w:lang w:val="pl-PL"/>
        </w:rPr>
        <w:t xml:space="preserve"> </w:t>
      </w:r>
      <w:proofErr w:type="spellStart"/>
      <w:r w:rsidR="00BB3607" w:rsidRPr="0022499F">
        <w:rPr>
          <w:lang w:val="pl-PL"/>
        </w:rPr>
        <w:t>Matīsa</w:t>
      </w:r>
      <w:proofErr w:type="spellEnd"/>
      <w:r w:rsidR="00BB3607" w:rsidRPr="0022499F">
        <w:rPr>
          <w:lang w:val="pl-PL"/>
        </w:rPr>
        <w:t xml:space="preserve"> i rzekomy brak dostępności skutecznego środka odwoławczego w tym zakresie</w:t>
      </w:r>
      <w:r w:rsidR="00AF6434" w:rsidRPr="0022499F">
        <w:rPr>
          <w:i/>
          <w:lang w:val="pl-PL"/>
        </w:rPr>
        <w:t>.</w:t>
      </w:r>
    </w:p>
    <w:p w:rsidR="00F71A6A" w:rsidRPr="0022499F" w:rsidRDefault="00F71A6A" w:rsidP="008824B9">
      <w:pPr>
        <w:pStyle w:val="JuHA"/>
        <w:outlineLvl w:val="0"/>
        <w:rPr>
          <w:lang w:val="pl-PL"/>
        </w:rPr>
      </w:pPr>
      <w:r w:rsidRPr="0022499F">
        <w:rPr>
          <w:lang w:val="pl-PL"/>
        </w:rPr>
        <w:t>A.  </w:t>
      </w:r>
      <w:r w:rsidR="00624870" w:rsidRPr="0022499F">
        <w:rPr>
          <w:lang w:val="pl-PL"/>
        </w:rPr>
        <w:t>Złe traktowanie</w:t>
      </w:r>
      <w:r w:rsidR="00BB3607" w:rsidRPr="0022499F">
        <w:rPr>
          <w:lang w:val="pl-PL"/>
        </w:rPr>
        <w:t xml:space="preserve"> w </w:t>
      </w:r>
      <w:proofErr w:type="spellStart"/>
      <w:r w:rsidR="00AF6434" w:rsidRPr="0022499F">
        <w:rPr>
          <w:lang w:val="pl-PL"/>
        </w:rPr>
        <w:t>Daugavpils</w:t>
      </w:r>
      <w:proofErr w:type="spellEnd"/>
    </w:p>
    <w:p w:rsidR="00AF6434" w:rsidRPr="0022499F" w:rsidRDefault="00BB3607" w:rsidP="00AF6434">
      <w:pPr>
        <w:pStyle w:val="JuH1"/>
        <w:rPr>
          <w:lang w:val="pl-PL"/>
        </w:rPr>
      </w:pPr>
      <w:r w:rsidRPr="0022499F">
        <w:rPr>
          <w:lang w:val="pl-PL"/>
        </w:rPr>
        <w:t>Dopuszczalność</w:t>
      </w:r>
    </w:p>
    <w:p w:rsidR="00AF056F" w:rsidRPr="0022499F" w:rsidRDefault="00DC3E30" w:rsidP="002F4BCF">
      <w:pPr>
        <w:pStyle w:val="JuPara"/>
        <w:rPr>
          <w:i/>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48</w:t>
      </w:r>
      <w:r w:rsidRPr="0022499F">
        <w:rPr>
          <w:lang w:val="pl-PL"/>
        </w:rPr>
        <w:fldChar w:fldCharType="end"/>
      </w:r>
      <w:r w:rsidR="00F71A6A" w:rsidRPr="0022499F">
        <w:rPr>
          <w:lang w:val="pl-PL"/>
        </w:rPr>
        <w:t>.  </w:t>
      </w:r>
      <w:r w:rsidR="008E3F77" w:rsidRPr="0022499F">
        <w:rPr>
          <w:lang w:val="pl-PL"/>
        </w:rPr>
        <w:t>Rząd argumentował, że żądanie skarżącego jest niedopuszczalne, ponieważ nie wyczerpał środków krajowych; w szczególnoś</w:t>
      </w:r>
      <w:r w:rsidR="00624870" w:rsidRPr="0022499F">
        <w:rPr>
          <w:lang w:val="pl-PL"/>
        </w:rPr>
        <w:t xml:space="preserve">ci nie zaskarżył rzekomego </w:t>
      </w:r>
      <w:r w:rsidR="008E3F77" w:rsidRPr="0022499F">
        <w:rPr>
          <w:lang w:val="pl-PL"/>
        </w:rPr>
        <w:t>złego traktowania</w:t>
      </w:r>
      <w:r w:rsidR="00624870" w:rsidRPr="0022499F">
        <w:rPr>
          <w:lang w:val="pl-PL"/>
        </w:rPr>
        <w:t xml:space="preserve"> do prokuratury. Alternatywnie </w:t>
      </w:r>
      <w:r w:rsidR="008E3F77" w:rsidRPr="0022499F">
        <w:rPr>
          <w:lang w:val="pl-PL"/>
        </w:rPr>
        <w:t>Rząd stwierdził, że zarzut skarż</w:t>
      </w:r>
      <w:r w:rsidR="00624870" w:rsidRPr="0022499F">
        <w:rPr>
          <w:lang w:val="pl-PL"/>
        </w:rPr>
        <w:t>ącego jest oczywiście bezzasadny</w:t>
      </w:r>
      <w:r w:rsidR="008E3F77" w:rsidRPr="0022499F">
        <w:rPr>
          <w:lang w:val="pl-PL"/>
        </w:rPr>
        <w:t xml:space="preserve">, ponieważ nie przedstawił </w:t>
      </w:r>
      <w:r w:rsidR="00624870" w:rsidRPr="0022499F">
        <w:rPr>
          <w:lang w:val="pl-PL"/>
        </w:rPr>
        <w:t xml:space="preserve">żadnemu organowi krajowemu ani Trybunałowi </w:t>
      </w:r>
      <w:r w:rsidR="008E3F77" w:rsidRPr="0022499F">
        <w:rPr>
          <w:lang w:val="pl-PL"/>
        </w:rPr>
        <w:t>spójnego i szczegółowego dowodu na okoliczność złego traktowania.</w:t>
      </w:r>
    </w:p>
    <w:p w:rsidR="00E718DF" w:rsidRPr="0022499F" w:rsidRDefault="00DC3E30" w:rsidP="002F4BCF">
      <w:pPr>
        <w:pStyle w:val="JuPara"/>
        <w:rPr>
          <w:lang w:val="pl-PL"/>
        </w:rPr>
      </w:pPr>
      <w:r w:rsidRPr="0022499F">
        <w:rPr>
          <w:lang w:val="pl-PL"/>
        </w:rPr>
        <w:fldChar w:fldCharType="begin"/>
      </w:r>
      <w:r w:rsidR="00E718DF" w:rsidRPr="0022499F">
        <w:rPr>
          <w:lang w:val="pl-PL"/>
        </w:rPr>
        <w:instrText xml:space="preserve"> SEQ level0 \*arabic </w:instrText>
      </w:r>
      <w:r w:rsidRPr="0022499F">
        <w:rPr>
          <w:lang w:val="pl-PL"/>
        </w:rPr>
        <w:fldChar w:fldCharType="separate"/>
      </w:r>
      <w:r w:rsidR="000E0C74" w:rsidRPr="0022499F">
        <w:rPr>
          <w:noProof/>
          <w:lang w:val="pl-PL"/>
        </w:rPr>
        <w:t>49</w:t>
      </w:r>
      <w:r w:rsidRPr="0022499F">
        <w:rPr>
          <w:lang w:val="pl-PL"/>
        </w:rPr>
        <w:fldChar w:fldCharType="end"/>
      </w:r>
      <w:r w:rsidR="00E718DF" w:rsidRPr="0022499F">
        <w:rPr>
          <w:lang w:val="pl-PL"/>
        </w:rPr>
        <w:t>.  </w:t>
      </w:r>
      <w:r w:rsidR="008E3F77" w:rsidRPr="0022499F">
        <w:rPr>
          <w:lang w:val="pl-PL"/>
        </w:rPr>
        <w:t>Skarżący utrzymywał, że został napadnięty przez innych więźniów.</w:t>
      </w:r>
    </w:p>
    <w:p w:rsidR="00F71A6A" w:rsidRPr="0022499F" w:rsidRDefault="00DC3E30" w:rsidP="002F4BCF">
      <w:pPr>
        <w:pStyle w:val="JuPara"/>
        <w:rPr>
          <w:i/>
          <w:lang w:val="pl-PL"/>
        </w:rPr>
      </w:pPr>
      <w:r w:rsidRPr="0022499F">
        <w:rPr>
          <w:lang w:val="pl-PL"/>
        </w:rPr>
        <w:fldChar w:fldCharType="begin"/>
      </w:r>
      <w:r w:rsidR="00376B13" w:rsidRPr="0022499F">
        <w:rPr>
          <w:lang w:val="pl-PL"/>
        </w:rPr>
        <w:instrText xml:space="preserve"> SEQ level0 \*arabic </w:instrText>
      </w:r>
      <w:r w:rsidRPr="0022499F">
        <w:rPr>
          <w:lang w:val="pl-PL"/>
        </w:rPr>
        <w:fldChar w:fldCharType="separate"/>
      </w:r>
      <w:r w:rsidR="000E0C74" w:rsidRPr="0022499F">
        <w:rPr>
          <w:noProof/>
          <w:lang w:val="pl-PL"/>
        </w:rPr>
        <w:t>50</w:t>
      </w:r>
      <w:r w:rsidRPr="0022499F">
        <w:rPr>
          <w:lang w:val="pl-PL"/>
        </w:rPr>
        <w:fldChar w:fldCharType="end"/>
      </w:r>
      <w:r w:rsidR="00376B13" w:rsidRPr="0022499F">
        <w:rPr>
          <w:lang w:val="pl-PL"/>
        </w:rPr>
        <w:t>.  </w:t>
      </w:r>
      <w:r w:rsidR="00624870" w:rsidRPr="0022499F">
        <w:rPr>
          <w:lang w:val="pl-PL"/>
        </w:rPr>
        <w:t>Trybunał</w:t>
      </w:r>
      <w:r w:rsidR="008E3F77" w:rsidRPr="0022499F">
        <w:rPr>
          <w:lang w:val="pl-PL"/>
        </w:rPr>
        <w:t xml:space="preserve"> nie musi </w:t>
      </w:r>
      <w:r w:rsidR="00624870" w:rsidRPr="0022499F">
        <w:rPr>
          <w:lang w:val="pl-PL"/>
        </w:rPr>
        <w:t>rozstrzygać</w:t>
      </w:r>
      <w:r w:rsidR="008E3F77" w:rsidRPr="0022499F">
        <w:rPr>
          <w:lang w:val="pl-PL"/>
        </w:rPr>
        <w:t xml:space="preserve">, czy skarżący zaskarżył rzekome </w:t>
      </w:r>
      <w:r w:rsidR="00C26B40" w:rsidRPr="0022499F">
        <w:rPr>
          <w:lang w:val="pl-PL"/>
        </w:rPr>
        <w:t>znęcanie się nad nim</w:t>
      </w:r>
      <w:r w:rsidR="008E3F77" w:rsidRPr="0022499F">
        <w:rPr>
          <w:lang w:val="pl-PL"/>
        </w:rPr>
        <w:t xml:space="preserve"> do jakiegokolwiek organu krajowego lub czy skarga do prokuratury rzeczywiście może być uznana za skuteczny środek krajowy, ponieważ zarzut ten jest w każdym razie oczywiście bezzasadny</w:t>
      </w:r>
      <w:r w:rsidR="00376B13" w:rsidRPr="0022499F">
        <w:rPr>
          <w:i/>
          <w:lang w:val="pl-PL"/>
        </w:rPr>
        <w:t>.</w:t>
      </w:r>
    </w:p>
    <w:p w:rsidR="00D870DC" w:rsidRPr="0022499F" w:rsidRDefault="00DC3E30" w:rsidP="00424DA5">
      <w:pPr>
        <w:pStyle w:val="JuPara"/>
        <w:outlineLvl w:val="0"/>
        <w:rPr>
          <w:i/>
          <w:lang w:val="pl-PL"/>
        </w:rPr>
      </w:pPr>
      <w:r w:rsidRPr="0022499F">
        <w:rPr>
          <w:lang w:val="pl-PL"/>
        </w:rPr>
        <w:fldChar w:fldCharType="begin"/>
      </w:r>
      <w:r w:rsidR="00376B13" w:rsidRPr="0022499F">
        <w:rPr>
          <w:lang w:val="pl-PL"/>
        </w:rPr>
        <w:instrText xml:space="preserve"> SEQ level0 \*arabic </w:instrText>
      </w:r>
      <w:r w:rsidRPr="0022499F">
        <w:rPr>
          <w:lang w:val="pl-PL"/>
        </w:rPr>
        <w:fldChar w:fldCharType="separate"/>
      </w:r>
      <w:r w:rsidR="000E0C74" w:rsidRPr="0022499F">
        <w:rPr>
          <w:noProof/>
          <w:lang w:val="pl-PL"/>
        </w:rPr>
        <w:t>51</w:t>
      </w:r>
      <w:r w:rsidRPr="0022499F">
        <w:rPr>
          <w:lang w:val="pl-PL"/>
        </w:rPr>
        <w:fldChar w:fldCharType="end"/>
      </w:r>
      <w:r w:rsidR="00376B13" w:rsidRPr="0022499F">
        <w:rPr>
          <w:lang w:val="pl-PL"/>
        </w:rPr>
        <w:t>.  </w:t>
      </w:r>
      <w:r w:rsidR="008E3F77" w:rsidRPr="0022499F">
        <w:rPr>
          <w:lang w:val="pl-PL"/>
        </w:rPr>
        <w:t xml:space="preserve">Odwołując się do orzecznictwa w zakresie ciężaru dowodu oraz standardu dowodu w sprawach dotyczących Artykułu 3 (zestawionych przykładowo w sprawie </w:t>
      </w:r>
      <w:proofErr w:type="spellStart"/>
      <w:r w:rsidR="008E3F77" w:rsidRPr="0022499F">
        <w:rPr>
          <w:i/>
          <w:lang w:val="pl-PL"/>
        </w:rPr>
        <w:t>Igars</w:t>
      </w:r>
      <w:proofErr w:type="spellEnd"/>
      <w:r w:rsidR="008E3F77" w:rsidRPr="0022499F">
        <w:rPr>
          <w:i/>
          <w:lang w:val="pl-PL"/>
        </w:rPr>
        <w:t xml:space="preserve"> przeciwko Łotwie</w:t>
      </w:r>
      <w:r w:rsidR="008E3F77" w:rsidRPr="0022499F">
        <w:rPr>
          <w:lang w:val="pl-PL"/>
        </w:rPr>
        <w:t xml:space="preserve"> (</w:t>
      </w:r>
      <w:proofErr w:type="spellStart"/>
      <w:r w:rsidR="008E3F77" w:rsidRPr="0022499F">
        <w:rPr>
          <w:lang w:val="pl-PL"/>
        </w:rPr>
        <w:t>dec</w:t>
      </w:r>
      <w:proofErr w:type="spellEnd"/>
      <w:r w:rsidR="008E3F77" w:rsidRPr="0022499F">
        <w:rPr>
          <w:lang w:val="pl-PL"/>
        </w:rPr>
        <w:t>.), nr</w:t>
      </w:r>
      <w:r w:rsidR="007D7DB1" w:rsidRPr="0022499F">
        <w:rPr>
          <w:lang w:val="pl-PL"/>
        </w:rPr>
        <w:t xml:space="preserve"> 11682/03, §§ 64-67, </w:t>
      </w:r>
      <w:r w:rsidR="008E3F77" w:rsidRPr="0022499F">
        <w:rPr>
          <w:lang w:val="pl-PL"/>
        </w:rPr>
        <w:t xml:space="preserve">5 lutego 2013 ), Trybunał zauważa, że skarżący nie przedstawił żadnych szczegółów </w:t>
      </w:r>
      <w:r w:rsidR="00624870" w:rsidRPr="0022499F">
        <w:rPr>
          <w:lang w:val="pl-PL"/>
        </w:rPr>
        <w:t>rzekomego złego traktowania</w:t>
      </w:r>
      <w:r w:rsidR="007D7DB1" w:rsidRPr="0022499F">
        <w:rPr>
          <w:lang w:val="pl-PL"/>
        </w:rPr>
        <w:t xml:space="preserve"> (takich jak</w:t>
      </w:r>
      <w:r w:rsidR="008E3F77" w:rsidRPr="0022499F">
        <w:rPr>
          <w:lang w:val="pl-PL"/>
        </w:rPr>
        <w:t xml:space="preserve"> kiedy, gdzie, przez kogo i </w:t>
      </w:r>
      <w:r w:rsidR="007D7DB1" w:rsidRPr="0022499F">
        <w:rPr>
          <w:lang w:val="pl-PL"/>
        </w:rPr>
        <w:t>w jaki sposób był</w:t>
      </w:r>
      <w:r w:rsidR="008E3F77" w:rsidRPr="0022499F">
        <w:rPr>
          <w:lang w:val="pl-PL"/>
        </w:rPr>
        <w:t xml:space="preserve"> </w:t>
      </w:r>
      <w:r w:rsidR="007D7DB1" w:rsidRPr="0022499F">
        <w:rPr>
          <w:lang w:val="pl-PL"/>
        </w:rPr>
        <w:t>źle traktowany</w:t>
      </w:r>
      <w:r w:rsidR="008E3F77" w:rsidRPr="0022499F">
        <w:rPr>
          <w:lang w:val="pl-PL"/>
        </w:rPr>
        <w:t xml:space="preserve">), jak również nie </w:t>
      </w:r>
      <w:r w:rsidR="00624870" w:rsidRPr="0022499F">
        <w:rPr>
          <w:lang w:val="pl-PL"/>
        </w:rPr>
        <w:t>przedstawił</w:t>
      </w:r>
      <w:r w:rsidR="007D7DB1" w:rsidRPr="0022499F">
        <w:rPr>
          <w:lang w:val="pl-PL"/>
        </w:rPr>
        <w:t xml:space="preserve"> żadnych dowodów na to, że </w:t>
      </w:r>
      <w:r w:rsidR="008E3F77" w:rsidRPr="0022499F">
        <w:rPr>
          <w:lang w:val="pl-PL"/>
        </w:rPr>
        <w:t>poniósł jakiekolwiek urazy (</w:t>
      </w:r>
      <w:r w:rsidR="007D7DB1" w:rsidRPr="0022499F">
        <w:rPr>
          <w:lang w:val="pl-PL"/>
        </w:rPr>
        <w:t>zobacz, w przeciwieństwie do niniejszego</w:t>
      </w:r>
      <w:r w:rsidR="008E3F77" w:rsidRPr="0022499F">
        <w:rPr>
          <w:lang w:val="pl-PL"/>
        </w:rPr>
        <w:t xml:space="preserve">, </w:t>
      </w:r>
      <w:r w:rsidR="008E3F77" w:rsidRPr="0022499F">
        <w:rPr>
          <w:i/>
          <w:lang w:val="pl-PL"/>
        </w:rPr>
        <w:t>J</w:t>
      </w:r>
      <w:r w:rsidR="007D7DB1" w:rsidRPr="0022499F">
        <w:rPr>
          <w:i/>
          <w:lang w:val="pl-PL"/>
        </w:rPr>
        <w:t>.</w:t>
      </w:r>
      <w:r w:rsidR="008E3F77" w:rsidRPr="0022499F">
        <w:rPr>
          <w:i/>
          <w:lang w:val="pl-PL"/>
        </w:rPr>
        <w:t>L</w:t>
      </w:r>
      <w:r w:rsidR="007D7DB1" w:rsidRPr="0022499F">
        <w:rPr>
          <w:i/>
          <w:lang w:val="pl-PL"/>
        </w:rPr>
        <w:t>. przeciwko Łotwie</w:t>
      </w:r>
      <w:r w:rsidR="007D7DB1" w:rsidRPr="0022499F">
        <w:rPr>
          <w:lang w:val="pl-PL"/>
        </w:rPr>
        <w:t>, nr</w:t>
      </w:r>
      <w:r w:rsidR="008E3F77" w:rsidRPr="0022499F">
        <w:rPr>
          <w:lang w:val="pl-PL"/>
        </w:rPr>
        <w:t xml:space="preserve"> 23893/06, §§ 71-75, 17 kwietnia 2012).</w:t>
      </w:r>
      <w:r w:rsidR="007D7DB1" w:rsidRPr="0022499F">
        <w:rPr>
          <w:lang w:val="pl-PL"/>
        </w:rPr>
        <w:t xml:space="preserve"> Niniejsze całkowicie kontrastuje przykładowo ze szczegółowym</w:t>
      </w:r>
      <w:r w:rsidR="008E3F77" w:rsidRPr="0022499F">
        <w:rPr>
          <w:lang w:val="pl-PL"/>
        </w:rPr>
        <w:t xml:space="preserve"> </w:t>
      </w:r>
      <w:r w:rsidR="00624870" w:rsidRPr="0022499F">
        <w:rPr>
          <w:lang w:val="pl-PL"/>
        </w:rPr>
        <w:t>opisem</w:t>
      </w:r>
      <w:r w:rsidR="008E3F77" w:rsidRPr="0022499F">
        <w:rPr>
          <w:lang w:val="pl-PL"/>
        </w:rPr>
        <w:t xml:space="preserve"> </w:t>
      </w:r>
      <w:r w:rsidR="00624870" w:rsidRPr="0022499F">
        <w:rPr>
          <w:lang w:val="pl-PL"/>
        </w:rPr>
        <w:t>złego traktowania,</w:t>
      </w:r>
      <w:r w:rsidR="00C26B40" w:rsidRPr="0022499F">
        <w:rPr>
          <w:lang w:val="pl-PL"/>
        </w:rPr>
        <w:t xml:space="preserve"> jakiego doświadczył ze strony </w:t>
      </w:r>
      <w:r w:rsidR="008E3F77" w:rsidRPr="0022499F">
        <w:rPr>
          <w:lang w:val="pl-PL"/>
        </w:rPr>
        <w:t xml:space="preserve">innych </w:t>
      </w:r>
      <w:r w:rsidR="007D7DB1" w:rsidRPr="0022499F">
        <w:rPr>
          <w:lang w:val="pl-PL"/>
        </w:rPr>
        <w:t>osadzonych w więzieniu</w:t>
      </w:r>
      <w:r w:rsidR="008E3F77" w:rsidRPr="0022499F">
        <w:rPr>
          <w:lang w:val="pl-PL"/>
        </w:rPr>
        <w:t xml:space="preserve"> w </w:t>
      </w:r>
      <w:proofErr w:type="spellStart"/>
      <w:r w:rsidR="008E3F77" w:rsidRPr="0022499F">
        <w:rPr>
          <w:lang w:val="pl-PL"/>
        </w:rPr>
        <w:t>Daugavpils</w:t>
      </w:r>
      <w:proofErr w:type="spellEnd"/>
      <w:r w:rsidR="008E3F77" w:rsidRPr="0022499F">
        <w:rPr>
          <w:lang w:val="pl-PL"/>
        </w:rPr>
        <w:t xml:space="preserve">, </w:t>
      </w:r>
      <w:r w:rsidR="007D7DB1" w:rsidRPr="0022499F">
        <w:rPr>
          <w:lang w:val="pl-PL"/>
        </w:rPr>
        <w:t>które skarżący przedstawił Pro</w:t>
      </w:r>
      <w:r w:rsidR="004A064D" w:rsidRPr="0022499F">
        <w:rPr>
          <w:lang w:val="pl-PL"/>
        </w:rPr>
        <w:t>kuratorowi Generalnemu (zobacz punkt</w:t>
      </w:r>
      <w:r w:rsidR="008E3F77" w:rsidRPr="0022499F">
        <w:rPr>
          <w:lang w:val="pl-PL"/>
        </w:rPr>
        <w:t xml:space="preserve"> 16 powyżej).</w:t>
      </w:r>
      <w:r w:rsidR="007D7DB1" w:rsidRPr="0022499F">
        <w:rPr>
          <w:lang w:val="pl-PL"/>
        </w:rPr>
        <w:t xml:space="preserve"> Trybunał bierze pod uwagę, że skarżący</w:t>
      </w:r>
      <w:r w:rsidR="003164C1" w:rsidRPr="0022499F">
        <w:rPr>
          <w:lang w:val="pl-PL"/>
        </w:rPr>
        <w:t xml:space="preserve"> miał</w:t>
      </w:r>
      <w:r w:rsidR="008E3F77" w:rsidRPr="0022499F">
        <w:rPr>
          <w:lang w:val="pl-PL"/>
        </w:rPr>
        <w:t>by możliwość</w:t>
      </w:r>
      <w:r w:rsidR="00624870" w:rsidRPr="0022499F">
        <w:rPr>
          <w:lang w:val="pl-PL"/>
        </w:rPr>
        <w:t>, aby</w:t>
      </w:r>
      <w:r w:rsidR="008E3F77" w:rsidRPr="0022499F">
        <w:rPr>
          <w:lang w:val="pl-PL"/>
        </w:rPr>
        <w:t xml:space="preserve"> </w:t>
      </w:r>
      <w:r w:rsidR="007D7DB1" w:rsidRPr="0022499F">
        <w:rPr>
          <w:lang w:val="pl-PL"/>
        </w:rPr>
        <w:t xml:space="preserve">zaskarżyć rzekome </w:t>
      </w:r>
      <w:r w:rsidR="00C26B40" w:rsidRPr="0022499F">
        <w:rPr>
          <w:lang w:val="pl-PL"/>
        </w:rPr>
        <w:t>z</w:t>
      </w:r>
      <w:r w:rsidR="00624870" w:rsidRPr="0022499F">
        <w:rPr>
          <w:lang w:val="pl-PL"/>
        </w:rPr>
        <w:t>łe traktowanie</w:t>
      </w:r>
      <w:r w:rsidR="007D7DB1" w:rsidRPr="0022499F">
        <w:rPr>
          <w:lang w:val="pl-PL"/>
        </w:rPr>
        <w:t xml:space="preserve">. </w:t>
      </w:r>
      <w:r w:rsidR="00624870" w:rsidRPr="0022499F">
        <w:rPr>
          <w:lang w:val="pl-PL"/>
        </w:rPr>
        <w:t>Mógłby to zrobić n</w:t>
      </w:r>
      <w:r w:rsidR="007D7DB1" w:rsidRPr="0022499F">
        <w:rPr>
          <w:lang w:val="pl-PL"/>
        </w:rPr>
        <w:t xml:space="preserve">a przykład </w:t>
      </w:r>
      <w:r w:rsidR="008E3F77" w:rsidRPr="0022499F">
        <w:rPr>
          <w:lang w:val="pl-PL"/>
        </w:rPr>
        <w:t>podczas rozmowy z prokuratorem w dniu 17 stycznia 2006 roku (</w:t>
      </w:r>
      <w:r w:rsidR="007D7DB1" w:rsidRPr="0022499F">
        <w:rPr>
          <w:lang w:val="pl-PL"/>
        </w:rPr>
        <w:t xml:space="preserve">zobacz </w:t>
      </w:r>
      <w:r w:rsidR="004A064D" w:rsidRPr="0022499F">
        <w:rPr>
          <w:lang w:val="pl-PL"/>
        </w:rPr>
        <w:t xml:space="preserve">punkt </w:t>
      </w:r>
      <w:r w:rsidR="007D7DB1" w:rsidRPr="0022499F">
        <w:rPr>
          <w:lang w:val="pl-PL"/>
        </w:rPr>
        <w:t>10 powyżej)</w:t>
      </w:r>
      <w:r w:rsidR="007D7DB1" w:rsidRPr="0022499F">
        <w:rPr>
          <w:i/>
          <w:lang w:val="pl-PL"/>
        </w:rPr>
        <w:t>.</w:t>
      </w:r>
      <w:r w:rsidR="00624870" w:rsidRPr="0022499F">
        <w:rPr>
          <w:i/>
          <w:lang w:val="pl-PL"/>
        </w:rPr>
        <w:t xml:space="preserve"> </w:t>
      </w:r>
      <w:r w:rsidR="007D7DB1" w:rsidRPr="0022499F">
        <w:rPr>
          <w:lang w:val="pl-PL"/>
        </w:rPr>
        <w:t>Skarżący nie</w:t>
      </w:r>
      <w:r w:rsidR="008E3F77" w:rsidRPr="0022499F">
        <w:rPr>
          <w:lang w:val="pl-PL"/>
        </w:rPr>
        <w:t xml:space="preserve"> </w:t>
      </w:r>
      <w:r w:rsidR="007D7DB1" w:rsidRPr="0022499F">
        <w:rPr>
          <w:lang w:val="pl-PL"/>
        </w:rPr>
        <w:t>utrzymywał,</w:t>
      </w:r>
      <w:r w:rsidR="008E3F77" w:rsidRPr="0022499F">
        <w:rPr>
          <w:lang w:val="pl-PL"/>
        </w:rPr>
        <w:t xml:space="preserve"> że </w:t>
      </w:r>
      <w:r w:rsidR="007D7DB1" w:rsidRPr="0022499F">
        <w:rPr>
          <w:lang w:val="pl-PL"/>
        </w:rPr>
        <w:t xml:space="preserve">wniósł </w:t>
      </w:r>
      <w:r w:rsidR="00624870" w:rsidRPr="0022499F">
        <w:rPr>
          <w:lang w:val="pl-PL"/>
        </w:rPr>
        <w:t>jakąś</w:t>
      </w:r>
      <w:r w:rsidR="008E3F77" w:rsidRPr="0022499F">
        <w:rPr>
          <w:lang w:val="pl-PL"/>
        </w:rPr>
        <w:t xml:space="preserve"> skarg</w:t>
      </w:r>
      <w:r w:rsidR="00624870" w:rsidRPr="0022499F">
        <w:rPr>
          <w:lang w:val="pl-PL"/>
        </w:rPr>
        <w:t>ę</w:t>
      </w:r>
      <w:r w:rsidR="008E3F77" w:rsidRPr="0022499F">
        <w:rPr>
          <w:lang w:val="pl-PL"/>
        </w:rPr>
        <w:t xml:space="preserve">, a </w:t>
      </w:r>
      <w:r w:rsidR="007D7DB1" w:rsidRPr="0022499F">
        <w:rPr>
          <w:lang w:val="pl-PL"/>
        </w:rPr>
        <w:t>z materiałów zgromadzonych w aktach sprawy nie wynika, że to zrobił. Wobec tego</w:t>
      </w:r>
      <w:r w:rsidR="008E3F77" w:rsidRPr="0022499F">
        <w:rPr>
          <w:lang w:val="pl-PL"/>
        </w:rPr>
        <w:t xml:space="preserve">, w przeciwieństwie do </w:t>
      </w:r>
      <w:r w:rsidR="007D7DB1" w:rsidRPr="0022499F">
        <w:rPr>
          <w:lang w:val="pl-PL"/>
        </w:rPr>
        <w:t>wyż</w:t>
      </w:r>
      <w:r w:rsidR="008E3F77" w:rsidRPr="0022499F">
        <w:rPr>
          <w:lang w:val="pl-PL"/>
        </w:rPr>
        <w:t xml:space="preserve">ej </w:t>
      </w:r>
      <w:r w:rsidR="007D7DB1" w:rsidRPr="0022499F">
        <w:rPr>
          <w:lang w:val="pl-PL"/>
        </w:rPr>
        <w:t>wspomnianej sprawy</w:t>
      </w:r>
      <w:r w:rsidR="008E3F77" w:rsidRPr="0022499F">
        <w:rPr>
          <w:lang w:val="pl-PL"/>
        </w:rPr>
        <w:t xml:space="preserve"> </w:t>
      </w:r>
      <w:r w:rsidR="008E3F77" w:rsidRPr="0022499F">
        <w:rPr>
          <w:i/>
          <w:lang w:val="pl-PL"/>
        </w:rPr>
        <w:t>J</w:t>
      </w:r>
      <w:r w:rsidR="007D7DB1" w:rsidRPr="0022499F">
        <w:rPr>
          <w:i/>
          <w:lang w:val="pl-PL"/>
        </w:rPr>
        <w:t>.</w:t>
      </w:r>
      <w:r w:rsidR="008E3F77" w:rsidRPr="0022499F">
        <w:rPr>
          <w:i/>
          <w:lang w:val="pl-PL"/>
        </w:rPr>
        <w:t>L</w:t>
      </w:r>
      <w:r w:rsidR="007D7DB1" w:rsidRPr="0022499F">
        <w:rPr>
          <w:i/>
          <w:lang w:val="pl-PL"/>
        </w:rPr>
        <w:t>. przeciwko Łotwie</w:t>
      </w:r>
      <w:r w:rsidR="008E3F77" w:rsidRPr="0022499F">
        <w:rPr>
          <w:lang w:val="pl-PL"/>
        </w:rPr>
        <w:t xml:space="preserve">, Trybunał nie </w:t>
      </w:r>
      <w:r w:rsidR="00624870" w:rsidRPr="0022499F">
        <w:rPr>
          <w:lang w:val="pl-PL"/>
        </w:rPr>
        <w:t>dysponuje żadnymi bezpośrednimi informacjami</w:t>
      </w:r>
      <w:r w:rsidR="008E3F77" w:rsidRPr="0022499F">
        <w:rPr>
          <w:lang w:val="pl-PL"/>
        </w:rPr>
        <w:t xml:space="preserve"> o </w:t>
      </w:r>
      <w:r w:rsidR="007D7DB1" w:rsidRPr="0022499F">
        <w:rPr>
          <w:lang w:val="pl-PL"/>
        </w:rPr>
        <w:t>jakichkolwiek urazach</w:t>
      </w:r>
      <w:r w:rsidR="00624870" w:rsidRPr="0022499F">
        <w:rPr>
          <w:lang w:val="pl-PL"/>
        </w:rPr>
        <w:t>,</w:t>
      </w:r>
      <w:r w:rsidR="007D7DB1" w:rsidRPr="0022499F">
        <w:rPr>
          <w:lang w:val="pl-PL"/>
        </w:rPr>
        <w:t xml:space="preserve"> rzekomo poniesionych przez skarżącego, ani nie zna żadnych</w:t>
      </w:r>
      <w:r w:rsidR="008E3F77" w:rsidRPr="0022499F">
        <w:rPr>
          <w:lang w:val="pl-PL"/>
        </w:rPr>
        <w:t xml:space="preserve"> okoliczności</w:t>
      </w:r>
      <w:r w:rsidR="007D7DB1" w:rsidRPr="0022499F">
        <w:rPr>
          <w:lang w:val="pl-PL"/>
        </w:rPr>
        <w:t xml:space="preserve"> faktycznych</w:t>
      </w:r>
      <w:r w:rsidR="008E3F77" w:rsidRPr="0022499F">
        <w:rPr>
          <w:lang w:val="pl-PL"/>
        </w:rPr>
        <w:t xml:space="preserve">, </w:t>
      </w:r>
      <w:r w:rsidR="007D7DB1" w:rsidRPr="0022499F">
        <w:rPr>
          <w:lang w:val="pl-PL"/>
        </w:rPr>
        <w:t>z</w:t>
      </w:r>
      <w:r w:rsidR="008E3F77" w:rsidRPr="0022499F">
        <w:rPr>
          <w:lang w:val="pl-PL"/>
        </w:rPr>
        <w:t xml:space="preserve"> których takie wnioski </w:t>
      </w:r>
      <w:r w:rsidR="00102A0F" w:rsidRPr="0022499F">
        <w:rPr>
          <w:lang w:val="pl-PL"/>
        </w:rPr>
        <w:t>mogłyby wynikać</w:t>
      </w:r>
      <w:r w:rsidR="00516C7B" w:rsidRPr="0022499F">
        <w:rPr>
          <w:i/>
          <w:lang w:val="pl-PL"/>
        </w:rPr>
        <w:t>.</w:t>
      </w:r>
    </w:p>
    <w:p w:rsidR="00376B13" w:rsidRPr="0022499F" w:rsidRDefault="00DC3E30" w:rsidP="004A064D">
      <w:pPr>
        <w:pStyle w:val="JuPara"/>
        <w:tabs>
          <w:tab w:val="left" w:pos="1418"/>
        </w:tabs>
        <w:rPr>
          <w:i/>
          <w:lang w:val="pl-PL"/>
        </w:rPr>
      </w:pPr>
      <w:r w:rsidRPr="0022499F">
        <w:rPr>
          <w:lang w:val="pl-PL"/>
        </w:rPr>
        <w:lastRenderedPageBreak/>
        <w:fldChar w:fldCharType="begin"/>
      </w:r>
      <w:r w:rsidR="006C2BD3" w:rsidRPr="0022499F">
        <w:rPr>
          <w:lang w:val="pl-PL"/>
        </w:rPr>
        <w:instrText xml:space="preserve"> SEQ level0 \*arabic </w:instrText>
      </w:r>
      <w:r w:rsidRPr="0022499F">
        <w:rPr>
          <w:lang w:val="pl-PL"/>
        </w:rPr>
        <w:fldChar w:fldCharType="separate"/>
      </w:r>
      <w:r w:rsidR="000E0C74" w:rsidRPr="0022499F">
        <w:rPr>
          <w:noProof/>
          <w:lang w:val="pl-PL"/>
        </w:rPr>
        <w:t>52</w:t>
      </w:r>
      <w:r w:rsidRPr="0022499F">
        <w:rPr>
          <w:lang w:val="pl-PL"/>
        </w:rPr>
        <w:fldChar w:fldCharType="end"/>
      </w:r>
      <w:r w:rsidR="006C2BD3" w:rsidRPr="0022499F">
        <w:rPr>
          <w:lang w:val="pl-PL"/>
        </w:rPr>
        <w:t>.  </w:t>
      </w:r>
      <w:r w:rsidR="00102A0F" w:rsidRPr="0022499F">
        <w:rPr>
          <w:lang w:val="pl-PL"/>
        </w:rPr>
        <w:t xml:space="preserve">Co się zaś tyczy leczenia stomatologicznego, otrzymanego przez skarżącego (zobacz </w:t>
      </w:r>
      <w:r w:rsidR="004A064D" w:rsidRPr="0022499F">
        <w:rPr>
          <w:lang w:val="pl-PL"/>
        </w:rPr>
        <w:t>punkt</w:t>
      </w:r>
      <w:r w:rsidR="00102A0F" w:rsidRPr="0022499F">
        <w:rPr>
          <w:lang w:val="pl-PL"/>
        </w:rPr>
        <w:t xml:space="preserve"> 22 powyżej), Trybunał stwierdza, że nic w aktach sprawy (w tym twierdzenia skarżącego) nie rodzi jakichkolwiek uzasadnionych wątpliwości wob</w:t>
      </w:r>
      <w:r w:rsidR="00624870" w:rsidRPr="0022499F">
        <w:rPr>
          <w:lang w:val="pl-PL"/>
        </w:rPr>
        <w:t>ec wniosku Administracji Więziennej</w:t>
      </w:r>
      <w:r w:rsidR="00102A0F" w:rsidRPr="0022499F">
        <w:rPr>
          <w:lang w:val="pl-PL"/>
        </w:rPr>
        <w:t xml:space="preserve"> (zobacz </w:t>
      </w:r>
      <w:r w:rsidR="004A064D" w:rsidRPr="0022499F">
        <w:rPr>
          <w:lang w:val="pl-PL"/>
        </w:rPr>
        <w:t>punkt</w:t>
      </w:r>
      <w:r w:rsidR="00102A0F" w:rsidRPr="0022499F">
        <w:rPr>
          <w:lang w:val="pl-PL"/>
        </w:rPr>
        <w:t xml:space="preserve"> 23 powyżej), że </w:t>
      </w:r>
      <w:r w:rsidR="00624870" w:rsidRPr="0022499F">
        <w:rPr>
          <w:lang w:val="pl-PL"/>
        </w:rPr>
        <w:t xml:space="preserve">przyczyną utraty zębów przez skarżącego było </w:t>
      </w:r>
      <w:r w:rsidR="00102A0F" w:rsidRPr="0022499F">
        <w:rPr>
          <w:lang w:val="pl-PL"/>
        </w:rPr>
        <w:t>przewlekłe zapalenie przyzębia skarżącego, a nie jakiekolwiek akty przemocy</w:t>
      </w:r>
      <w:r w:rsidR="00624870" w:rsidRPr="0022499F">
        <w:rPr>
          <w:lang w:val="pl-PL"/>
        </w:rPr>
        <w:t>.</w:t>
      </w:r>
    </w:p>
    <w:p w:rsidR="004F7408" w:rsidRPr="0022499F" w:rsidRDefault="00DC3E30" w:rsidP="002F4BCF">
      <w:pPr>
        <w:pStyle w:val="JuPara"/>
        <w:rPr>
          <w:lang w:val="pl-PL"/>
        </w:rPr>
      </w:pPr>
      <w:r w:rsidRPr="0022499F">
        <w:rPr>
          <w:lang w:val="pl-PL"/>
        </w:rPr>
        <w:fldChar w:fldCharType="begin"/>
      </w:r>
      <w:r w:rsidR="004F7408" w:rsidRPr="0022499F">
        <w:rPr>
          <w:lang w:val="pl-PL"/>
        </w:rPr>
        <w:instrText xml:space="preserve"> SEQ level0 \*arabic </w:instrText>
      </w:r>
      <w:r w:rsidRPr="0022499F">
        <w:rPr>
          <w:lang w:val="pl-PL"/>
        </w:rPr>
        <w:fldChar w:fldCharType="separate"/>
      </w:r>
      <w:r w:rsidR="000E0C74" w:rsidRPr="0022499F">
        <w:rPr>
          <w:noProof/>
          <w:lang w:val="pl-PL"/>
        </w:rPr>
        <w:t>53</w:t>
      </w:r>
      <w:r w:rsidRPr="0022499F">
        <w:rPr>
          <w:lang w:val="pl-PL"/>
        </w:rPr>
        <w:fldChar w:fldCharType="end"/>
      </w:r>
      <w:r w:rsidR="004F7408" w:rsidRPr="0022499F">
        <w:rPr>
          <w:lang w:val="pl-PL"/>
        </w:rPr>
        <w:t>.  </w:t>
      </w:r>
      <w:r w:rsidR="00102A0F" w:rsidRPr="0022499F">
        <w:rPr>
          <w:lang w:val="pl-PL"/>
        </w:rPr>
        <w:t>Wynika stąd, że skarga jest oczywiście bezzasadna i musi być odrzucona zgodnie z Artykułem 35 §§ 3 (a) i 4 Konwencji</w:t>
      </w:r>
      <w:r w:rsidR="004F7408" w:rsidRPr="0022499F">
        <w:rPr>
          <w:lang w:val="pl-PL"/>
        </w:rPr>
        <w:t>.</w:t>
      </w:r>
    </w:p>
    <w:p w:rsidR="00F71A6A" w:rsidRPr="0022499F" w:rsidRDefault="00F71A6A" w:rsidP="008824B9">
      <w:pPr>
        <w:pStyle w:val="JuHA"/>
        <w:outlineLvl w:val="0"/>
        <w:rPr>
          <w:lang w:val="pl-PL"/>
        </w:rPr>
      </w:pPr>
      <w:r w:rsidRPr="0022499F">
        <w:rPr>
          <w:lang w:val="pl-PL"/>
        </w:rPr>
        <w:t>B.  </w:t>
      </w:r>
      <w:r w:rsidR="00A10410" w:rsidRPr="0022499F">
        <w:rPr>
          <w:lang w:val="pl-PL"/>
        </w:rPr>
        <w:t>Brak zapewnienia skarżącemu bezpieczeństwa</w:t>
      </w:r>
    </w:p>
    <w:p w:rsidR="00C37663" w:rsidRPr="0022499F" w:rsidRDefault="00580E6F" w:rsidP="00C37663">
      <w:pPr>
        <w:pStyle w:val="JuH1"/>
        <w:rPr>
          <w:lang w:val="pl-PL"/>
        </w:rPr>
      </w:pPr>
      <w:r w:rsidRPr="0022499F">
        <w:rPr>
          <w:lang w:val="pl-PL"/>
        </w:rPr>
        <w:t>1.</w:t>
      </w:r>
      <w:r w:rsidR="00C37663" w:rsidRPr="0022499F">
        <w:rPr>
          <w:lang w:val="pl-PL"/>
        </w:rPr>
        <w:t>  </w:t>
      </w:r>
      <w:r w:rsidR="00A10410" w:rsidRPr="0022499F">
        <w:rPr>
          <w:lang w:val="pl-PL"/>
        </w:rPr>
        <w:t>Zastosowanie Artykułów</w:t>
      </w:r>
      <w:r w:rsidR="00C37663" w:rsidRPr="0022499F">
        <w:rPr>
          <w:lang w:val="pl-PL"/>
        </w:rPr>
        <w:t xml:space="preserve"> 34 and 37 § 1 (b) </w:t>
      </w:r>
      <w:r w:rsidR="00A10410" w:rsidRPr="0022499F">
        <w:rPr>
          <w:lang w:val="pl-PL"/>
        </w:rPr>
        <w:t>Konwencji</w:t>
      </w:r>
    </w:p>
    <w:p w:rsidR="00D870DC" w:rsidRPr="0022499F" w:rsidRDefault="00DC3E30" w:rsidP="00C37663">
      <w:pPr>
        <w:pStyle w:val="JuPara"/>
        <w:rPr>
          <w:i/>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54</w:t>
      </w:r>
      <w:r w:rsidRPr="0022499F">
        <w:rPr>
          <w:lang w:val="pl-PL"/>
        </w:rPr>
        <w:fldChar w:fldCharType="end"/>
      </w:r>
      <w:r w:rsidR="00F71A6A" w:rsidRPr="0022499F">
        <w:rPr>
          <w:lang w:val="pl-PL"/>
        </w:rPr>
        <w:t>.  </w:t>
      </w:r>
      <w:r w:rsidR="00A10410" w:rsidRPr="0022499F">
        <w:rPr>
          <w:lang w:val="pl-PL"/>
        </w:rPr>
        <w:t>Rząd argumentował, że skarżący nie mógł lub już nie może twierdzić, że jest ofiarą naru</w:t>
      </w:r>
      <w:r w:rsidR="00A315C4" w:rsidRPr="0022499F">
        <w:rPr>
          <w:lang w:val="pl-PL"/>
        </w:rPr>
        <w:t>szenia Artykułu 3 Konwencji, albo</w:t>
      </w:r>
      <w:r w:rsidR="00A10410" w:rsidRPr="0022499F">
        <w:rPr>
          <w:lang w:val="pl-PL"/>
        </w:rPr>
        <w:t>, alternatywnie, że sprawa została pomyślnie rozwiązana na szczeblu krajowym.</w:t>
      </w:r>
    </w:p>
    <w:p w:rsidR="00F71A6A" w:rsidRPr="0022499F" w:rsidRDefault="00DC3E30" w:rsidP="00C37663">
      <w:pPr>
        <w:pStyle w:val="JuPara"/>
        <w:rPr>
          <w:lang w:val="pl-PL"/>
        </w:rPr>
      </w:pPr>
      <w:r w:rsidRPr="0022499F">
        <w:rPr>
          <w:lang w:val="pl-PL"/>
        </w:rPr>
        <w:fldChar w:fldCharType="begin"/>
      </w:r>
      <w:r w:rsidR="003E33BD" w:rsidRPr="0022499F">
        <w:rPr>
          <w:lang w:val="pl-PL"/>
        </w:rPr>
        <w:instrText xml:space="preserve"> SEQ level0 \*arabic </w:instrText>
      </w:r>
      <w:r w:rsidRPr="0022499F">
        <w:rPr>
          <w:lang w:val="pl-PL"/>
        </w:rPr>
        <w:fldChar w:fldCharType="separate"/>
      </w:r>
      <w:r w:rsidR="000E0C74" w:rsidRPr="0022499F">
        <w:rPr>
          <w:noProof/>
          <w:lang w:val="pl-PL"/>
        </w:rPr>
        <w:t>55</w:t>
      </w:r>
      <w:r w:rsidRPr="0022499F">
        <w:rPr>
          <w:lang w:val="pl-PL"/>
        </w:rPr>
        <w:fldChar w:fldCharType="end"/>
      </w:r>
      <w:r w:rsidR="003E33BD" w:rsidRPr="0022499F">
        <w:rPr>
          <w:lang w:val="pl-PL"/>
        </w:rPr>
        <w:t>.  </w:t>
      </w:r>
      <w:r w:rsidR="00A10410" w:rsidRPr="0022499F">
        <w:rPr>
          <w:lang w:val="pl-PL"/>
        </w:rPr>
        <w:t xml:space="preserve">W odniesieniu do rzekomej utraty statusu ofiary Rząd podkreślił, że </w:t>
      </w:r>
      <w:r w:rsidR="00A315C4" w:rsidRPr="0022499F">
        <w:rPr>
          <w:lang w:val="pl-PL"/>
        </w:rPr>
        <w:t>niniejsza skarga została złożona</w:t>
      </w:r>
      <w:r w:rsidR="00A10410" w:rsidRPr="0022499F">
        <w:rPr>
          <w:lang w:val="pl-PL"/>
        </w:rPr>
        <w:t xml:space="preserve"> do Trybunału dopiero w dniu 20 lutego 2007 roku, </w:t>
      </w:r>
      <w:r w:rsidR="00A315C4" w:rsidRPr="0022499F">
        <w:rPr>
          <w:lang w:val="pl-PL"/>
        </w:rPr>
        <w:t>czyli</w:t>
      </w:r>
      <w:r w:rsidR="00A10410" w:rsidRPr="0022499F">
        <w:rPr>
          <w:lang w:val="pl-PL"/>
        </w:rPr>
        <w:t xml:space="preserve"> prawie cztery miesiące po przeniesieniu skarżącego do więzienia </w:t>
      </w:r>
      <w:proofErr w:type="spellStart"/>
      <w:r w:rsidR="00A10410" w:rsidRPr="0022499F">
        <w:rPr>
          <w:lang w:val="pl-PL"/>
        </w:rPr>
        <w:t>Matīsa</w:t>
      </w:r>
      <w:proofErr w:type="spellEnd"/>
      <w:r w:rsidR="00A10410" w:rsidRPr="0022499F">
        <w:rPr>
          <w:lang w:val="pl-PL"/>
        </w:rPr>
        <w:t xml:space="preserve">. Rząd powołał się na decyzję Trybunału w sprawie </w:t>
      </w:r>
      <w:proofErr w:type="spellStart"/>
      <w:r w:rsidR="00A10410" w:rsidRPr="0022499F">
        <w:rPr>
          <w:i/>
          <w:lang w:val="pl-PL"/>
        </w:rPr>
        <w:t>Pančenko</w:t>
      </w:r>
      <w:proofErr w:type="spellEnd"/>
      <w:r w:rsidR="00A10410" w:rsidRPr="0022499F">
        <w:rPr>
          <w:i/>
          <w:lang w:val="pl-PL"/>
        </w:rPr>
        <w:t xml:space="preserve"> przeciwko Łotwie</w:t>
      </w:r>
      <w:r w:rsidR="00A10410" w:rsidRPr="0022499F">
        <w:rPr>
          <w:lang w:val="pl-PL"/>
        </w:rPr>
        <w:t xml:space="preserve"> ((</w:t>
      </w:r>
      <w:proofErr w:type="spellStart"/>
      <w:r w:rsidR="00A10410" w:rsidRPr="0022499F">
        <w:rPr>
          <w:lang w:val="pl-PL"/>
        </w:rPr>
        <w:t>dec</w:t>
      </w:r>
      <w:proofErr w:type="spellEnd"/>
      <w:r w:rsidR="00A10410" w:rsidRPr="0022499F">
        <w:rPr>
          <w:lang w:val="pl-PL"/>
        </w:rPr>
        <w:t>.), nr 40772/98, 28 października 1999 roku).</w:t>
      </w:r>
    </w:p>
    <w:p w:rsidR="003E33BD" w:rsidRPr="0022499F" w:rsidRDefault="00DC3E30" w:rsidP="00C37663">
      <w:pPr>
        <w:pStyle w:val="JuPara"/>
        <w:rPr>
          <w:lang w:val="pl-PL"/>
        </w:rPr>
      </w:pPr>
      <w:r w:rsidRPr="0022499F">
        <w:rPr>
          <w:lang w:val="pl-PL"/>
        </w:rPr>
        <w:fldChar w:fldCharType="begin"/>
      </w:r>
      <w:r w:rsidR="003E33BD" w:rsidRPr="0022499F">
        <w:rPr>
          <w:lang w:val="pl-PL"/>
        </w:rPr>
        <w:instrText xml:space="preserve"> SEQ level0 \*arabic </w:instrText>
      </w:r>
      <w:r w:rsidRPr="0022499F">
        <w:rPr>
          <w:lang w:val="pl-PL"/>
        </w:rPr>
        <w:fldChar w:fldCharType="separate"/>
      </w:r>
      <w:r w:rsidR="000E0C74" w:rsidRPr="0022499F">
        <w:rPr>
          <w:noProof/>
          <w:lang w:val="pl-PL"/>
        </w:rPr>
        <w:t>56</w:t>
      </w:r>
      <w:r w:rsidRPr="0022499F">
        <w:rPr>
          <w:lang w:val="pl-PL"/>
        </w:rPr>
        <w:fldChar w:fldCharType="end"/>
      </w:r>
      <w:r w:rsidR="003E33BD" w:rsidRPr="0022499F">
        <w:rPr>
          <w:lang w:val="pl-PL"/>
        </w:rPr>
        <w:t>.  </w:t>
      </w:r>
      <w:r w:rsidR="00A10410" w:rsidRPr="0022499F">
        <w:rPr>
          <w:lang w:val="pl-PL"/>
        </w:rPr>
        <w:t>Skarżący nie przedstawił żadnych uwag w tym zakresie</w:t>
      </w:r>
      <w:r w:rsidR="003E33BD" w:rsidRPr="0022499F">
        <w:rPr>
          <w:lang w:val="pl-PL"/>
        </w:rPr>
        <w:t>.</w:t>
      </w:r>
    </w:p>
    <w:p w:rsidR="003E33BD" w:rsidRPr="0022499F" w:rsidRDefault="00DC3E30" w:rsidP="00C37663">
      <w:pPr>
        <w:pStyle w:val="JuPara"/>
        <w:rPr>
          <w:rStyle w:val="sb8d990e2"/>
          <w:lang w:val="pl-PL"/>
        </w:rPr>
      </w:pPr>
      <w:r w:rsidRPr="0022499F">
        <w:rPr>
          <w:lang w:val="pl-PL"/>
        </w:rPr>
        <w:fldChar w:fldCharType="begin"/>
      </w:r>
      <w:r w:rsidR="003E33BD" w:rsidRPr="0022499F">
        <w:rPr>
          <w:lang w:val="pl-PL"/>
        </w:rPr>
        <w:instrText xml:space="preserve"> SEQ level0 \*arabic </w:instrText>
      </w:r>
      <w:r w:rsidRPr="0022499F">
        <w:rPr>
          <w:lang w:val="pl-PL"/>
        </w:rPr>
        <w:fldChar w:fldCharType="separate"/>
      </w:r>
      <w:r w:rsidR="000E0C74" w:rsidRPr="0022499F">
        <w:rPr>
          <w:noProof/>
          <w:lang w:val="pl-PL"/>
        </w:rPr>
        <w:t>57</w:t>
      </w:r>
      <w:r w:rsidRPr="0022499F">
        <w:rPr>
          <w:lang w:val="pl-PL"/>
        </w:rPr>
        <w:fldChar w:fldCharType="end"/>
      </w:r>
      <w:r w:rsidR="003E33BD" w:rsidRPr="0022499F">
        <w:rPr>
          <w:lang w:val="pl-PL"/>
        </w:rPr>
        <w:t>.  </w:t>
      </w:r>
      <w:r w:rsidR="00A10410" w:rsidRPr="0022499F">
        <w:rPr>
          <w:lang w:val="pl-PL"/>
        </w:rPr>
        <w:t>Trybunał z</w:t>
      </w:r>
      <w:r w:rsidR="00A315C4" w:rsidRPr="0022499F">
        <w:rPr>
          <w:lang w:val="pl-PL"/>
        </w:rPr>
        <w:t>auważa, że miał okazję wyjaśn</w:t>
      </w:r>
      <w:r w:rsidR="00A10410" w:rsidRPr="0022499F">
        <w:rPr>
          <w:lang w:val="pl-PL"/>
        </w:rPr>
        <w:t xml:space="preserve">ić zakres orzeczenia w wyżej przywołanej sprawie </w:t>
      </w:r>
      <w:proofErr w:type="spellStart"/>
      <w:r w:rsidR="00A10410" w:rsidRPr="0022499F">
        <w:rPr>
          <w:i/>
          <w:lang w:val="pl-PL"/>
        </w:rPr>
        <w:t>Pančenko</w:t>
      </w:r>
      <w:proofErr w:type="spellEnd"/>
      <w:r w:rsidR="00A10410" w:rsidRPr="0022499F">
        <w:rPr>
          <w:lang w:val="pl-PL"/>
        </w:rPr>
        <w:t xml:space="preserve"> i wytłumaczył, że uregulowanie sytuacji danej osoby jest sam</w:t>
      </w:r>
      <w:r w:rsidR="00BD38C5" w:rsidRPr="0022499F">
        <w:rPr>
          <w:lang w:val="pl-PL"/>
        </w:rPr>
        <w:t>o</w:t>
      </w:r>
      <w:r w:rsidR="00A10410" w:rsidRPr="0022499F">
        <w:rPr>
          <w:lang w:val="pl-PL"/>
        </w:rPr>
        <w:t xml:space="preserve"> w sobie wystarczającym </w:t>
      </w:r>
      <w:r w:rsidR="00BD38C5" w:rsidRPr="0022499F">
        <w:rPr>
          <w:lang w:val="pl-PL"/>
        </w:rPr>
        <w:t>środkiem</w:t>
      </w:r>
      <w:r w:rsidR="00A10410" w:rsidRPr="0022499F">
        <w:rPr>
          <w:lang w:val="pl-PL"/>
        </w:rPr>
        <w:t xml:space="preserve"> tylko w wyjątkowych przypadkach, takich jak </w:t>
      </w:r>
      <w:r w:rsidR="00BD38C5" w:rsidRPr="0022499F">
        <w:rPr>
          <w:lang w:val="pl-PL"/>
        </w:rPr>
        <w:t>te dotyczące wydalenia lub ekstradycji cudzoziemców</w:t>
      </w:r>
      <w:r w:rsidR="00A10410" w:rsidRPr="0022499F">
        <w:rPr>
          <w:lang w:val="pl-PL"/>
        </w:rPr>
        <w:t xml:space="preserve"> (</w:t>
      </w:r>
      <w:r w:rsidR="00BD38C5" w:rsidRPr="0022499F">
        <w:rPr>
          <w:lang w:val="pl-PL"/>
        </w:rPr>
        <w:t>zobacz</w:t>
      </w:r>
      <w:r w:rsidR="00A10410" w:rsidRPr="0022499F">
        <w:rPr>
          <w:lang w:val="pl-PL"/>
        </w:rPr>
        <w:t xml:space="preserve">, na przykład, </w:t>
      </w:r>
      <w:proofErr w:type="spellStart"/>
      <w:r w:rsidR="00BD38C5" w:rsidRPr="0022499F">
        <w:rPr>
          <w:i/>
          <w:lang w:val="pl-PL"/>
        </w:rPr>
        <w:t>Kurić</w:t>
      </w:r>
      <w:proofErr w:type="spellEnd"/>
      <w:r w:rsidR="00BD38C5" w:rsidRPr="0022499F">
        <w:rPr>
          <w:i/>
          <w:lang w:val="pl-PL"/>
        </w:rPr>
        <w:t xml:space="preserve"> i inni przeciwko</w:t>
      </w:r>
      <w:r w:rsidR="00A10410" w:rsidRPr="0022499F">
        <w:rPr>
          <w:i/>
          <w:lang w:val="pl-PL"/>
        </w:rPr>
        <w:t xml:space="preserve"> Słowenii</w:t>
      </w:r>
      <w:r w:rsidR="00BD38C5" w:rsidRPr="0022499F">
        <w:rPr>
          <w:lang w:val="pl-PL"/>
        </w:rPr>
        <w:t xml:space="preserve"> [WI], nr</w:t>
      </w:r>
      <w:r w:rsidR="00A10410" w:rsidRPr="0022499F">
        <w:rPr>
          <w:lang w:val="pl-PL"/>
        </w:rPr>
        <w:t xml:space="preserve"> 26828/06</w:t>
      </w:r>
      <w:r w:rsidR="00BD38C5" w:rsidRPr="0022499F">
        <w:rPr>
          <w:lang w:val="pl-PL"/>
        </w:rPr>
        <w:t xml:space="preserve">, § 261, ECHR 2012 (fragmenty) oraz </w:t>
      </w:r>
      <w:proofErr w:type="spellStart"/>
      <w:r w:rsidR="00BD38C5" w:rsidRPr="0022499F">
        <w:rPr>
          <w:i/>
          <w:lang w:val="pl-PL"/>
        </w:rPr>
        <w:t>Gebremedhin</w:t>
      </w:r>
      <w:proofErr w:type="spellEnd"/>
      <w:r w:rsidR="00BD38C5" w:rsidRPr="0022499F">
        <w:rPr>
          <w:i/>
          <w:lang w:val="pl-PL"/>
        </w:rPr>
        <w:t xml:space="preserve"> [</w:t>
      </w:r>
      <w:proofErr w:type="spellStart"/>
      <w:r w:rsidR="00BD38C5" w:rsidRPr="0022499F">
        <w:rPr>
          <w:i/>
          <w:lang w:val="pl-PL"/>
        </w:rPr>
        <w:t>Gaberamadhien</w:t>
      </w:r>
      <w:proofErr w:type="spellEnd"/>
      <w:r w:rsidR="00BD38C5" w:rsidRPr="0022499F">
        <w:rPr>
          <w:i/>
          <w:lang w:val="pl-PL"/>
        </w:rPr>
        <w:t>] przeciwko</w:t>
      </w:r>
      <w:r w:rsidR="00A10410" w:rsidRPr="0022499F">
        <w:rPr>
          <w:i/>
          <w:lang w:val="pl-PL"/>
        </w:rPr>
        <w:t xml:space="preserve"> Francj</w:t>
      </w:r>
      <w:r w:rsidR="00BD38C5" w:rsidRPr="0022499F">
        <w:rPr>
          <w:i/>
          <w:lang w:val="pl-PL"/>
        </w:rPr>
        <w:t>i</w:t>
      </w:r>
      <w:r w:rsidR="00BD38C5" w:rsidRPr="0022499F">
        <w:rPr>
          <w:lang w:val="pl-PL"/>
        </w:rPr>
        <w:t xml:space="preserve"> (</w:t>
      </w:r>
      <w:proofErr w:type="spellStart"/>
      <w:r w:rsidR="00BD38C5" w:rsidRPr="0022499F">
        <w:rPr>
          <w:lang w:val="pl-PL"/>
        </w:rPr>
        <w:t>dec</w:t>
      </w:r>
      <w:proofErr w:type="spellEnd"/>
      <w:r w:rsidR="00BD38C5" w:rsidRPr="0022499F">
        <w:rPr>
          <w:lang w:val="pl-PL"/>
        </w:rPr>
        <w:t xml:space="preserve">.), nr </w:t>
      </w:r>
      <w:r w:rsidR="00A10410" w:rsidRPr="0022499F">
        <w:rPr>
          <w:lang w:val="pl-PL"/>
        </w:rPr>
        <w:t>25389/05, § 36, 10 październik 2006).</w:t>
      </w:r>
      <w:r w:rsidR="00BD38C5" w:rsidRPr="0022499F">
        <w:rPr>
          <w:lang w:val="pl-PL"/>
        </w:rPr>
        <w:t xml:space="preserve"> </w:t>
      </w:r>
      <w:r w:rsidR="00A10410" w:rsidRPr="0022499F">
        <w:rPr>
          <w:lang w:val="pl-PL"/>
        </w:rPr>
        <w:t>W konte</w:t>
      </w:r>
      <w:r w:rsidR="00BD38C5" w:rsidRPr="0022499F">
        <w:rPr>
          <w:lang w:val="pl-PL"/>
        </w:rPr>
        <w:t xml:space="preserve">kście niemal wszystkich innych spraw </w:t>
      </w:r>
      <w:r w:rsidR="00A10410" w:rsidRPr="0022499F">
        <w:rPr>
          <w:lang w:val="pl-PL"/>
        </w:rPr>
        <w:t xml:space="preserve">Trybunał </w:t>
      </w:r>
      <w:r w:rsidR="00BD38C5" w:rsidRPr="0022499F">
        <w:rPr>
          <w:lang w:val="pl-PL"/>
        </w:rPr>
        <w:t>podtrzymał tradycyjny pogląd, że status “ofiary”</w:t>
      </w:r>
      <w:r w:rsidR="00A10410" w:rsidRPr="0022499F">
        <w:rPr>
          <w:lang w:val="pl-PL"/>
        </w:rPr>
        <w:t xml:space="preserve"> </w:t>
      </w:r>
      <w:r w:rsidR="00BD38C5" w:rsidRPr="0022499F">
        <w:rPr>
          <w:lang w:val="pl-PL"/>
        </w:rPr>
        <w:t>przyznany skarżącemu</w:t>
      </w:r>
      <w:r w:rsidR="00A10410" w:rsidRPr="0022499F">
        <w:rPr>
          <w:lang w:val="pl-PL"/>
        </w:rPr>
        <w:t xml:space="preserve"> może </w:t>
      </w:r>
      <w:r w:rsidR="00A315C4" w:rsidRPr="0022499F">
        <w:rPr>
          <w:lang w:val="pl-PL"/>
        </w:rPr>
        <w:t xml:space="preserve">zależeć w stosownych przypadkach </w:t>
      </w:r>
      <w:r w:rsidR="00A10410" w:rsidRPr="0022499F">
        <w:rPr>
          <w:lang w:val="pl-PL"/>
        </w:rPr>
        <w:t xml:space="preserve">również od poziomu przyznanego odszkodowania na </w:t>
      </w:r>
      <w:r w:rsidR="00BD38C5" w:rsidRPr="0022499F">
        <w:rPr>
          <w:lang w:val="pl-PL"/>
        </w:rPr>
        <w:t>szczeblu</w:t>
      </w:r>
      <w:r w:rsidR="00A315C4" w:rsidRPr="0022499F">
        <w:rPr>
          <w:lang w:val="pl-PL"/>
        </w:rPr>
        <w:t xml:space="preserve"> krajowym</w:t>
      </w:r>
      <w:r w:rsidR="00BD38C5" w:rsidRPr="0022499F">
        <w:rPr>
          <w:lang w:val="pl-PL"/>
        </w:rPr>
        <w:t xml:space="preserve"> lub przynajmniej od</w:t>
      </w:r>
      <w:r w:rsidR="00A10410" w:rsidRPr="0022499F">
        <w:rPr>
          <w:lang w:val="pl-PL"/>
        </w:rPr>
        <w:t xml:space="preserve"> możliwości </w:t>
      </w:r>
      <w:r w:rsidR="00BD38C5" w:rsidRPr="0022499F">
        <w:rPr>
          <w:lang w:val="pl-PL"/>
        </w:rPr>
        <w:t>dochodzenia</w:t>
      </w:r>
      <w:r w:rsidR="00A10410" w:rsidRPr="0022499F">
        <w:rPr>
          <w:lang w:val="pl-PL"/>
        </w:rPr>
        <w:t xml:space="preserve"> i uzyskania odszkodowania za </w:t>
      </w:r>
      <w:r w:rsidR="00BD38C5" w:rsidRPr="0022499F">
        <w:rPr>
          <w:lang w:val="pl-PL"/>
        </w:rPr>
        <w:t xml:space="preserve">poniesione </w:t>
      </w:r>
      <w:r w:rsidR="00A10410" w:rsidRPr="0022499F">
        <w:rPr>
          <w:lang w:val="pl-PL"/>
        </w:rPr>
        <w:t>szkody</w:t>
      </w:r>
      <w:r w:rsidR="00BD38C5" w:rsidRPr="0022499F">
        <w:rPr>
          <w:lang w:val="pl-PL"/>
        </w:rPr>
        <w:t>, uwzględniając okoliczności, które</w:t>
      </w:r>
      <w:r w:rsidR="00A10410" w:rsidRPr="0022499F">
        <w:rPr>
          <w:lang w:val="pl-PL"/>
        </w:rPr>
        <w:t xml:space="preserve"> </w:t>
      </w:r>
      <w:r w:rsidR="00A315C4" w:rsidRPr="0022499F">
        <w:rPr>
          <w:lang w:val="pl-PL"/>
        </w:rPr>
        <w:t>są</w:t>
      </w:r>
      <w:r w:rsidR="00A10410" w:rsidRPr="0022499F">
        <w:rPr>
          <w:lang w:val="pl-PL"/>
        </w:rPr>
        <w:t xml:space="preserve"> </w:t>
      </w:r>
      <w:r w:rsidR="00A315C4" w:rsidRPr="0022499F">
        <w:rPr>
          <w:lang w:val="pl-PL"/>
        </w:rPr>
        <w:t>zaskarżane</w:t>
      </w:r>
      <w:r w:rsidR="00A10410" w:rsidRPr="0022499F">
        <w:rPr>
          <w:lang w:val="pl-PL"/>
        </w:rPr>
        <w:t xml:space="preserve"> przed </w:t>
      </w:r>
      <w:r w:rsidR="00BD38C5" w:rsidRPr="0022499F">
        <w:rPr>
          <w:lang w:val="pl-PL"/>
        </w:rPr>
        <w:t>Trybunałem</w:t>
      </w:r>
      <w:r w:rsidR="00A10410" w:rsidRPr="0022499F">
        <w:rPr>
          <w:lang w:val="pl-PL"/>
        </w:rPr>
        <w:t xml:space="preserve"> (zob</w:t>
      </w:r>
      <w:r w:rsidR="00BD38C5" w:rsidRPr="0022499F">
        <w:rPr>
          <w:lang w:val="pl-PL"/>
        </w:rPr>
        <w:t>acz</w:t>
      </w:r>
      <w:r w:rsidR="00A10410" w:rsidRPr="0022499F">
        <w:rPr>
          <w:lang w:val="pl-PL"/>
        </w:rPr>
        <w:t xml:space="preserve"> </w:t>
      </w:r>
      <w:r w:rsidR="00BD38C5" w:rsidRPr="0022499F">
        <w:rPr>
          <w:lang w:val="pl-PL"/>
        </w:rPr>
        <w:t xml:space="preserve">sprawa </w:t>
      </w:r>
      <w:proofErr w:type="spellStart"/>
      <w:r w:rsidR="00A10410" w:rsidRPr="0022499F">
        <w:rPr>
          <w:i/>
          <w:lang w:val="pl-PL"/>
        </w:rPr>
        <w:t>Kurić</w:t>
      </w:r>
      <w:proofErr w:type="spellEnd"/>
      <w:r w:rsidR="00A10410" w:rsidRPr="0022499F">
        <w:rPr>
          <w:lang w:val="pl-PL"/>
        </w:rPr>
        <w:t xml:space="preserve">, </w:t>
      </w:r>
      <w:r w:rsidR="00BD38C5" w:rsidRPr="0022499F">
        <w:rPr>
          <w:lang w:val="pl-PL"/>
        </w:rPr>
        <w:t>przywołana</w:t>
      </w:r>
      <w:r w:rsidR="00A10410" w:rsidRPr="0022499F">
        <w:rPr>
          <w:lang w:val="pl-PL"/>
        </w:rPr>
        <w:t xml:space="preserve"> powyżej, § 262, z dalszymi odniesieniami).</w:t>
      </w:r>
    </w:p>
    <w:p w:rsidR="00E8187B" w:rsidRPr="0022499F" w:rsidRDefault="00DC3E30" w:rsidP="00C37663">
      <w:pPr>
        <w:pStyle w:val="JuPara"/>
        <w:rPr>
          <w:rStyle w:val="sb8d990e2"/>
          <w:i/>
          <w:lang w:val="pl-PL"/>
        </w:rPr>
      </w:pPr>
      <w:r w:rsidRPr="0022499F">
        <w:rPr>
          <w:rStyle w:val="sb8d990e2"/>
          <w:lang w:val="pl-PL"/>
        </w:rPr>
        <w:fldChar w:fldCharType="begin"/>
      </w:r>
      <w:r w:rsidR="00E8187B"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58</w:t>
      </w:r>
      <w:r w:rsidRPr="0022499F">
        <w:rPr>
          <w:rStyle w:val="sb8d990e2"/>
          <w:lang w:val="pl-PL"/>
        </w:rPr>
        <w:fldChar w:fldCharType="end"/>
      </w:r>
      <w:r w:rsidR="00E8187B" w:rsidRPr="0022499F">
        <w:rPr>
          <w:rStyle w:val="sb8d990e2"/>
          <w:lang w:val="pl-PL"/>
        </w:rPr>
        <w:t>.  </w:t>
      </w:r>
      <w:r w:rsidR="00BD38C5" w:rsidRPr="0022499F">
        <w:rPr>
          <w:rStyle w:val="sb8d990e2"/>
          <w:lang w:val="pl-PL"/>
        </w:rPr>
        <w:t xml:space="preserve">W okolicznościach </w:t>
      </w:r>
      <w:r w:rsidR="002F4D9F" w:rsidRPr="0022499F">
        <w:rPr>
          <w:rStyle w:val="sb8d990e2"/>
          <w:lang w:val="pl-PL"/>
        </w:rPr>
        <w:t xml:space="preserve">niniejszej sprawy, </w:t>
      </w:r>
      <w:r w:rsidR="00BD38C5" w:rsidRPr="0022499F">
        <w:rPr>
          <w:rStyle w:val="sb8d990e2"/>
          <w:lang w:val="pl-PL"/>
        </w:rPr>
        <w:t>zakładając</w:t>
      </w:r>
      <w:r w:rsidR="002F4D9F" w:rsidRPr="0022499F">
        <w:rPr>
          <w:rStyle w:val="sb8d990e2"/>
          <w:lang w:val="pl-PL"/>
        </w:rPr>
        <w:t xml:space="preserve"> nawet</w:t>
      </w:r>
      <w:r w:rsidR="00BD38C5" w:rsidRPr="0022499F">
        <w:rPr>
          <w:rStyle w:val="sb8d990e2"/>
          <w:lang w:val="pl-PL"/>
        </w:rPr>
        <w:t xml:space="preserve">, że przeniesienie skarżącego do więzienia </w:t>
      </w:r>
      <w:proofErr w:type="spellStart"/>
      <w:r w:rsidR="00BD38C5" w:rsidRPr="0022499F">
        <w:rPr>
          <w:rStyle w:val="sb8d990e2"/>
          <w:lang w:val="pl-PL"/>
        </w:rPr>
        <w:t>Matīsa</w:t>
      </w:r>
      <w:proofErr w:type="spellEnd"/>
      <w:r w:rsidR="00BD38C5" w:rsidRPr="0022499F">
        <w:rPr>
          <w:rStyle w:val="sb8d990e2"/>
          <w:lang w:val="pl-PL"/>
        </w:rPr>
        <w:t xml:space="preserve"> </w:t>
      </w:r>
      <w:r w:rsidR="002F4D9F" w:rsidRPr="0022499F">
        <w:rPr>
          <w:rStyle w:val="sb8d990e2"/>
          <w:lang w:val="pl-PL"/>
        </w:rPr>
        <w:t>było d</w:t>
      </w:r>
      <w:r w:rsidR="00B702C9" w:rsidRPr="0022499F">
        <w:rPr>
          <w:rStyle w:val="sb8d990e2"/>
          <w:lang w:val="pl-PL"/>
        </w:rPr>
        <w:t>orozumianym</w:t>
      </w:r>
      <w:r w:rsidR="002F4D9F" w:rsidRPr="0022499F">
        <w:rPr>
          <w:rStyle w:val="sb8d990e2"/>
          <w:lang w:val="pl-PL"/>
        </w:rPr>
        <w:t xml:space="preserve"> </w:t>
      </w:r>
      <w:r w:rsidR="004E5340" w:rsidRPr="0022499F">
        <w:rPr>
          <w:rStyle w:val="sb8d990e2"/>
          <w:lang w:val="pl-PL"/>
        </w:rPr>
        <w:t>zezwoleniem wskazującym na potrzebę</w:t>
      </w:r>
      <w:r w:rsidR="00BD38C5" w:rsidRPr="0022499F">
        <w:rPr>
          <w:rStyle w:val="sb8d990e2"/>
          <w:lang w:val="pl-PL"/>
        </w:rPr>
        <w:t xml:space="preserve"> zmiany sytuacji skarżącego, Rząd nie przedstawił żadnych wyjaśnień w odniesieniu do od</w:t>
      </w:r>
      <w:r w:rsidR="00A315C4" w:rsidRPr="0022499F">
        <w:rPr>
          <w:rStyle w:val="sb8d990e2"/>
          <w:lang w:val="pl-PL"/>
        </w:rPr>
        <w:t>szkodowania za cierpienia, których</w:t>
      </w:r>
      <w:r w:rsidR="00BD38C5" w:rsidRPr="0022499F">
        <w:rPr>
          <w:rStyle w:val="sb8d990e2"/>
          <w:lang w:val="pl-PL"/>
        </w:rPr>
        <w:t xml:space="preserve"> </w:t>
      </w:r>
      <w:r w:rsidR="002F4D9F" w:rsidRPr="0022499F">
        <w:rPr>
          <w:rStyle w:val="sb8d990e2"/>
          <w:lang w:val="pl-PL"/>
        </w:rPr>
        <w:t>według skarżącego doświadczył on</w:t>
      </w:r>
      <w:r w:rsidR="00BD38C5" w:rsidRPr="0022499F">
        <w:rPr>
          <w:rStyle w:val="sb8d990e2"/>
          <w:lang w:val="pl-PL"/>
        </w:rPr>
        <w:t xml:space="preserve"> podczas okresu, w </w:t>
      </w:r>
      <w:r w:rsidR="00BD38C5" w:rsidRPr="0022499F">
        <w:rPr>
          <w:rStyle w:val="sb8d990e2"/>
          <w:lang w:val="pl-PL"/>
        </w:rPr>
        <w:lastRenderedPageBreak/>
        <w:t xml:space="preserve">którym </w:t>
      </w:r>
      <w:r w:rsidR="002F4D9F" w:rsidRPr="0022499F">
        <w:rPr>
          <w:rStyle w:val="sb8d990e2"/>
          <w:lang w:val="pl-PL"/>
        </w:rPr>
        <w:t xml:space="preserve">nie </w:t>
      </w:r>
      <w:r w:rsidR="00BD38C5" w:rsidRPr="0022499F">
        <w:rPr>
          <w:rStyle w:val="sb8d990e2"/>
          <w:lang w:val="pl-PL"/>
        </w:rPr>
        <w:t xml:space="preserve">miał (jeszcze) </w:t>
      </w:r>
      <w:r w:rsidR="002F4D9F" w:rsidRPr="0022499F">
        <w:rPr>
          <w:rStyle w:val="sb8d990e2"/>
          <w:lang w:val="pl-PL"/>
        </w:rPr>
        <w:t>zagwarantowanego</w:t>
      </w:r>
      <w:r w:rsidR="00BD38C5" w:rsidRPr="0022499F">
        <w:rPr>
          <w:rStyle w:val="sb8d990e2"/>
          <w:lang w:val="pl-PL"/>
        </w:rPr>
        <w:t xml:space="preserve"> be</w:t>
      </w:r>
      <w:r w:rsidR="00A315C4" w:rsidRPr="0022499F">
        <w:rPr>
          <w:rStyle w:val="sb8d990e2"/>
          <w:lang w:val="pl-PL"/>
        </w:rPr>
        <w:t>zpieczeństwa. Dlatego argument R</w:t>
      </w:r>
      <w:r w:rsidR="00BD38C5" w:rsidRPr="0022499F">
        <w:rPr>
          <w:rStyle w:val="sb8d990e2"/>
          <w:lang w:val="pl-PL"/>
        </w:rPr>
        <w:t>ządu o utracie statusu ofiary nie może zostać uwzględniony w niniejszej sprawie</w:t>
      </w:r>
      <w:r w:rsidR="00E8187B" w:rsidRPr="0022499F">
        <w:rPr>
          <w:rStyle w:val="sb8d990e2"/>
          <w:i/>
          <w:lang w:val="pl-PL"/>
        </w:rPr>
        <w:t>.</w:t>
      </w:r>
    </w:p>
    <w:p w:rsidR="009F7EF4" w:rsidRPr="0022499F" w:rsidRDefault="00DC3E30" w:rsidP="00C37663">
      <w:pPr>
        <w:pStyle w:val="JuPara"/>
        <w:rPr>
          <w:rStyle w:val="sb8d990e2"/>
          <w:i/>
          <w:lang w:val="pl-PL"/>
        </w:rPr>
      </w:pPr>
      <w:r w:rsidRPr="0022499F">
        <w:rPr>
          <w:rStyle w:val="sb8d990e2"/>
          <w:lang w:val="pl-PL"/>
        </w:rPr>
        <w:fldChar w:fldCharType="begin"/>
      </w:r>
      <w:r w:rsidR="009F7EF4"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59</w:t>
      </w:r>
      <w:r w:rsidRPr="0022499F">
        <w:rPr>
          <w:rStyle w:val="sb8d990e2"/>
          <w:lang w:val="pl-PL"/>
        </w:rPr>
        <w:fldChar w:fldCharType="end"/>
      </w:r>
      <w:r w:rsidR="009F7EF4" w:rsidRPr="0022499F">
        <w:rPr>
          <w:rStyle w:val="sb8d990e2"/>
          <w:lang w:val="pl-PL"/>
        </w:rPr>
        <w:t>.  </w:t>
      </w:r>
      <w:r w:rsidR="002F4D9F" w:rsidRPr="0022499F">
        <w:rPr>
          <w:rStyle w:val="sb8d990e2"/>
          <w:lang w:val="pl-PL"/>
        </w:rPr>
        <w:t>Alternatywnie, Rząd zwróc</w:t>
      </w:r>
      <w:r w:rsidR="00A315C4" w:rsidRPr="0022499F">
        <w:rPr>
          <w:rStyle w:val="sb8d990e2"/>
          <w:lang w:val="pl-PL"/>
        </w:rPr>
        <w:t>ił się do Trybunału o skreślenie</w:t>
      </w:r>
      <w:r w:rsidR="002F4D9F" w:rsidRPr="0022499F">
        <w:rPr>
          <w:rStyle w:val="sb8d990e2"/>
          <w:lang w:val="pl-PL"/>
        </w:rPr>
        <w:t xml:space="preserve"> s</w:t>
      </w:r>
      <w:r w:rsidR="00A315C4" w:rsidRPr="0022499F">
        <w:rPr>
          <w:rStyle w:val="sb8d990e2"/>
          <w:lang w:val="pl-PL"/>
        </w:rPr>
        <w:t xml:space="preserve">kargi z listy spraw </w:t>
      </w:r>
      <w:r w:rsidR="0010744B" w:rsidRPr="0022499F">
        <w:rPr>
          <w:rStyle w:val="sb8d990e2"/>
          <w:lang w:val="pl-PL"/>
        </w:rPr>
        <w:t>zgodnie z A</w:t>
      </w:r>
      <w:r w:rsidR="002F4D9F" w:rsidRPr="0022499F">
        <w:rPr>
          <w:rStyle w:val="sb8d990e2"/>
          <w:lang w:val="pl-PL"/>
        </w:rPr>
        <w:t>rt</w:t>
      </w:r>
      <w:r w:rsidR="0010744B" w:rsidRPr="0022499F">
        <w:rPr>
          <w:rStyle w:val="sb8d990e2"/>
          <w:lang w:val="pl-PL"/>
        </w:rPr>
        <w:t>ykułem</w:t>
      </w:r>
      <w:r w:rsidR="002F4D9F" w:rsidRPr="0022499F">
        <w:rPr>
          <w:rStyle w:val="sb8d990e2"/>
          <w:lang w:val="pl-PL"/>
        </w:rPr>
        <w:t xml:space="preserve"> 37 § 1 (b) Konwencji.</w:t>
      </w:r>
      <w:r w:rsidR="0010744B" w:rsidRPr="0022499F">
        <w:rPr>
          <w:rStyle w:val="sb8d990e2"/>
          <w:lang w:val="pl-PL"/>
        </w:rPr>
        <w:t xml:space="preserve"> Rząd powołał</w:t>
      </w:r>
      <w:r w:rsidR="002F4D9F" w:rsidRPr="0022499F">
        <w:rPr>
          <w:rStyle w:val="sb8d990e2"/>
          <w:lang w:val="pl-PL"/>
        </w:rPr>
        <w:t xml:space="preserve"> się w tym kontekście na fakt, że w dniu 26 października 2006 roku, </w:t>
      </w:r>
      <w:r w:rsidR="0010744B" w:rsidRPr="0022499F">
        <w:rPr>
          <w:rStyle w:val="sb8d990e2"/>
          <w:lang w:val="pl-PL"/>
        </w:rPr>
        <w:t>to j</w:t>
      </w:r>
      <w:r w:rsidR="002F4D9F" w:rsidRPr="0022499F">
        <w:rPr>
          <w:rStyle w:val="sb8d990e2"/>
          <w:lang w:val="pl-PL"/>
        </w:rPr>
        <w:t xml:space="preserve">est przed </w:t>
      </w:r>
      <w:r w:rsidR="0010744B" w:rsidRPr="0022499F">
        <w:rPr>
          <w:rStyle w:val="sb8d990e2"/>
          <w:lang w:val="pl-PL"/>
        </w:rPr>
        <w:t xml:space="preserve">tym, jak </w:t>
      </w:r>
      <w:r w:rsidR="002F4D9F" w:rsidRPr="0022499F">
        <w:rPr>
          <w:rStyle w:val="sb8d990e2"/>
          <w:lang w:val="pl-PL"/>
        </w:rPr>
        <w:t>skarżący wniósł skargę do Trybunału, został przeniesiony do więz</w:t>
      </w:r>
      <w:r w:rsidR="0010744B" w:rsidRPr="0022499F">
        <w:rPr>
          <w:rStyle w:val="sb8d990e2"/>
          <w:lang w:val="pl-PL"/>
        </w:rPr>
        <w:t xml:space="preserve">ienia </w:t>
      </w:r>
      <w:proofErr w:type="spellStart"/>
      <w:r w:rsidR="0010744B" w:rsidRPr="0022499F">
        <w:rPr>
          <w:rStyle w:val="sb8d990e2"/>
          <w:lang w:val="pl-PL"/>
        </w:rPr>
        <w:t>Matīsa</w:t>
      </w:r>
      <w:proofErr w:type="spellEnd"/>
      <w:r w:rsidR="0010744B" w:rsidRPr="0022499F">
        <w:rPr>
          <w:rStyle w:val="sb8d990e2"/>
          <w:lang w:val="pl-PL"/>
        </w:rPr>
        <w:t>, a zatem zaskarżona sytuacja</w:t>
      </w:r>
      <w:r w:rsidR="002F4D9F" w:rsidRPr="0022499F">
        <w:rPr>
          <w:rStyle w:val="sb8d990e2"/>
          <w:lang w:val="pl-PL"/>
        </w:rPr>
        <w:t xml:space="preserve"> przestała istnieć, a </w:t>
      </w:r>
      <w:r w:rsidR="0010744B" w:rsidRPr="0022499F">
        <w:rPr>
          <w:rStyle w:val="sb8d990e2"/>
          <w:lang w:val="pl-PL"/>
        </w:rPr>
        <w:t>kwestia</w:t>
      </w:r>
      <w:r w:rsidR="00A315C4" w:rsidRPr="0022499F">
        <w:rPr>
          <w:rStyle w:val="sb8d990e2"/>
          <w:lang w:val="pl-PL"/>
        </w:rPr>
        <w:t xml:space="preserve">, która doprowadziła do </w:t>
      </w:r>
      <w:r w:rsidR="0010744B" w:rsidRPr="0022499F">
        <w:rPr>
          <w:rStyle w:val="sb8d990e2"/>
          <w:lang w:val="pl-PL"/>
        </w:rPr>
        <w:t xml:space="preserve">skargi skarżącego dotyczącej </w:t>
      </w:r>
      <w:r w:rsidR="002F4D9F" w:rsidRPr="0022499F">
        <w:rPr>
          <w:rStyle w:val="sb8d990e2"/>
          <w:lang w:val="pl-PL"/>
        </w:rPr>
        <w:t>Artykuł</w:t>
      </w:r>
      <w:r w:rsidR="0010744B" w:rsidRPr="0022499F">
        <w:rPr>
          <w:rStyle w:val="sb8d990e2"/>
          <w:lang w:val="pl-PL"/>
        </w:rPr>
        <w:t>u</w:t>
      </w:r>
      <w:r w:rsidR="002F4D9F" w:rsidRPr="0022499F">
        <w:rPr>
          <w:rStyle w:val="sb8d990e2"/>
          <w:lang w:val="pl-PL"/>
        </w:rPr>
        <w:t xml:space="preserve"> 3 </w:t>
      </w:r>
      <w:r w:rsidR="0010744B" w:rsidRPr="0022499F">
        <w:rPr>
          <w:rStyle w:val="sb8d990e2"/>
          <w:lang w:val="pl-PL"/>
        </w:rPr>
        <w:t xml:space="preserve">została </w:t>
      </w:r>
      <w:r w:rsidR="002F4D9F" w:rsidRPr="0022499F">
        <w:rPr>
          <w:rStyle w:val="sb8d990e2"/>
          <w:lang w:val="pl-PL"/>
        </w:rPr>
        <w:t xml:space="preserve">w ten sposób </w:t>
      </w:r>
      <w:r w:rsidR="0010744B" w:rsidRPr="0022499F">
        <w:rPr>
          <w:rStyle w:val="sb8d990e2"/>
          <w:lang w:val="pl-PL"/>
        </w:rPr>
        <w:t>rozwiązana</w:t>
      </w:r>
      <w:r w:rsidR="009F4730" w:rsidRPr="0022499F">
        <w:rPr>
          <w:rStyle w:val="sb8d990e2"/>
          <w:i/>
          <w:lang w:val="pl-PL"/>
        </w:rPr>
        <w:t>.</w:t>
      </w:r>
    </w:p>
    <w:p w:rsidR="009F4730" w:rsidRPr="0022499F" w:rsidRDefault="00DC3E30" w:rsidP="00C37663">
      <w:pPr>
        <w:pStyle w:val="JuPara"/>
        <w:rPr>
          <w:rStyle w:val="sb8d990e2"/>
          <w:lang w:val="pl-PL"/>
        </w:rPr>
      </w:pPr>
      <w:r w:rsidRPr="0022499F">
        <w:rPr>
          <w:rStyle w:val="sb8d990e2"/>
          <w:lang w:val="pl-PL"/>
        </w:rPr>
        <w:fldChar w:fldCharType="begin"/>
      </w:r>
      <w:r w:rsidR="009F4730"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60</w:t>
      </w:r>
      <w:r w:rsidRPr="0022499F">
        <w:rPr>
          <w:rStyle w:val="sb8d990e2"/>
          <w:lang w:val="pl-PL"/>
        </w:rPr>
        <w:fldChar w:fldCharType="end"/>
      </w:r>
      <w:r w:rsidR="009F4730" w:rsidRPr="0022499F">
        <w:rPr>
          <w:rStyle w:val="sb8d990e2"/>
          <w:lang w:val="pl-PL"/>
        </w:rPr>
        <w:t>.  </w:t>
      </w:r>
      <w:r w:rsidR="0010744B" w:rsidRPr="0022499F">
        <w:rPr>
          <w:lang w:val="pl-PL"/>
        </w:rPr>
        <w:t>Skarżący nie przedstawił żadnych uwag w tym zakresie.</w:t>
      </w:r>
    </w:p>
    <w:p w:rsidR="009F4730" w:rsidRPr="0022499F" w:rsidRDefault="00DC3E30" w:rsidP="00C37663">
      <w:pPr>
        <w:pStyle w:val="JuPara"/>
        <w:rPr>
          <w:rStyle w:val="sb8d990e2"/>
          <w:i/>
          <w:lang w:val="pl-PL" w:eastAsia="en-US"/>
        </w:rPr>
      </w:pPr>
      <w:r w:rsidRPr="0022499F">
        <w:rPr>
          <w:rStyle w:val="sb8d990e2"/>
          <w:lang w:val="pl-PL"/>
        </w:rPr>
        <w:fldChar w:fldCharType="begin"/>
      </w:r>
      <w:r w:rsidR="009F4730"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61</w:t>
      </w:r>
      <w:r w:rsidRPr="0022499F">
        <w:rPr>
          <w:rStyle w:val="sb8d990e2"/>
          <w:lang w:val="pl-PL"/>
        </w:rPr>
        <w:fldChar w:fldCharType="end"/>
      </w:r>
      <w:r w:rsidR="009F4730" w:rsidRPr="0022499F">
        <w:rPr>
          <w:rStyle w:val="sb8d990e2"/>
          <w:lang w:val="pl-PL"/>
        </w:rPr>
        <w:t>.  </w:t>
      </w:r>
      <w:r w:rsidR="00A315C4" w:rsidRPr="0022499F">
        <w:rPr>
          <w:rStyle w:val="sb8d990e2"/>
          <w:lang w:val="pl-PL"/>
        </w:rPr>
        <w:t>Trybunał zauważa, że rozpatrzył</w:t>
      </w:r>
      <w:r w:rsidR="0010744B" w:rsidRPr="0022499F">
        <w:rPr>
          <w:rStyle w:val="sb8d990e2"/>
          <w:lang w:val="pl-PL"/>
        </w:rPr>
        <w:t xml:space="preserve"> już podobny argument podniesiony przez Rząd w innej sprawie (</w:t>
      </w:r>
      <w:proofErr w:type="spellStart"/>
      <w:r w:rsidR="0010744B" w:rsidRPr="0022499F">
        <w:rPr>
          <w:rStyle w:val="sb8d990e2"/>
          <w:i/>
          <w:lang w:val="pl-PL"/>
        </w:rPr>
        <w:t>Melnītis</w:t>
      </w:r>
      <w:proofErr w:type="spellEnd"/>
      <w:r w:rsidR="0010744B" w:rsidRPr="0022499F">
        <w:rPr>
          <w:rStyle w:val="sb8d990e2"/>
          <w:i/>
          <w:lang w:val="pl-PL"/>
        </w:rPr>
        <w:t xml:space="preserve"> przeciwko Łotwie</w:t>
      </w:r>
      <w:r w:rsidR="0010744B" w:rsidRPr="0022499F">
        <w:rPr>
          <w:rStyle w:val="sb8d990e2"/>
          <w:lang w:val="pl-PL"/>
        </w:rPr>
        <w:t xml:space="preserve">, nr 30779/05, §§ 31-38, 28 lutego 2012). Jak w sprawie </w:t>
      </w:r>
      <w:proofErr w:type="spellStart"/>
      <w:r w:rsidR="0010744B" w:rsidRPr="0022499F">
        <w:rPr>
          <w:rStyle w:val="sb8d990e2"/>
          <w:i/>
          <w:lang w:val="pl-PL"/>
        </w:rPr>
        <w:t>Melnītis</w:t>
      </w:r>
      <w:proofErr w:type="spellEnd"/>
      <w:r w:rsidR="0010744B" w:rsidRPr="0022499F">
        <w:rPr>
          <w:rStyle w:val="sb8d990e2"/>
          <w:lang w:val="pl-PL"/>
        </w:rPr>
        <w:t>, Trybunał zg</w:t>
      </w:r>
      <w:r w:rsidR="00A315C4" w:rsidRPr="0022499F">
        <w:rPr>
          <w:rStyle w:val="sb8d990e2"/>
          <w:lang w:val="pl-PL"/>
        </w:rPr>
        <w:t xml:space="preserve">adza się z Rządem, że sytuacja </w:t>
      </w:r>
      <w:r w:rsidR="0010744B" w:rsidRPr="0022499F">
        <w:rPr>
          <w:rStyle w:val="sb8d990e2"/>
          <w:lang w:val="pl-PL"/>
        </w:rPr>
        <w:t>zaskarżona przez skarżącego</w:t>
      </w:r>
      <w:r w:rsidR="00A315C4" w:rsidRPr="0022499F">
        <w:rPr>
          <w:rStyle w:val="sb8d990e2"/>
          <w:lang w:val="pl-PL"/>
        </w:rPr>
        <w:t xml:space="preserve"> </w:t>
      </w:r>
      <w:r w:rsidR="00903D69" w:rsidRPr="0022499F">
        <w:rPr>
          <w:rStyle w:val="sb8d990e2"/>
          <w:lang w:val="pl-PL"/>
        </w:rPr>
        <w:t>nie ma już miejsca</w:t>
      </w:r>
      <w:r w:rsidR="0010744B" w:rsidRPr="0022499F">
        <w:rPr>
          <w:rStyle w:val="sb8d990e2"/>
          <w:lang w:val="pl-PL"/>
        </w:rPr>
        <w:t xml:space="preserve">. </w:t>
      </w:r>
      <w:r w:rsidR="00A315C4" w:rsidRPr="0022499F">
        <w:rPr>
          <w:rStyle w:val="sb8d990e2"/>
          <w:lang w:val="pl-PL"/>
        </w:rPr>
        <w:t>Jednakże, biorąc pod uwagę swoje rozważania dotyczące</w:t>
      </w:r>
      <w:r w:rsidR="0010744B" w:rsidRPr="0022499F">
        <w:rPr>
          <w:rStyle w:val="sb8d990e2"/>
          <w:lang w:val="pl-PL"/>
        </w:rPr>
        <w:t xml:space="preserve"> statusu ofiary </w:t>
      </w:r>
      <w:r w:rsidR="00903D69" w:rsidRPr="0022499F">
        <w:rPr>
          <w:rStyle w:val="sb8d990e2"/>
          <w:lang w:val="pl-PL"/>
        </w:rPr>
        <w:t xml:space="preserve">przyznanego skarżącemu (zobacz </w:t>
      </w:r>
      <w:r w:rsidR="004A064D" w:rsidRPr="0022499F">
        <w:rPr>
          <w:lang w:val="pl-PL"/>
        </w:rPr>
        <w:t>punkt</w:t>
      </w:r>
      <w:r w:rsidR="0010744B" w:rsidRPr="0022499F">
        <w:rPr>
          <w:rStyle w:val="sb8d990e2"/>
          <w:lang w:val="pl-PL"/>
        </w:rPr>
        <w:t xml:space="preserve"> 58 powyżej), Trybunał n</w:t>
      </w:r>
      <w:r w:rsidR="00903D69" w:rsidRPr="0022499F">
        <w:rPr>
          <w:rStyle w:val="sb8d990e2"/>
          <w:lang w:val="pl-PL"/>
        </w:rPr>
        <w:t>ie jest w stanie zgodzić się z R</w:t>
      </w:r>
      <w:r w:rsidR="0010744B" w:rsidRPr="0022499F">
        <w:rPr>
          <w:rStyle w:val="sb8d990e2"/>
          <w:lang w:val="pl-PL"/>
        </w:rPr>
        <w:t>ządem, że sytuacja skarżącego został</w:t>
      </w:r>
      <w:r w:rsidR="00903D69" w:rsidRPr="0022499F">
        <w:rPr>
          <w:rStyle w:val="sb8d990e2"/>
          <w:lang w:val="pl-PL"/>
        </w:rPr>
        <w:t>a rozwiązana</w:t>
      </w:r>
      <w:r w:rsidR="009F4730" w:rsidRPr="0022499F">
        <w:rPr>
          <w:rStyle w:val="sb8d990e2"/>
          <w:i/>
          <w:lang w:val="pl-PL"/>
        </w:rPr>
        <w:t>.</w:t>
      </w:r>
    </w:p>
    <w:p w:rsidR="009F4730" w:rsidRPr="0022499F" w:rsidRDefault="00DC3E30" w:rsidP="00C37663">
      <w:pPr>
        <w:pStyle w:val="JuPara"/>
        <w:rPr>
          <w:rStyle w:val="sb8d990e2"/>
          <w:lang w:val="pl-PL"/>
        </w:rPr>
      </w:pPr>
      <w:r w:rsidRPr="0022499F">
        <w:rPr>
          <w:rStyle w:val="sb8d990e2"/>
          <w:lang w:val="pl-PL"/>
        </w:rPr>
        <w:fldChar w:fldCharType="begin"/>
      </w:r>
      <w:r w:rsidR="009F4730"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62</w:t>
      </w:r>
      <w:r w:rsidRPr="0022499F">
        <w:rPr>
          <w:rStyle w:val="sb8d990e2"/>
          <w:lang w:val="pl-PL"/>
        </w:rPr>
        <w:fldChar w:fldCharType="end"/>
      </w:r>
      <w:r w:rsidR="009F4730" w:rsidRPr="0022499F">
        <w:rPr>
          <w:rStyle w:val="sb8d990e2"/>
          <w:lang w:val="pl-PL"/>
        </w:rPr>
        <w:t>.  </w:t>
      </w:r>
      <w:r w:rsidR="00903D69" w:rsidRPr="0022499F">
        <w:rPr>
          <w:rStyle w:val="sb8d990e2"/>
          <w:lang w:val="pl-PL"/>
        </w:rPr>
        <w:t xml:space="preserve">Dlatego też Trybunał odrzuca wniosek Rządu o skreślenie skargi z listy </w:t>
      </w:r>
      <w:r w:rsidR="00B702C9" w:rsidRPr="0022499F">
        <w:rPr>
          <w:rStyle w:val="sb8d990e2"/>
          <w:lang w:val="pl-PL"/>
        </w:rPr>
        <w:t>na podstawie</w:t>
      </w:r>
      <w:r w:rsidR="00903D69" w:rsidRPr="0022499F">
        <w:rPr>
          <w:rStyle w:val="sb8d990e2"/>
          <w:lang w:val="pl-PL"/>
        </w:rPr>
        <w:t xml:space="preserve"> Artykułu 37 § 1 (b) Konwencji</w:t>
      </w:r>
      <w:r w:rsidR="009F4730" w:rsidRPr="0022499F">
        <w:rPr>
          <w:rStyle w:val="sb8d990e2"/>
          <w:lang w:val="pl-PL"/>
        </w:rPr>
        <w:t>.</w:t>
      </w:r>
    </w:p>
    <w:p w:rsidR="003E33BD" w:rsidRPr="0022499F" w:rsidRDefault="00580E6F" w:rsidP="009F4730">
      <w:pPr>
        <w:pStyle w:val="JuH1"/>
        <w:rPr>
          <w:lang w:val="pl-PL"/>
        </w:rPr>
      </w:pPr>
      <w:r w:rsidRPr="0022499F">
        <w:rPr>
          <w:lang w:val="pl-PL"/>
        </w:rPr>
        <w:t>2.</w:t>
      </w:r>
      <w:r w:rsidR="009F4730" w:rsidRPr="0022499F">
        <w:rPr>
          <w:lang w:val="pl-PL"/>
        </w:rPr>
        <w:t> </w:t>
      </w:r>
      <w:r w:rsidR="00903D69" w:rsidRPr="0022499F">
        <w:rPr>
          <w:lang w:val="pl-PL"/>
        </w:rPr>
        <w:t>Dopuszczalność</w:t>
      </w:r>
    </w:p>
    <w:p w:rsidR="00D870DC" w:rsidRPr="0022499F" w:rsidRDefault="00B806C7" w:rsidP="00B806C7">
      <w:pPr>
        <w:pStyle w:val="JuHa0"/>
        <w:rPr>
          <w:lang w:val="pl-PL"/>
        </w:rPr>
      </w:pPr>
      <w:r w:rsidRPr="0022499F">
        <w:rPr>
          <w:lang w:val="pl-PL"/>
        </w:rPr>
        <w:t>a.  </w:t>
      </w:r>
      <w:r w:rsidR="00903D69" w:rsidRPr="0022499F">
        <w:rPr>
          <w:lang w:val="pl-PL"/>
        </w:rPr>
        <w:t>Twierdzenia stron</w:t>
      </w:r>
    </w:p>
    <w:p w:rsidR="009F4730" w:rsidRPr="0022499F" w:rsidRDefault="00DC3E30" w:rsidP="00C37663">
      <w:pPr>
        <w:pStyle w:val="JuPara"/>
        <w:rPr>
          <w:lang w:val="pl-PL"/>
        </w:rPr>
      </w:pPr>
      <w:r w:rsidRPr="0022499F">
        <w:rPr>
          <w:lang w:val="pl-PL"/>
        </w:rPr>
        <w:fldChar w:fldCharType="begin"/>
      </w:r>
      <w:r w:rsidR="009F4730" w:rsidRPr="0022499F">
        <w:rPr>
          <w:lang w:val="pl-PL"/>
        </w:rPr>
        <w:instrText xml:space="preserve"> SEQ level0 \*arabic </w:instrText>
      </w:r>
      <w:r w:rsidRPr="0022499F">
        <w:rPr>
          <w:lang w:val="pl-PL"/>
        </w:rPr>
        <w:fldChar w:fldCharType="separate"/>
      </w:r>
      <w:r w:rsidR="000E0C74" w:rsidRPr="0022499F">
        <w:rPr>
          <w:noProof/>
          <w:lang w:val="pl-PL"/>
        </w:rPr>
        <w:t>63</w:t>
      </w:r>
      <w:r w:rsidRPr="0022499F">
        <w:rPr>
          <w:lang w:val="pl-PL"/>
        </w:rPr>
        <w:fldChar w:fldCharType="end"/>
      </w:r>
      <w:r w:rsidR="009F4730" w:rsidRPr="0022499F">
        <w:rPr>
          <w:lang w:val="pl-PL"/>
        </w:rPr>
        <w:t>.  </w:t>
      </w:r>
      <w:r w:rsidR="00A50C94" w:rsidRPr="0022499F">
        <w:rPr>
          <w:lang w:val="pl-PL"/>
        </w:rPr>
        <w:t xml:space="preserve">Rząd twierdził, że skarżący nie wyczerpał środków krajowych. W szczególności mógł </w:t>
      </w:r>
      <w:proofErr w:type="spellStart"/>
      <w:r w:rsidR="00A50C94" w:rsidRPr="0022499F">
        <w:rPr>
          <w:lang w:val="pl-PL"/>
        </w:rPr>
        <w:t>zakar</w:t>
      </w:r>
      <w:r w:rsidR="00A315C4" w:rsidRPr="0022499F">
        <w:rPr>
          <w:lang w:val="pl-PL"/>
        </w:rPr>
        <w:t>żyć</w:t>
      </w:r>
      <w:proofErr w:type="spellEnd"/>
      <w:r w:rsidR="00A315C4" w:rsidRPr="0022499F">
        <w:rPr>
          <w:lang w:val="pl-PL"/>
        </w:rPr>
        <w:t xml:space="preserve"> odmowę Administracji Więziennej</w:t>
      </w:r>
      <w:r w:rsidR="00A50C94" w:rsidRPr="0022499F">
        <w:rPr>
          <w:lang w:val="pl-PL"/>
        </w:rPr>
        <w:t xml:space="preserve"> w sprawie przeni</w:t>
      </w:r>
      <w:r w:rsidR="00A315C4" w:rsidRPr="0022499F">
        <w:rPr>
          <w:lang w:val="pl-PL"/>
        </w:rPr>
        <w:t xml:space="preserve">esienia go do więzienia </w:t>
      </w:r>
      <w:proofErr w:type="spellStart"/>
      <w:r w:rsidR="00A315C4" w:rsidRPr="0022499F">
        <w:rPr>
          <w:lang w:val="pl-PL"/>
        </w:rPr>
        <w:t>Matīsa</w:t>
      </w:r>
      <w:proofErr w:type="spellEnd"/>
      <w:r w:rsidR="00A315C4" w:rsidRPr="0022499F">
        <w:rPr>
          <w:lang w:val="pl-PL"/>
        </w:rPr>
        <w:t xml:space="preserve"> </w:t>
      </w:r>
      <w:r w:rsidR="00A50C94" w:rsidRPr="0022499F">
        <w:rPr>
          <w:lang w:val="pl-PL"/>
        </w:rPr>
        <w:t>albo do Ministerstwa Sprawiedliwości, albo do sądów administracyjnych</w:t>
      </w:r>
      <w:r w:rsidR="000C5C91" w:rsidRPr="0022499F">
        <w:rPr>
          <w:lang w:val="pl-PL"/>
        </w:rPr>
        <w:t>.</w:t>
      </w:r>
    </w:p>
    <w:p w:rsidR="000C5C91" w:rsidRPr="0022499F" w:rsidRDefault="00DC3E30" w:rsidP="00C37663">
      <w:pPr>
        <w:pStyle w:val="JuPara"/>
        <w:rPr>
          <w:lang w:val="pl-PL"/>
        </w:rPr>
      </w:pPr>
      <w:r w:rsidRPr="0022499F">
        <w:rPr>
          <w:lang w:val="pl-PL"/>
        </w:rPr>
        <w:fldChar w:fldCharType="begin"/>
      </w:r>
      <w:r w:rsidR="000C5C91" w:rsidRPr="0022499F">
        <w:rPr>
          <w:lang w:val="pl-PL"/>
        </w:rPr>
        <w:instrText xml:space="preserve"> SEQ level0 \*arabic </w:instrText>
      </w:r>
      <w:r w:rsidRPr="0022499F">
        <w:rPr>
          <w:lang w:val="pl-PL"/>
        </w:rPr>
        <w:fldChar w:fldCharType="separate"/>
      </w:r>
      <w:r w:rsidR="000E0C74" w:rsidRPr="0022499F">
        <w:rPr>
          <w:noProof/>
          <w:lang w:val="pl-PL"/>
        </w:rPr>
        <w:t>64</w:t>
      </w:r>
      <w:r w:rsidRPr="0022499F">
        <w:rPr>
          <w:lang w:val="pl-PL"/>
        </w:rPr>
        <w:fldChar w:fldCharType="end"/>
      </w:r>
      <w:r w:rsidR="000C5C91" w:rsidRPr="0022499F">
        <w:rPr>
          <w:lang w:val="pl-PL"/>
        </w:rPr>
        <w:t>.  </w:t>
      </w:r>
      <w:r w:rsidR="00A50C94" w:rsidRPr="0022499F">
        <w:rPr>
          <w:lang w:val="pl-PL"/>
        </w:rPr>
        <w:t>Jeśli chodzi o p</w:t>
      </w:r>
      <w:r w:rsidR="000C637A" w:rsidRPr="0022499F">
        <w:rPr>
          <w:lang w:val="pl-PL"/>
        </w:rPr>
        <w:t>ierwszą z wymienionych alternatyw</w:t>
      </w:r>
      <w:r w:rsidR="00A50C94" w:rsidRPr="0022499F">
        <w:rPr>
          <w:lang w:val="pl-PL"/>
        </w:rPr>
        <w:t xml:space="preserve"> Rząd wyja</w:t>
      </w:r>
      <w:r w:rsidR="004A064D" w:rsidRPr="0022499F">
        <w:rPr>
          <w:lang w:val="pl-PL"/>
        </w:rPr>
        <w:t>śnił, że Administracja Więzienna</w:t>
      </w:r>
      <w:r w:rsidR="00A50C94" w:rsidRPr="0022499F">
        <w:rPr>
          <w:lang w:val="pl-PL"/>
        </w:rPr>
        <w:t xml:space="preserve"> </w:t>
      </w:r>
      <w:r w:rsidR="000C637A" w:rsidRPr="0022499F">
        <w:rPr>
          <w:lang w:val="pl-PL"/>
        </w:rPr>
        <w:t>podlega</w:t>
      </w:r>
      <w:r w:rsidR="00A50C94" w:rsidRPr="0022499F">
        <w:rPr>
          <w:lang w:val="pl-PL"/>
        </w:rPr>
        <w:t xml:space="preserve"> Ministerstwu Sp</w:t>
      </w:r>
      <w:r w:rsidR="000C637A" w:rsidRPr="0022499F">
        <w:rPr>
          <w:lang w:val="pl-PL"/>
        </w:rPr>
        <w:t xml:space="preserve">rawiedliwości, a </w:t>
      </w:r>
      <w:r w:rsidR="00A50C94" w:rsidRPr="0022499F">
        <w:rPr>
          <w:lang w:val="pl-PL"/>
        </w:rPr>
        <w:t xml:space="preserve">ministerstwo ma prawo </w:t>
      </w:r>
      <w:r w:rsidR="00A315C4" w:rsidRPr="0022499F">
        <w:rPr>
          <w:lang w:val="pl-PL"/>
        </w:rPr>
        <w:t>kontrolować decyzje podejmowane przez Administrację Więzienną</w:t>
      </w:r>
      <w:r w:rsidR="00A50C94" w:rsidRPr="0022499F">
        <w:rPr>
          <w:lang w:val="pl-PL"/>
        </w:rPr>
        <w:t xml:space="preserve"> lub </w:t>
      </w:r>
      <w:r w:rsidR="00A315C4" w:rsidRPr="0022499F">
        <w:rPr>
          <w:lang w:val="pl-PL"/>
        </w:rPr>
        <w:t>zarządzać wydanie</w:t>
      </w:r>
      <w:r w:rsidR="000C637A" w:rsidRPr="0022499F">
        <w:rPr>
          <w:lang w:val="pl-PL"/>
        </w:rPr>
        <w:t xml:space="preserve"> decyzji </w:t>
      </w:r>
      <w:r w:rsidR="00A50C94" w:rsidRPr="0022499F">
        <w:rPr>
          <w:lang w:val="pl-PL"/>
        </w:rPr>
        <w:t xml:space="preserve">w razie nieusprawiedliwionego </w:t>
      </w:r>
      <w:r w:rsidR="000C637A" w:rsidRPr="0022499F">
        <w:rPr>
          <w:lang w:val="pl-PL"/>
        </w:rPr>
        <w:t>braku działania</w:t>
      </w:r>
      <w:r w:rsidR="00345B33" w:rsidRPr="0022499F">
        <w:rPr>
          <w:lang w:val="pl-PL"/>
        </w:rPr>
        <w:t>.</w:t>
      </w:r>
    </w:p>
    <w:p w:rsidR="00D870DC" w:rsidRPr="0022499F" w:rsidRDefault="00DC3E30" w:rsidP="00C37663">
      <w:pPr>
        <w:pStyle w:val="JuPara"/>
        <w:rPr>
          <w:lang w:val="pl-PL"/>
        </w:rPr>
      </w:pPr>
      <w:r w:rsidRPr="0022499F">
        <w:rPr>
          <w:lang w:val="pl-PL"/>
        </w:rPr>
        <w:fldChar w:fldCharType="begin"/>
      </w:r>
      <w:r w:rsidR="00345B33" w:rsidRPr="0022499F">
        <w:rPr>
          <w:lang w:val="pl-PL"/>
        </w:rPr>
        <w:instrText xml:space="preserve"> SEQ level0 \*arabic </w:instrText>
      </w:r>
      <w:r w:rsidRPr="0022499F">
        <w:rPr>
          <w:lang w:val="pl-PL"/>
        </w:rPr>
        <w:fldChar w:fldCharType="separate"/>
      </w:r>
      <w:r w:rsidR="000E0C74" w:rsidRPr="0022499F">
        <w:rPr>
          <w:noProof/>
          <w:lang w:val="pl-PL"/>
        </w:rPr>
        <w:t>65</w:t>
      </w:r>
      <w:r w:rsidRPr="0022499F">
        <w:rPr>
          <w:lang w:val="pl-PL"/>
        </w:rPr>
        <w:fldChar w:fldCharType="end"/>
      </w:r>
      <w:r w:rsidR="00345B33" w:rsidRPr="0022499F">
        <w:rPr>
          <w:lang w:val="pl-PL"/>
        </w:rPr>
        <w:t>.  </w:t>
      </w:r>
      <w:r w:rsidR="00A315C4" w:rsidRPr="0022499F">
        <w:rPr>
          <w:lang w:val="pl-PL"/>
        </w:rPr>
        <w:t>Aby potwierdzić alternatywny argument</w:t>
      </w:r>
      <w:r w:rsidR="000C637A" w:rsidRPr="0022499F">
        <w:rPr>
          <w:lang w:val="pl-PL"/>
        </w:rPr>
        <w:t xml:space="preserve">, że sądy administracyjne byłby właściwe w zakresie odpowiedniego usunięcia braków zarzucanych przez skarżącego, Rząd </w:t>
      </w:r>
      <w:r w:rsidR="00352A0B" w:rsidRPr="0022499F">
        <w:rPr>
          <w:lang w:val="pl-PL"/>
        </w:rPr>
        <w:t>powoł</w:t>
      </w:r>
      <w:r w:rsidR="000C637A" w:rsidRPr="0022499F">
        <w:rPr>
          <w:lang w:val="pl-PL"/>
        </w:rPr>
        <w:t>ał się na kilka orzeczeń Senatu Sądu Najwyższego</w:t>
      </w:r>
      <w:r w:rsidR="00E42C84" w:rsidRPr="0022499F">
        <w:rPr>
          <w:lang w:val="pl-PL"/>
        </w:rPr>
        <w:t>.</w:t>
      </w:r>
    </w:p>
    <w:p w:rsidR="009B0A6E" w:rsidRPr="0022499F" w:rsidRDefault="00DC3E30" w:rsidP="00C37663">
      <w:pPr>
        <w:pStyle w:val="JuPara"/>
        <w:rPr>
          <w:rStyle w:val="sb8d990e2"/>
          <w:i/>
          <w:lang w:val="pl-PL"/>
        </w:rPr>
      </w:pPr>
      <w:r w:rsidRPr="0022499F">
        <w:rPr>
          <w:lang w:val="pl-PL"/>
        </w:rPr>
        <w:fldChar w:fldCharType="begin"/>
      </w:r>
      <w:r w:rsidR="00E42C84" w:rsidRPr="0022499F">
        <w:rPr>
          <w:lang w:val="pl-PL"/>
        </w:rPr>
        <w:instrText xml:space="preserve"> SEQ level0 \*arabic </w:instrText>
      </w:r>
      <w:r w:rsidRPr="0022499F">
        <w:rPr>
          <w:lang w:val="pl-PL"/>
        </w:rPr>
        <w:fldChar w:fldCharType="separate"/>
      </w:r>
      <w:r w:rsidR="000E0C74" w:rsidRPr="0022499F">
        <w:rPr>
          <w:noProof/>
          <w:lang w:val="pl-PL"/>
        </w:rPr>
        <w:t>66</w:t>
      </w:r>
      <w:r w:rsidRPr="0022499F">
        <w:rPr>
          <w:lang w:val="pl-PL"/>
        </w:rPr>
        <w:fldChar w:fldCharType="end"/>
      </w:r>
      <w:r w:rsidR="00E42C84" w:rsidRPr="0022499F">
        <w:rPr>
          <w:lang w:val="pl-PL"/>
        </w:rPr>
        <w:t>.  </w:t>
      </w:r>
      <w:r w:rsidR="00352A0B" w:rsidRPr="0022499F">
        <w:rPr>
          <w:lang w:val="pl-PL"/>
        </w:rPr>
        <w:t xml:space="preserve">Rząd przywołał decyzję z dnia 7 marca 2008 </w:t>
      </w:r>
      <w:r w:rsidR="007769D1" w:rsidRPr="0022499F">
        <w:rPr>
          <w:lang w:val="pl-PL"/>
        </w:rPr>
        <w:t>roku (nr SKA-310/2008), w której</w:t>
      </w:r>
      <w:r w:rsidR="00352A0B" w:rsidRPr="0022499F">
        <w:rPr>
          <w:lang w:val="pl-PL"/>
        </w:rPr>
        <w:t xml:space="preserve"> Senat nie zgodził się z</w:t>
      </w:r>
      <w:r w:rsidR="007769D1" w:rsidRPr="0022499F">
        <w:rPr>
          <w:lang w:val="pl-PL"/>
        </w:rPr>
        <w:t xml:space="preserve"> uzasadnieniem wskazanym</w:t>
      </w:r>
      <w:r w:rsidR="00352A0B" w:rsidRPr="0022499F">
        <w:rPr>
          <w:lang w:val="pl-PL"/>
        </w:rPr>
        <w:t xml:space="preserve"> przez Rejonowy Sąd Administracyjny w</w:t>
      </w:r>
      <w:r w:rsidR="007769D1" w:rsidRPr="0022499F">
        <w:rPr>
          <w:lang w:val="pl-PL"/>
        </w:rPr>
        <w:t xml:space="preserve"> odmowie</w:t>
      </w:r>
      <w:r w:rsidR="00352A0B" w:rsidRPr="0022499F">
        <w:rPr>
          <w:lang w:val="pl-PL"/>
        </w:rPr>
        <w:t xml:space="preserve"> przyjęcia do rozpoznania skargi, która został wniesiona do sądu pierwszej instancji w dniu 11 lipca 2007 roku </w:t>
      </w:r>
      <w:r w:rsidR="007769D1" w:rsidRPr="0022499F">
        <w:rPr>
          <w:lang w:val="pl-PL"/>
        </w:rPr>
        <w:t>na decyzję Administracji Więziennej</w:t>
      </w:r>
      <w:r w:rsidR="00352A0B" w:rsidRPr="0022499F">
        <w:rPr>
          <w:lang w:val="pl-PL"/>
        </w:rPr>
        <w:t xml:space="preserve"> w sprawie przeniesienia wnioskodawcy do innego więzienia, w którym nie musiałby obawiać się o swoje bezpieczeństwo. W swojej decyzji Senat uznał, że co do zasady takie </w:t>
      </w:r>
      <w:r w:rsidR="00352A0B" w:rsidRPr="0022499F">
        <w:rPr>
          <w:lang w:val="pl-PL"/>
        </w:rPr>
        <w:lastRenderedPageBreak/>
        <w:t>decyzje są przedmiotem odwołania do sądów administrac</w:t>
      </w:r>
      <w:r w:rsidR="007769D1" w:rsidRPr="0022499F">
        <w:rPr>
          <w:lang w:val="pl-PL"/>
        </w:rPr>
        <w:t>yjnych jako akty administracyjne</w:t>
      </w:r>
      <w:r w:rsidR="00352A0B" w:rsidRPr="0022499F">
        <w:rPr>
          <w:lang w:val="pl-PL"/>
        </w:rPr>
        <w:t xml:space="preserve">, jeżeli wnioskodawcy są w stanie udowodnić, że </w:t>
      </w:r>
      <w:r w:rsidR="007769D1" w:rsidRPr="0022499F">
        <w:rPr>
          <w:lang w:val="pl-PL"/>
        </w:rPr>
        <w:t xml:space="preserve">wspomniane </w:t>
      </w:r>
      <w:r w:rsidR="00352A0B" w:rsidRPr="0022499F">
        <w:rPr>
          <w:lang w:val="pl-PL"/>
        </w:rPr>
        <w:t>decyzje</w:t>
      </w:r>
      <w:r w:rsidR="007769D1" w:rsidRPr="0022499F">
        <w:rPr>
          <w:lang w:val="pl-PL"/>
        </w:rPr>
        <w:t xml:space="preserve"> </w:t>
      </w:r>
      <w:r w:rsidR="00352A0B" w:rsidRPr="0022499F">
        <w:rPr>
          <w:lang w:val="pl-PL"/>
        </w:rPr>
        <w:t xml:space="preserve">znacząco ingerowały w ich fundamentalne prawa, co nastąpiłoby w przypadku, gdyby wnioskodawca był w stanie </w:t>
      </w:r>
      <w:r w:rsidR="007769D1" w:rsidRPr="0022499F">
        <w:rPr>
          <w:lang w:val="pl-PL"/>
        </w:rPr>
        <w:t>wykazać</w:t>
      </w:r>
      <w:r w:rsidR="00352A0B" w:rsidRPr="0022499F">
        <w:rPr>
          <w:lang w:val="pl-PL"/>
        </w:rPr>
        <w:t>, że decyzja o przeniesieniu może wpłynąć lub wpły</w:t>
      </w:r>
      <w:r w:rsidR="007769D1" w:rsidRPr="0022499F">
        <w:rPr>
          <w:lang w:val="pl-PL"/>
        </w:rPr>
        <w:t xml:space="preserve">nęła na jego życie lub zdrowie. Następnie </w:t>
      </w:r>
      <w:r w:rsidR="00352A0B" w:rsidRPr="0022499F">
        <w:rPr>
          <w:lang w:val="pl-PL"/>
        </w:rPr>
        <w:t xml:space="preserve">Senat odmówił przyjęcia skargi do rozpatrzenia, ponieważ stwierdzono, że okoliczności konkretnego </w:t>
      </w:r>
      <w:r w:rsidR="007769D1" w:rsidRPr="0022499F">
        <w:rPr>
          <w:lang w:val="pl-PL"/>
        </w:rPr>
        <w:t>przypadku nie ujawniły możliwości</w:t>
      </w:r>
      <w:r w:rsidR="00352A0B" w:rsidRPr="0022499F">
        <w:rPr>
          <w:lang w:val="pl-PL"/>
        </w:rPr>
        <w:t xml:space="preserve"> ingerencji w życie lub zdrowie wnioskodawcy</w:t>
      </w:r>
      <w:r w:rsidR="009B0A6E" w:rsidRPr="0022499F">
        <w:rPr>
          <w:rStyle w:val="sb8d990e2"/>
          <w:i/>
          <w:lang w:val="pl-PL"/>
        </w:rPr>
        <w:t>.</w:t>
      </w:r>
    </w:p>
    <w:p w:rsidR="00345B33" w:rsidRPr="0022499F" w:rsidRDefault="00DC3E30" w:rsidP="00C37663">
      <w:pPr>
        <w:pStyle w:val="JuPara"/>
        <w:rPr>
          <w:lang w:val="pl-PL"/>
        </w:rPr>
      </w:pPr>
      <w:r w:rsidRPr="0022499F">
        <w:rPr>
          <w:lang w:val="pl-PL"/>
        </w:rPr>
        <w:fldChar w:fldCharType="begin"/>
      </w:r>
      <w:r w:rsidR="009B0A6E" w:rsidRPr="0022499F">
        <w:rPr>
          <w:lang w:val="pl-PL"/>
        </w:rPr>
        <w:instrText xml:space="preserve"> SEQ level0 \*arabic </w:instrText>
      </w:r>
      <w:r w:rsidRPr="0022499F">
        <w:rPr>
          <w:lang w:val="pl-PL"/>
        </w:rPr>
        <w:fldChar w:fldCharType="separate"/>
      </w:r>
      <w:r w:rsidR="000E0C74" w:rsidRPr="0022499F">
        <w:rPr>
          <w:noProof/>
          <w:lang w:val="pl-PL"/>
        </w:rPr>
        <w:t>67</w:t>
      </w:r>
      <w:r w:rsidRPr="0022499F">
        <w:rPr>
          <w:lang w:val="pl-PL"/>
        </w:rPr>
        <w:fldChar w:fldCharType="end"/>
      </w:r>
      <w:r w:rsidR="009B0A6E" w:rsidRPr="0022499F">
        <w:rPr>
          <w:lang w:val="pl-PL"/>
        </w:rPr>
        <w:t>.  </w:t>
      </w:r>
      <w:r w:rsidR="007769D1" w:rsidRPr="0022499F">
        <w:rPr>
          <w:lang w:val="pl-PL"/>
        </w:rPr>
        <w:t>Rząd powołał</w:t>
      </w:r>
      <w:r w:rsidR="00CE70D8" w:rsidRPr="0022499F">
        <w:rPr>
          <w:lang w:val="pl-PL"/>
        </w:rPr>
        <w:t xml:space="preserve"> się dalej na decyzję Senatu z dnia </w:t>
      </w:r>
      <w:r w:rsidR="00352A0B" w:rsidRPr="0022499F">
        <w:rPr>
          <w:lang w:val="pl-PL"/>
        </w:rPr>
        <w:t>23 maja 2006 roku (nr SKA-300/2006), w której Senat uznał, że działania (</w:t>
      </w:r>
      <w:proofErr w:type="spellStart"/>
      <w:r w:rsidR="00352A0B" w:rsidRPr="0022499F">
        <w:rPr>
          <w:lang w:val="pl-PL"/>
        </w:rPr>
        <w:t>faktiskā</w:t>
      </w:r>
      <w:proofErr w:type="spellEnd"/>
      <w:r w:rsidR="00352A0B" w:rsidRPr="0022499F">
        <w:rPr>
          <w:lang w:val="pl-PL"/>
        </w:rPr>
        <w:t xml:space="preserve"> </w:t>
      </w:r>
      <w:proofErr w:type="spellStart"/>
      <w:r w:rsidR="00352A0B" w:rsidRPr="0022499F">
        <w:rPr>
          <w:lang w:val="pl-PL"/>
        </w:rPr>
        <w:t>rīcība</w:t>
      </w:r>
      <w:proofErr w:type="spellEnd"/>
      <w:r w:rsidR="00352A0B" w:rsidRPr="0022499F">
        <w:rPr>
          <w:lang w:val="pl-PL"/>
        </w:rPr>
        <w:t>) władz więzie</w:t>
      </w:r>
      <w:r w:rsidR="00DA3ABA" w:rsidRPr="0022499F">
        <w:rPr>
          <w:lang w:val="pl-PL"/>
        </w:rPr>
        <w:t>nnych, które znacząco ingerują w fundamentalne</w:t>
      </w:r>
      <w:r w:rsidR="00352A0B" w:rsidRPr="0022499F">
        <w:rPr>
          <w:lang w:val="pl-PL"/>
        </w:rPr>
        <w:t xml:space="preserve"> praw</w:t>
      </w:r>
      <w:r w:rsidR="00DA3ABA" w:rsidRPr="0022499F">
        <w:rPr>
          <w:lang w:val="pl-PL"/>
        </w:rPr>
        <w:t>a więźniów</w:t>
      </w:r>
      <w:r w:rsidR="007769D1" w:rsidRPr="0022499F">
        <w:rPr>
          <w:lang w:val="pl-PL"/>
        </w:rPr>
        <w:t>,</w:t>
      </w:r>
      <w:r w:rsidR="00DA3ABA" w:rsidRPr="0022499F">
        <w:rPr>
          <w:lang w:val="pl-PL"/>
        </w:rPr>
        <w:t xml:space="preserve"> są co do zasady przedmiotem kontroli ze strony</w:t>
      </w:r>
      <w:r w:rsidR="00352A0B" w:rsidRPr="0022499F">
        <w:rPr>
          <w:lang w:val="pl-PL"/>
        </w:rPr>
        <w:t xml:space="preserve"> </w:t>
      </w:r>
      <w:r w:rsidR="00DA3ABA" w:rsidRPr="0022499F">
        <w:rPr>
          <w:lang w:val="pl-PL"/>
        </w:rPr>
        <w:t>sądów</w:t>
      </w:r>
      <w:r w:rsidR="00352A0B" w:rsidRPr="0022499F">
        <w:rPr>
          <w:lang w:val="pl-PL"/>
        </w:rPr>
        <w:t xml:space="preserve"> administracyjnych</w:t>
      </w:r>
      <w:r w:rsidR="003A7633" w:rsidRPr="0022499F">
        <w:rPr>
          <w:i/>
          <w:lang w:val="pl-PL"/>
        </w:rPr>
        <w:t>.</w:t>
      </w:r>
    </w:p>
    <w:p w:rsidR="00EA6607" w:rsidRPr="0022499F" w:rsidRDefault="00DC3E30" w:rsidP="00C37663">
      <w:pPr>
        <w:pStyle w:val="JuPara"/>
        <w:rPr>
          <w:i/>
          <w:lang w:val="pl-PL"/>
        </w:rPr>
      </w:pPr>
      <w:r w:rsidRPr="0022499F">
        <w:rPr>
          <w:lang w:val="pl-PL"/>
        </w:rPr>
        <w:fldChar w:fldCharType="begin"/>
      </w:r>
      <w:r w:rsidR="00EA6607" w:rsidRPr="0022499F">
        <w:rPr>
          <w:lang w:val="pl-PL"/>
        </w:rPr>
        <w:instrText xml:space="preserve"> SEQ level0 \*arabic </w:instrText>
      </w:r>
      <w:r w:rsidRPr="0022499F">
        <w:rPr>
          <w:lang w:val="pl-PL"/>
        </w:rPr>
        <w:fldChar w:fldCharType="separate"/>
      </w:r>
      <w:r w:rsidR="000E0C74" w:rsidRPr="0022499F">
        <w:rPr>
          <w:noProof/>
          <w:lang w:val="pl-PL"/>
        </w:rPr>
        <w:t>68</w:t>
      </w:r>
      <w:r w:rsidRPr="0022499F">
        <w:rPr>
          <w:lang w:val="pl-PL"/>
        </w:rPr>
        <w:fldChar w:fldCharType="end"/>
      </w:r>
      <w:r w:rsidR="00EA6607" w:rsidRPr="0022499F">
        <w:rPr>
          <w:lang w:val="pl-PL"/>
        </w:rPr>
        <w:t>.  </w:t>
      </w:r>
      <w:r w:rsidR="00DA3ABA" w:rsidRPr="0022499F">
        <w:rPr>
          <w:lang w:val="pl-PL"/>
        </w:rPr>
        <w:t xml:space="preserve">W świetle tych decyzji, a także biorąc pod uwagę, że Kodeks Postępowania Administracyjnego przewidywał możliwości dochodzenia odszkodowania z tytułu szkody majątkowej i niemajątkowej (zobacz </w:t>
      </w:r>
      <w:r w:rsidR="007769D1" w:rsidRPr="0022499F">
        <w:rPr>
          <w:lang w:val="pl-PL"/>
        </w:rPr>
        <w:t>punkt</w:t>
      </w:r>
      <w:r w:rsidR="00DA3ABA" w:rsidRPr="0022499F">
        <w:rPr>
          <w:lang w:val="pl-PL"/>
        </w:rPr>
        <w:t xml:space="preserve"> 42 powyżej), </w:t>
      </w:r>
      <w:r w:rsidR="007769D1" w:rsidRPr="0022499F">
        <w:rPr>
          <w:lang w:val="pl-PL"/>
        </w:rPr>
        <w:t xml:space="preserve">jak również </w:t>
      </w:r>
      <w:r w:rsidR="00DA3ABA" w:rsidRPr="0022499F">
        <w:rPr>
          <w:lang w:val="pl-PL"/>
        </w:rPr>
        <w:t xml:space="preserve">że sądy administracyjne mają obowiązek przeprowadzenia obiektywnego </w:t>
      </w:r>
      <w:r w:rsidR="007769D1" w:rsidRPr="0022499F">
        <w:rPr>
          <w:lang w:val="pl-PL"/>
        </w:rPr>
        <w:t>rozpoznania sprawy oraz</w:t>
      </w:r>
      <w:r w:rsidR="00DA3ABA" w:rsidRPr="0022499F">
        <w:rPr>
          <w:lang w:val="pl-PL"/>
        </w:rPr>
        <w:t xml:space="preserve"> mogą </w:t>
      </w:r>
      <w:r w:rsidR="001C5C64" w:rsidRPr="0022499F">
        <w:rPr>
          <w:lang w:val="pl-PL"/>
        </w:rPr>
        <w:t>opierać się</w:t>
      </w:r>
      <w:r w:rsidR="00DA3ABA" w:rsidRPr="0022499F">
        <w:rPr>
          <w:lang w:val="pl-PL"/>
        </w:rPr>
        <w:t xml:space="preserve"> na sprawozdaniach sporządzonych przez krajowe i międzynarodowe organizacje praw człowieka, Rząd argumentował, że odwoływanie się do sądów administracyjnych stanowiło skuteczny środek</w:t>
      </w:r>
      <w:r w:rsidR="009F65C4" w:rsidRPr="0022499F">
        <w:rPr>
          <w:i/>
          <w:lang w:val="pl-PL"/>
        </w:rPr>
        <w:t>.</w:t>
      </w:r>
    </w:p>
    <w:p w:rsidR="00B10CFC" w:rsidRPr="0022499F" w:rsidRDefault="00DC3E30" w:rsidP="00C37663">
      <w:pPr>
        <w:pStyle w:val="JuPara"/>
        <w:rPr>
          <w:i/>
          <w:lang w:val="pl-PL"/>
        </w:rPr>
      </w:pPr>
      <w:r w:rsidRPr="0022499F">
        <w:rPr>
          <w:lang w:val="pl-PL"/>
        </w:rPr>
        <w:fldChar w:fldCharType="begin"/>
      </w:r>
      <w:r w:rsidR="009F65C4" w:rsidRPr="0022499F">
        <w:rPr>
          <w:lang w:val="pl-PL"/>
        </w:rPr>
        <w:instrText xml:space="preserve"> SEQ level0 \*arabic </w:instrText>
      </w:r>
      <w:r w:rsidRPr="0022499F">
        <w:rPr>
          <w:lang w:val="pl-PL"/>
        </w:rPr>
        <w:fldChar w:fldCharType="separate"/>
      </w:r>
      <w:r w:rsidR="000E0C74" w:rsidRPr="0022499F">
        <w:rPr>
          <w:noProof/>
          <w:lang w:val="pl-PL"/>
        </w:rPr>
        <w:t>69</w:t>
      </w:r>
      <w:r w:rsidRPr="0022499F">
        <w:rPr>
          <w:lang w:val="pl-PL"/>
        </w:rPr>
        <w:fldChar w:fldCharType="end"/>
      </w:r>
      <w:r w:rsidR="009F65C4" w:rsidRPr="0022499F">
        <w:rPr>
          <w:lang w:val="pl-PL"/>
        </w:rPr>
        <w:t>.  </w:t>
      </w:r>
      <w:r w:rsidR="00DA3ABA" w:rsidRPr="0022499F">
        <w:rPr>
          <w:lang w:val="pl-PL"/>
        </w:rPr>
        <w:t xml:space="preserve">Skarżący stwierdził, że </w:t>
      </w:r>
      <w:r w:rsidR="007769D1" w:rsidRPr="0022499F">
        <w:rPr>
          <w:lang w:val="pl-PL"/>
        </w:rPr>
        <w:t>prawidłowo</w:t>
      </w:r>
      <w:r w:rsidR="00DA3ABA" w:rsidRPr="0022499F">
        <w:rPr>
          <w:lang w:val="pl-PL"/>
        </w:rPr>
        <w:t xml:space="preserve"> skierował swoje skargi do Ministerstwa Sprawiedliwości. W związku z tym powołał się na pismo wysłane przez wspomniane ministerstwo do Pełnomocnika Rządu w dniu 11 marca 2011 roku, w którym stwierdzono, że właściwą drogą do zaskarżenia odmowy przeniesienia więźnia do innego więzienia, która była wewnętrzną decyzją organu władzy publicz</w:t>
      </w:r>
      <w:r w:rsidR="007769D1" w:rsidRPr="0022499F">
        <w:rPr>
          <w:lang w:val="pl-PL"/>
        </w:rPr>
        <w:t xml:space="preserve">nej, a </w:t>
      </w:r>
      <w:r w:rsidR="00DA3ABA" w:rsidRPr="0022499F">
        <w:rPr>
          <w:lang w:val="pl-PL"/>
        </w:rPr>
        <w:t xml:space="preserve">ponadto nie naruszała znacząco praw człowieka danej osoby podporządkowanej, była skarga do Ministerstwa Sprawiedliwości. W tym samym piśmie zauważono również, że Ministerstwo Sprawiedliwości rozpatrzyło dwie skargi skarżącego (z dnia 13 i 16 sierpnia 2007; zobacz także </w:t>
      </w:r>
      <w:r w:rsidR="004A064D" w:rsidRPr="0022499F">
        <w:rPr>
          <w:lang w:val="pl-PL"/>
        </w:rPr>
        <w:t>punkt</w:t>
      </w:r>
      <w:r w:rsidR="00DA3ABA" w:rsidRPr="0022499F">
        <w:rPr>
          <w:lang w:val="pl-PL"/>
        </w:rPr>
        <w:t xml:space="preserve"> 21 powyżej).</w:t>
      </w:r>
    </w:p>
    <w:p w:rsidR="00D870DC" w:rsidRPr="0022499F" w:rsidRDefault="00DC3E30" w:rsidP="00C37663">
      <w:pPr>
        <w:pStyle w:val="JuPara"/>
        <w:rPr>
          <w:i/>
          <w:lang w:val="pl-PL"/>
        </w:rPr>
      </w:pPr>
      <w:r w:rsidRPr="0022499F">
        <w:rPr>
          <w:lang w:val="pl-PL"/>
        </w:rPr>
        <w:fldChar w:fldCharType="begin"/>
      </w:r>
      <w:r w:rsidR="00B10CFC" w:rsidRPr="0022499F">
        <w:rPr>
          <w:lang w:val="pl-PL"/>
        </w:rPr>
        <w:instrText xml:space="preserve"> SEQ level0 \*arabic </w:instrText>
      </w:r>
      <w:r w:rsidRPr="0022499F">
        <w:rPr>
          <w:lang w:val="pl-PL"/>
        </w:rPr>
        <w:fldChar w:fldCharType="separate"/>
      </w:r>
      <w:r w:rsidR="000E0C74" w:rsidRPr="0022499F">
        <w:rPr>
          <w:noProof/>
          <w:lang w:val="pl-PL"/>
        </w:rPr>
        <w:t>70</w:t>
      </w:r>
      <w:r w:rsidRPr="0022499F">
        <w:rPr>
          <w:lang w:val="pl-PL"/>
        </w:rPr>
        <w:fldChar w:fldCharType="end"/>
      </w:r>
      <w:r w:rsidR="00B10CFC" w:rsidRPr="0022499F">
        <w:rPr>
          <w:lang w:val="pl-PL"/>
        </w:rPr>
        <w:t>.  </w:t>
      </w:r>
      <w:r w:rsidR="00DA3ABA" w:rsidRPr="0022499F">
        <w:rPr>
          <w:lang w:val="pl-PL"/>
        </w:rPr>
        <w:t>Ponadto skarżący odwołał się do</w:t>
      </w:r>
      <w:r w:rsidR="00497E4C" w:rsidRPr="0022499F">
        <w:rPr>
          <w:lang w:val="pl-PL"/>
        </w:rPr>
        <w:t xml:space="preserve"> pisma</w:t>
      </w:r>
      <w:r w:rsidR="00DA3ABA" w:rsidRPr="0022499F">
        <w:rPr>
          <w:lang w:val="pl-PL"/>
        </w:rPr>
        <w:t>, jaki</w:t>
      </w:r>
      <w:r w:rsidR="00497E4C" w:rsidRPr="0022499F">
        <w:rPr>
          <w:lang w:val="pl-PL"/>
        </w:rPr>
        <w:t>e</w:t>
      </w:r>
      <w:r w:rsidR="00DA3ABA" w:rsidRPr="0022499F">
        <w:rPr>
          <w:lang w:val="pl-PL"/>
        </w:rPr>
        <w:t xml:space="preserve"> otrzymał od sędziego Sądu Najwyższego w dniu 17 sierpnia 2006 roku, w którym poinformowano, że właściwym organem do podejmowania de</w:t>
      </w:r>
      <w:r w:rsidR="00497E4C" w:rsidRPr="0022499F">
        <w:rPr>
          <w:lang w:val="pl-PL"/>
        </w:rPr>
        <w:t>cyzji w sprawach związanych z rozmieszczaniem wię</w:t>
      </w:r>
      <w:r w:rsidR="004A064D" w:rsidRPr="0022499F">
        <w:rPr>
          <w:lang w:val="pl-PL"/>
        </w:rPr>
        <w:t>źniów jest Administracja Więzienna</w:t>
      </w:r>
      <w:r w:rsidR="00497E4C" w:rsidRPr="0022499F">
        <w:rPr>
          <w:lang w:val="pl-PL"/>
        </w:rPr>
        <w:t xml:space="preserve"> (zobacz </w:t>
      </w:r>
      <w:r w:rsidR="007769D1" w:rsidRPr="0022499F">
        <w:rPr>
          <w:lang w:val="pl-PL"/>
        </w:rPr>
        <w:t>punkt</w:t>
      </w:r>
      <w:r w:rsidR="00497E4C" w:rsidRPr="0022499F">
        <w:rPr>
          <w:lang w:val="pl-PL"/>
        </w:rPr>
        <w:t xml:space="preserve"> </w:t>
      </w:r>
      <w:r w:rsidR="00DA3ABA" w:rsidRPr="0022499F">
        <w:rPr>
          <w:lang w:val="pl-PL"/>
        </w:rPr>
        <w:t xml:space="preserve">18 powyżej). </w:t>
      </w:r>
      <w:r w:rsidR="00497E4C" w:rsidRPr="0022499F">
        <w:rPr>
          <w:lang w:val="pl-PL"/>
        </w:rPr>
        <w:t>Skarżący</w:t>
      </w:r>
      <w:r w:rsidR="00DA3ABA" w:rsidRPr="0022499F">
        <w:rPr>
          <w:lang w:val="pl-PL"/>
        </w:rPr>
        <w:t xml:space="preserve"> uznał</w:t>
      </w:r>
      <w:r w:rsidR="00497E4C" w:rsidRPr="0022499F">
        <w:rPr>
          <w:lang w:val="pl-PL"/>
        </w:rPr>
        <w:t xml:space="preserve"> zatem</w:t>
      </w:r>
      <w:r w:rsidR="00DA3ABA" w:rsidRPr="0022499F">
        <w:rPr>
          <w:lang w:val="pl-PL"/>
        </w:rPr>
        <w:t xml:space="preserve">, że nie otrzymał żadnej informacji o możliwości </w:t>
      </w:r>
      <w:r w:rsidR="007769D1" w:rsidRPr="0022499F">
        <w:rPr>
          <w:lang w:val="pl-PL"/>
        </w:rPr>
        <w:t>wniesienia</w:t>
      </w:r>
      <w:r w:rsidR="00DA3ABA" w:rsidRPr="0022499F">
        <w:rPr>
          <w:lang w:val="pl-PL"/>
        </w:rPr>
        <w:t xml:space="preserve"> skargi do sądu administracyjnego</w:t>
      </w:r>
      <w:r w:rsidR="00B10CFC" w:rsidRPr="0022499F">
        <w:rPr>
          <w:i/>
          <w:lang w:val="pl-PL"/>
        </w:rPr>
        <w:t>.</w:t>
      </w:r>
    </w:p>
    <w:p w:rsidR="00B806C7" w:rsidRPr="0022499F" w:rsidRDefault="00B806C7" w:rsidP="00B806C7">
      <w:pPr>
        <w:pStyle w:val="JuHa0"/>
        <w:rPr>
          <w:lang w:val="pl-PL"/>
        </w:rPr>
      </w:pPr>
      <w:r w:rsidRPr="0022499F">
        <w:rPr>
          <w:lang w:val="pl-PL"/>
        </w:rPr>
        <w:t>b.  </w:t>
      </w:r>
      <w:r w:rsidR="00DA3ABA" w:rsidRPr="0022499F">
        <w:rPr>
          <w:lang w:val="pl-PL"/>
        </w:rPr>
        <w:t>Ocena Trybunału</w:t>
      </w:r>
    </w:p>
    <w:p w:rsidR="00B806C7" w:rsidRPr="0022499F" w:rsidRDefault="00DC3E30" w:rsidP="00B806C7">
      <w:pPr>
        <w:pStyle w:val="JuPara"/>
        <w:rPr>
          <w:rStyle w:val="sb8d990e2"/>
          <w:i/>
          <w:lang w:val="pl-PL"/>
        </w:rPr>
      </w:pPr>
      <w:r w:rsidRPr="0022499F">
        <w:rPr>
          <w:lang w:val="pl-PL"/>
        </w:rPr>
        <w:fldChar w:fldCharType="begin"/>
      </w:r>
      <w:r w:rsidR="00B806C7" w:rsidRPr="0022499F">
        <w:rPr>
          <w:lang w:val="pl-PL"/>
        </w:rPr>
        <w:instrText xml:space="preserve"> SEQ level0 \*arabic </w:instrText>
      </w:r>
      <w:r w:rsidRPr="0022499F">
        <w:rPr>
          <w:lang w:val="pl-PL"/>
        </w:rPr>
        <w:fldChar w:fldCharType="separate"/>
      </w:r>
      <w:r w:rsidR="000E0C74" w:rsidRPr="0022499F">
        <w:rPr>
          <w:noProof/>
          <w:lang w:val="pl-PL"/>
        </w:rPr>
        <w:t>71</w:t>
      </w:r>
      <w:r w:rsidRPr="0022499F">
        <w:rPr>
          <w:lang w:val="pl-PL"/>
        </w:rPr>
        <w:fldChar w:fldCharType="end"/>
      </w:r>
      <w:r w:rsidR="00B806C7" w:rsidRPr="0022499F">
        <w:rPr>
          <w:lang w:val="pl-PL"/>
        </w:rPr>
        <w:t>.  </w:t>
      </w:r>
      <w:bookmarkStart w:id="3" w:name="law_ef_rem"/>
      <w:bookmarkEnd w:id="3"/>
      <w:r w:rsidR="00585C82" w:rsidRPr="0022499F">
        <w:rPr>
          <w:lang w:val="pl-PL"/>
        </w:rPr>
        <w:t>Trybunał wielokrotnie orzek</w:t>
      </w:r>
      <w:r w:rsidR="007769D1" w:rsidRPr="0022499F">
        <w:rPr>
          <w:lang w:val="pl-PL"/>
        </w:rPr>
        <w:t>a</w:t>
      </w:r>
      <w:r w:rsidR="00585C82" w:rsidRPr="0022499F">
        <w:rPr>
          <w:lang w:val="pl-PL"/>
        </w:rPr>
        <w:t>ł, że w</w:t>
      </w:r>
      <w:r w:rsidR="007769D1" w:rsidRPr="0022499F">
        <w:rPr>
          <w:lang w:val="pl-PL"/>
        </w:rPr>
        <w:t xml:space="preserve"> kwestii</w:t>
      </w:r>
      <w:r w:rsidR="00585C82" w:rsidRPr="0022499F">
        <w:rPr>
          <w:lang w:val="pl-PL"/>
        </w:rPr>
        <w:t xml:space="preserve"> wyczerpania środków krajowych </w:t>
      </w:r>
      <w:r w:rsidR="007769D1" w:rsidRPr="0022499F">
        <w:rPr>
          <w:lang w:val="pl-PL"/>
        </w:rPr>
        <w:t>obowiązuje</w:t>
      </w:r>
      <w:r w:rsidR="00585C82" w:rsidRPr="0022499F">
        <w:rPr>
          <w:lang w:val="pl-PL"/>
        </w:rPr>
        <w:t xml:space="preserve"> rozkład ciężaru dowodu. To na Rządzie, który podnosi zarzut niewyczerpania środków krajowych, ciąży obowiązek przekonania Trybunał</w:t>
      </w:r>
      <w:r w:rsidR="007769D1" w:rsidRPr="0022499F">
        <w:rPr>
          <w:lang w:val="pl-PL"/>
        </w:rPr>
        <w:t>u</w:t>
      </w:r>
      <w:r w:rsidR="00585C82" w:rsidRPr="0022499F">
        <w:rPr>
          <w:lang w:val="pl-PL"/>
        </w:rPr>
        <w:t xml:space="preserve">, że środek jest skuteczny, dostępny w teorii i </w:t>
      </w:r>
      <w:r w:rsidR="00585C82" w:rsidRPr="0022499F">
        <w:rPr>
          <w:lang w:val="pl-PL"/>
        </w:rPr>
        <w:lastRenderedPageBreak/>
        <w:t>praktyce w danym czasie</w:t>
      </w:r>
      <w:r w:rsidR="00B50AC2" w:rsidRPr="0022499F">
        <w:rPr>
          <w:lang w:val="pl-PL"/>
        </w:rPr>
        <w:t>, to znaczy, że jest on dostępny</w:t>
      </w:r>
      <w:r w:rsidR="00585C82" w:rsidRPr="0022499F">
        <w:rPr>
          <w:lang w:val="pl-PL"/>
        </w:rPr>
        <w:t xml:space="preserve">, zdolny do zapewnienia zadośćuczynienia w stosunku do zarzutów skarżącego i oferuje rozsądne szanse powodzenia. Jednakże gdy </w:t>
      </w:r>
      <w:r w:rsidR="00ED09D8" w:rsidRPr="0022499F">
        <w:rPr>
          <w:lang w:val="pl-PL"/>
        </w:rPr>
        <w:t>wymóg ten zostanie</w:t>
      </w:r>
      <w:r w:rsidR="00585C82" w:rsidRPr="0022499F">
        <w:rPr>
          <w:lang w:val="pl-PL"/>
        </w:rPr>
        <w:t xml:space="preserve"> spełniony</w:t>
      </w:r>
      <w:r w:rsidR="00ED09D8" w:rsidRPr="0022499F">
        <w:rPr>
          <w:lang w:val="pl-PL"/>
        </w:rPr>
        <w:t xml:space="preserve">, to na skarżącego przejdzie obowiązek </w:t>
      </w:r>
      <w:r w:rsidR="00B50AC2" w:rsidRPr="0022499F">
        <w:rPr>
          <w:lang w:val="pl-PL"/>
        </w:rPr>
        <w:t>wykazania</w:t>
      </w:r>
      <w:r w:rsidR="00585C82" w:rsidRPr="0022499F">
        <w:rPr>
          <w:lang w:val="pl-PL"/>
        </w:rPr>
        <w:t xml:space="preserve">, że </w:t>
      </w:r>
      <w:r w:rsidR="00ED09D8" w:rsidRPr="0022499F">
        <w:rPr>
          <w:lang w:val="pl-PL"/>
        </w:rPr>
        <w:t>środek przedstawiony przez R</w:t>
      </w:r>
      <w:r w:rsidR="00585C82" w:rsidRPr="0022499F">
        <w:rPr>
          <w:lang w:val="pl-PL"/>
        </w:rPr>
        <w:t xml:space="preserve">ząd </w:t>
      </w:r>
      <w:r w:rsidR="00ED09D8" w:rsidRPr="0022499F">
        <w:rPr>
          <w:lang w:val="pl-PL"/>
        </w:rPr>
        <w:t>w rzeczywistości został zastosowany lub</w:t>
      </w:r>
      <w:r w:rsidR="00585C82" w:rsidRPr="0022499F">
        <w:rPr>
          <w:lang w:val="pl-PL"/>
        </w:rPr>
        <w:t xml:space="preserve"> z jakie</w:t>
      </w:r>
      <w:r w:rsidR="00ED09D8" w:rsidRPr="0022499F">
        <w:rPr>
          <w:lang w:val="pl-PL"/>
        </w:rPr>
        <w:t>goś powodu jest niewystarczający i nieskuteczny</w:t>
      </w:r>
      <w:r w:rsidR="00585C82" w:rsidRPr="0022499F">
        <w:rPr>
          <w:lang w:val="pl-PL"/>
        </w:rPr>
        <w:t xml:space="preserve"> w szczególnych</w:t>
      </w:r>
      <w:r w:rsidR="00ED09D8" w:rsidRPr="0022499F">
        <w:rPr>
          <w:lang w:val="pl-PL"/>
        </w:rPr>
        <w:t xml:space="preserve"> okolicznościach sprawy lub</w:t>
      </w:r>
      <w:r w:rsidR="00585C82" w:rsidRPr="0022499F">
        <w:rPr>
          <w:lang w:val="pl-PL"/>
        </w:rPr>
        <w:t xml:space="preserve"> istnieją szczególne okoliczności </w:t>
      </w:r>
      <w:r w:rsidR="00ED09D8" w:rsidRPr="0022499F">
        <w:rPr>
          <w:lang w:val="pl-PL"/>
        </w:rPr>
        <w:t>zwalniające go z tego wymogu (</w:t>
      </w:r>
      <w:r w:rsidR="00585C82" w:rsidRPr="0022499F">
        <w:rPr>
          <w:lang w:val="pl-PL"/>
        </w:rPr>
        <w:t>z</w:t>
      </w:r>
      <w:r w:rsidR="00ED09D8" w:rsidRPr="0022499F">
        <w:rPr>
          <w:lang w:val="pl-PL"/>
        </w:rPr>
        <w:t>obacz</w:t>
      </w:r>
      <w:r w:rsidR="00585C82" w:rsidRPr="0022499F">
        <w:rPr>
          <w:lang w:val="pl-PL"/>
        </w:rPr>
        <w:t xml:space="preserve"> </w:t>
      </w:r>
      <w:proofErr w:type="spellStart"/>
      <w:r w:rsidR="00585C82" w:rsidRPr="0022499F">
        <w:rPr>
          <w:i/>
          <w:lang w:val="pl-PL"/>
        </w:rPr>
        <w:t>Melnītis</w:t>
      </w:r>
      <w:proofErr w:type="spellEnd"/>
      <w:r w:rsidR="00585C82" w:rsidRPr="0022499F">
        <w:rPr>
          <w:lang w:val="pl-PL"/>
        </w:rPr>
        <w:t xml:space="preserve">, </w:t>
      </w:r>
      <w:r w:rsidR="00ED09D8" w:rsidRPr="0022499F">
        <w:rPr>
          <w:lang w:val="pl-PL"/>
        </w:rPr>
        <w:t>przywołany</w:t>
      </w:r>
      <w:r w:rsidR="00585C82" w:rsidRPr="0022499F">
        <w:rPr>
          <w:lang w:val="pl-PL"/>
        </w:rPr>
        <w:t xml:space="preserve"> powyżej, § 46, z dalszymi odniesieniami</w:t>
      </w:r>
      <w:r w:rsidR="00ED09D8" w:rsidRPr="0022499F">
        <w:rPr>
          <w:lang w:val="pl-PL"/>
        </w:rPr>
        <w:t>).</w:t>
      </w:r>
    </w:p>
    <w:p w:rsidR="002165B7" w:rsidRPr="0022499F" w:rsidRDefault="00DC3E30" w:rsidP="00B806C7">
      <w:pPr>
        <w:pStyle w:val="JuPara"/>
        <w:rPr>
          <w:rStyle w:val="sb8d990e2"/>
          <w:i/>
          <w:lang w:val="pl-PL"/>
        </w:rPr>
      </w:pPr>
      <w:r w:rsidRPr="0022499F">
        <w:rPr>
          <w:rStyle w:val="sb8d990e2"/>
          <w:lang w:val="pl-PL"/>
        </w:rPr>
        <w:fldChar w:fldCharType="begin"/>
      </w:r>
      <w:r w:rsidR="002165B7"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72</w:t>
      </w:r>
      <w:r w:rsidRPr="0022499F">
        <w:rPr>
          <w:rStyle w:val="sb8d990e2"/>
          <w:lang w:val="pl-PL"/>
        </w:rPr>
        <w:fldChar w:fldCharType="end"/>
      </w:r>
      <w:r w:rsidR="002165B7" w:rsidRPr="0022499F">
        <w:rPr>
          <w:rStyle w:val="sb8d990e2"/>
          <w:lang w:val="pl-PL"/>
        </w:rPr>
        <w:t>.  </w:t>
      </w:r>
      <w:r w:rsidR="007769D1" w:rsidRPr="0022499F">
        <w:rPr>
          <w:rStyle w:val="sb8d990e2"/>
          <w:lang w:val="pl-PL"/>
        </w:rPr>
        <w:t xml:space="preserve">Trybunał odnotowuje </w:t>
      </w:r>
      <w:r w:rsidR="008F20D7" w:rsidRPr="0022499F">
        <w:rPr>
          <w:rStyle w:val="sb8d990e2"/>
          <w:lang w:val="pl-PL"/>
        </w:rPr>
        <w:t>argument skarżącego,</w:t>
      </w:r>
      <w:r w:rsidR="00ED09D8" w:rsidRPr="0022499F">
        <w:rPr>
          <w:rStyle w:val="sb8d990e2"/>
          <w:lang w:val="pl-PL"/>
        </w:rPr>
        <w:t xml:space="preserve"> że nigdy nie został poinformowany o możliwości odwołania się do sądów administracyjnych </w:t>
      </w:r>
      <w:r w:rsidR="007769D1" w:rsidRPr="0022499F">
        <w:rPr>
          <w:rStyle w:val="sb8d990e2"/>
          <w:lang w:val="pl-PL"/>
        </w:rPr>
        <w:t>od odmowy</w:t>
      </w:r>
      <w:r w:rsidR="008F20D7" w:rsidRPr="0022499F">
        <w:rPr>
          <w:rStyle w:val="sb8d990e2"/>
          <w:lang w:val="pl-PL"/>
        </w:rPr>
        <w:t xml:space="preserve"> Administracji Więziennej</w:t>
      </w:r>
      <w:r w:rsidR="00ED09D8" w:rsidRPr="0022499F">
        <w:rPr>
          <w:rStyle w:val="sb8d990e2"/>
          <w:lang w:val="pl-PL"/>
        </w:rPr>
        <w:t xml:space="preserve"> </w:t>
      </w:r>
      <w:r w:rsidR="008F20D7" w:rsidRPr="0022499F">
        <w:rPr>
          <w:rStyle w:val="sb8d990e2"/>
          <w:lang w:val="pl-PL"/>
        </w:rPr>
        <w:t>w sprawie przeniesienia</w:t>
      </w:r>
      <w:r w:rsidR="00ED09D8" w:rsidRPr="0022499F">
        <w:rPr>
          <w:rStyle w:val="sb8d990e2"/>
          <w:lang w:val="pl-PL"/>
        </w:rPr>
        <w:t>. Rzeczywiście wydaje się, że sędzia S</w:t>
      </w:r>
      <w:r w:rsidR="0005212D" w:rsidRPr="0022499F">
        <w:rPr>
          <w:rStyle w:val="sb8d990e2"/>
          <w:lang w:val="pl-PL"/>
        </w:rPr>
        <w:t xml:space="preserve">ądu </w:t>
      </w:r>
      <w:r w:rsidR="00ED09D8" w:rsidRPr="0022499F">
        <w:rPr>
          <w:rStyle w:val="sb8d990e2"/>
          <w:lang w:val="pl-PL"/>
        </w:rPr>
        <w:t>N</w:t>
      </w:r>
      <w:r w:rsidR="0005212D" w:rsidRPr="0022499F">
        <w:rPr>
          <w:rStyle w:val="sb8d990e2"/>
          <w:lang w:val="pl-PL"/>
        </w:rPr>
        <w:t>ajwyższego</w:t>
      </w:r>
      <w:r w:rsidR="00ED09D8" w:rsidRPr="0022499F">
        <w:rPr>
          <w:rStyle w:val="sb8d990e2"/>
          <w:lang w:val="pl-PL"/>
        </w:rPr>
        <w:t xml:space="preserve"> wskazał w piśmie do </w:t>
      </w:r>
      <w:r w:rsidR="0005212D" w:rsidRPr="0022499F">
        <w:rPr>
          <w:rStyle w:val="sb8d990e2"/>
          <w:lang w:val="pl-PL"/>
        </w:rPr>
        <w:t>skarżącego</w:t>
      </w:r>
      <w:r w:rsidR="00ED09D8" w:rsidRPr="0022499F">
        <w:rPr>
          <w:rStyle w:val="sb8d990e2"/>
          <w:lang w:val="pl-PL"/>
        </w:rPr>
        <w:t>,</w:t>
      </w:r>
      <w:r w:rsidR="0005212D" w:rsidRPr="0022499F">
        <w:rPr>
          <w:rStyle w:val="sb8d990e2"/>
          <w:lang w:val="pl-PL"/>
        </w:rPr>
        <w:t xml:space="preserve"> że to Administracja Więzienna </w:t>
      </w:r>
      <w:r w:rsidR="007769D1" w:rsidRPr="0022499F">
        <w:rPr>
          <w:rStyle w:val="sb8d990e2"/>
          <w:lang w:val="pl-PL"/>
        </w:rPr>
        <w:t>sprawuje</w:t>
      </w:r>
      <w:r w:rsidR="0005212D" w:rsidRPr="0022499F">
        <w:rPr>
          <w:rStyle w:val="sb8d990e2"/>
          <w:lang w:val="pl-PL"/>
        </w:rPr>
        <w:t xml:space="preserve"> najwyższą władzę</w:t>
      </w:r>
      <w:r w:rsidR="00ED09D8" w:rsidRPr="0022499F">
        <w:rPr>
          <w:rStyle w:val="sb8d990e2"/>
          <w:lang w:val="pl-PL"/>
        </w:rPr>
        <w:t xml:space="preserve"> w kwestii </w:t>
      </w:r>
      <w:r w:rsidR="0005212D" w:rsidRPr="0022499F">
        <w:rPr>
          <w:rStyle w:val="sb8d990e2"/>
          <w:lang w:val="pl-PL"/>
        </w:rPr>
        <w:t>przeniesienia więźniów. Ponadto</w:t>
      </w:r>
      <w:r w:rsidR="00ED09D8" w:rsidRPr="0022499F">
        <w:rPr>
          <w:rStyle w:val="sb8d990e2"/>
          <w:lang w:val="pl-PL"/>
        </w:rPr>
        <w:t xml:space="preserve"> wydaje się, że jeszcze w 2011 roku Ministerstwo Sprawiedliwości (instytucja, któ</w:t>
      </w:r>
      <w:r w:rsidR="0005212D" w:rsidRPr="0022499F">
        <w:rPr>
          <w:rStyle w:val="sb8d990e2"/>
          <w:lang w:val="pl-PL"/>
        </w:rPr>
        <w:t>ra na Łotwie jest odpowiedzialna</w:t>
      </w:r>
      <w:r w:rsidR="00ED09D8" w:rsidRPr="0022499F">
        <w:rPr>
          <w:rStyle w:val="sb8d990e2"/>
          <w:lang w:val="pl-PL"/>
        </w:rPr>
        <w:t xml:space="preserve">, między innymi, </w:t>
      </w:r>
      <w:r w:rsidR="0005212D" w:rsidRPr="0022499F">
        <w:rPr>
          <w:rStyle w:val="sb8d990e2"/>
          <w:lang w:val="pl-PL"/>
        </w:rPr>
        <w:t xml:space="preserve">za </w:t>
      </w:r>
      <w:r w:rsidR="00ED09D8" w:rsidRPr="0022499F">
        <w:rPr>
          <w:rStyle w:val="sb8d990e2"/>
          <w:lang w:val="pl-PL"/>
        </w:rPr>
        <w:t>zapewnienie funkcjonowania systemu sądownictwa) był</w:t>
      </w:r>
      <w:r w:rsidR="0005212D" w:rsidRPr="0022499F">
        <w:rPr>
          <w:rStyle w:val="sb8d990e2"/>
          <w:lang w:val="pl-PL"/>
        </w:rPr>
        <w:t>o</w:t>
      </w:r>
      <w:r w:rsidR="00ED09D8" w:rsidRPr="0022499F">
        <w:rPr>
          <w:rStyle w:val="sb8d990e2"/>
          <w:lang w:val="pl-PL"/>
        </w:rPr>
        <w:t xml:space="preserve"> zdania, że skargi dotyczące odmowy </w:t>
      </w:r>
      <w:r w:rsidR="0005212D" w:rsidRPr="0022499F">
        <w:rPr>
          <w:rStyle w:val="sb8d990e2"/>
          <w:lang w:val="pl-PL"/>
        </w:rPr>
        <w:t>przeniesienia więźnió</w:t>
      </w:r>
      <w:r w:rsidR="007769D1" w:rsidRPr="0022499F">
        <w:rPr>
          <w:rStyle w:val="sb8d990e2"/>
          <w:lang w:val="pl-PL"/>
        </w:rPr>
        <w:t>w</w:t>
      </w:r>
      <w:r w:rsidR="0005212D" w:rsidRPr="0022499F">
        <w:rPr>
          <w:rStyle w:val="sb8d990e2"/>
          <w:lang w:val="pl-PL"/>
        </w:rPr>
        <w:t xml:space="preserve"> były wyłączone z kognicji</w:t>
      </w:r>
      <w:r w:rsidR="00ED09D8" w:rsidRPr="0022499F">
        <w:rPr>
          <w:rStyle w:val="sb8d990e2"/>
          <w:lang w:val="pl-PL"/>
        </w:rPr>
        <w:t xml:space="preserve"> sądu administracyjnego (</w:t>
      </w:r>
      <w:r w:rsidR="0005212D" w:rsidRPr="0022499F">
        <w:rPr>
          <w:rStyle w:val="sb8d990e2"/>
          <w:lang w:val="pl-PL"/>
        </w:rPr>
        <w:t>zobacz</w:t>
      </w:r>
      <w:r w:rsidR="00ED09D8" w:rsidRPr="0022499F">
        <w:rPr>
          <w:rStyle w:val="sb8d990e2"/>
          <w:lang w:val="pl-PL"/>
        </w:rPr>
        <w:t xml:space="preserve"> p</w:t>
      </w:r>
      <w:r w:rsidR="0005212D" w:rsidRPr="0022499F">
        <w:rPr>
          <w:rStyle w:val="sb8d990e2"/>
          <w:lang w:val="pl-PL"/>
        </w:rPr>
        <w:t>unkt 69 powyżej)</w:t>
      </w:r>
      <w:r w:rsidR="00D659FE" w:rsidRPr="0022499F">
        <w:rPr>
          <w:rStyle w:val="sb8d990e2"/>
          <w:i/>
          <w:lang w:val="pl-PL"/>
        </w:rPr>
        <w:t>.</w:t>
      </w:r>
    </w:p>
    <w:p w:rsidR="00ED6239" w:rsidRPr="0022499F" w:rsidRDefault="00DC3E30" w:rsidP="0005212D">
      <w:pPr>
        <w:pStyle w:val="JuPara"/>
        <w:tabs>
          <w:tab w:val="left" w:pos="4395"/>
        </w:tabs>
        <w:rPr>
          <w:rStyle w:val="sb8d990e2"/>
          <w:lang w:val="pl-PL"/>
        </w:rPr>
      </w:pPr>
      <w:r w:rsidRPr="0022499F">
        <w:rPr>
          <w:rStyle w:val="sb8d990e2"/>
          <w:lang w:val="pl-PL"/>
        </w:rPr>
        <w:fldChar w:fldCharType="begin"/>
      </w:r>
      <w:r w:rsidR="00397D51"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73</w:t>
      </w:r>
      <w:r w:rsidRPr="0022499F">
        <w:rPr>
          <w:rStyle w:val="sb8d990e2"/>
          <w:lang w:val="pl-PL"/>
        </w:rPr>
        <w:fldChar w:fldCharType="end"/>
      </w:r>
      <w:r w:rsidR="00BF3A56" w:rsidRPr="0022499F">
        <w:rPr>
          <w:rStyle w:val="sb8d990e2"/>
          <w:lang w:val="pl-PL"/>
        </w:rPr>
        <w:t>.  </w:t>
      </w:r>
      <w:r w:rsidR="0005212D" w:rsidRPr="0022499F">
        <w:rPr>
          <w:rStyle w:val="sb8d990e2"/>
          <w:lang w:val="pl-PL"/>
        </w:rPr>
        <w:t>Jednakże nawet przy założeniu, że teoretycznie sądy administracyjne były dostępne dla skarżącego, Trybunał zauważa, że orzecznictwo tych sądów ujawnia istnienie znacznej niepewności co d</w:t>
      </w:r>
      <w:r w:rsidR="00D774D4" w:rsidRPr="0022499F">
        <w:rPr>
          <w:rStyle w:val="sb8d990e2"/>
          <w:lang w:val="pl-PL"/>
        </w:rPr>
        <w:t>o podejścia, które należy przyjąć</w:t>
      </w:r>
      <w:r w:rsidR="0005212D" w:rsidRPr="0022499F">
        <w:rPr>
          <w:rStyle w:val="sb8d990e2"/>
          <w:lang w:val="pl-PL"/>
        </w:rPr>
        <w:t xml:space="preserve"> w związku z rozpatrywaniem </w:t>
      </w:r>
      <w:r w:rsidR="00D774D4" w:rsidRPr="0022499F">
        <w:rPr>
          <w:rStyle w:val="sb8d990e2"/>
          <w:lang w:val="pl-PL"/>
        </w:rPr>
        <w:t>kwestii przenoszenia więźniów</w:t>
      </w:r>
      <w:r w:rsidR="0005212D" w:rsidRPr="0022499F">
        <w:rPr>
          <w:rStyle w:val="sb8d990e2"/>
          <w:lang w:val="pl-PL"/>
        </w:rPr>
        <w:t xml:space="preserve">. Na </w:t>
      </w:r>
      <w:r w:rsidR="007769D1" w:rsidRPr="0022499F">
        <w:rPr>
          <w:rStyle w:val="sb8d990e2"/>
          <w:lang w:val="pl-PL"/>
        </w:rPr>
        <w:t>wstęp</w:t>
      </w:r>
      <w:r w:rsidR="00D774D4" w:rsidRPr="0022499F">
        <w:rPr>
          <w:rStyle w:val="sb8d990e2"/>
          <w:lang w:val="pl-PL"/>
        </w:rPr>
        <w:t>ie</w:t>
      </w:r>
      <w:r w:rsidR="0005212D" w:rsidRPr="0022499F">
        <w:rPr>
          <w:rStyle w:val="sb8d990e2"/>
          <w:lang w:val="pl-PL"/>
        </w:rPr>
        <w:t xml:space="preserve"> nie wyda</w:t>
      </w:r>
      <w:r w:rsidR="00D774D4" w:rsidRPr="0022499F">
        <w:rPr>
          <w:rStyle w:val="sb8d990e2"/>
          <w:lang w:val="pl-PL"/>
        </w:rPr>
        <w:t xml:space="preserve">je się, aby Rząd </w:t>
      </w:r>
      <w:r w:rsidR="007769D1" w:rsidRPr="0022499F">
        <w:rPr>
          <w:rStyle w:val="sb8d990e2"/>
          <w:lang w:val="pl-PL"/>
        </w:rPr>
        <w:t>stwierdził</w:t>
      </w:r>
      <w:r w:rsidR="00D774D4" w:rsidRPr="0022499F">
        <w:rPr>
          <w:rStyle w:val="sb8d990e2"/>
          <w:lang w:val="pl-PL"/>
        </w:rPr>
        <w:t xml:space="preserve">, a </w:t>
      </w:r>
      <w:r w:rsidR="0005212D" w:rsidRPr="0022499F">
        <w:rPr>
          <w:rStyle w:val="sb8d990e2"/>
          <w:lang w:val="pl-PL"/>
        </w:rPr>
        <w:t>sądy krajowe kiedykolwiek uznał</w:t>
      </w:r>
      <w:r w:rsidR="00D774D4" w:rsidRPr="0022499F">
        <w:rPr>
          <w:rStyle w:val="sb8d990e2"/>
          <w:lang w:val="pl-PL"/>
        </w:rPr>
        <w:t>y, że decyzje dotyczące przenoszenia więźniów są działaniem organów</w:t>
      </w:r>
      <w:r w:rsidR="0005212D" w:rsidRPr="0022499F">
        <w:rPr>
          <w:rStyle w:val="sb8d990e2"/>
          <w:lang w:val="pl-PL"/>
        </w:rPr>
        <w:t xml:space="preserve"> władz publicznych. Dlatego też</w:t>
      </w:r>
      <w:r w:rsidR="00D774D4" w:rsidRPr="0022499F">
        <w:rPr>
          <w:rStyle w:val="sb8d990e2"/>
          <w:lang w:val="pl-PL"/>
        </w:rPr>
        <w:t xml:space="preserve"> decyzja Senatu w sprawie nr SKA-</w:t>
      </w:r>
      <w:r w:rsidR="0005212D" w:rsidRPr="0022499F">
        <w:rPr>
          <w:rStyle w:val="sb8d990e2"/>
          <w:lang w:val="pl-PL"/>
        </w:rPr>
        <w:t>300/2006 nie ma oczywistego znaczenia dla rozstrzygnięcia ninie</w:t>
      </w:r>
      <w:r w:rsidR="00D774D4" w:rsidRPr="0022499F">
        <w:rPr>
          <w:rStyle w:val="sb8d990e2"/>
          <w:lang w:val="pl-PL"/>
        </w:rPr>
        <w:t>jszej sprawy</w:t>
      </w:r>
      <w:r w:rsidR="007769D1" w:rsidRPr="0022499F">
        <w:rPr>
          <w:rStyle w:val="sb8d990e2"/>
          <w:lang w:val="pl-PL"/>
        </w:rPr>
        <w:t xml:space="preserve">. Z drugiej strony </w:t>
      </w:r>
      <w:r w:rsidR="0005212D" w:rsidRPr="0022499F">
        <w:rPr>
          <w:rStyle w:val="sb8d990e2"/>
          <w:lang w:val="pl-PL"/>
        </w:rPr>
        <w:t>wydaje się, że opinia sądów administracyjnych, przynajmniej w danym czasie, była nie</w:t>
      </w:r>
      <w:r w:rsidR="00D774D4" w:rsidRPr="0022499F">
        <w:rPr>
          <w:rStyle w:val="sb8d990e2"/>
          <w:lang w:val="pl-PL"/>
        </w:rPr>
        <w:t xml:space="preserve">spójna </w:t>
      </w:r>
      <w:r w:rsidR="007769D1" w:rsidRPr="0022499F">
        <w:rPr>
          <w:rStyle w:val="sb8d990e2"/>
          <w:lang w:val="pl-PL"/>
        </w:rPr>
        <w:t>odnośnie tego,</w:t>
      </w:r>
      <w:r w:rsidR="00D774D4" w:rsidRPr="0022499F">
        <w:rPr>
          <w:rStyle w:val="sb8d990e2"/>
          <w:lang w:val="pl-PL"/>
        </w:rPr>
        <w:t xml:space="preserve"> czy </w:t>
      </w:r>
      <w:r w:rsidR="007769D1" w:rsidRPr="0022499F">
        <w:rPr>
          <w:rStyle w:val="sb8d990e2"/>
          <w:lang w:val="pl-PL"/>
        </w:rPr>
        <w:t>zarządzenie</w:t>
      </w:r>
      <w:r w:rsidR="0005212D" w:rsidRPr="0022499F">
        <w:rPr>
          <w:rStyle w:val="sb8d990e2"/>
          <w:lang w:val="pl-PL"/>
        </w:rPr>
        <w:t xml:space="preserve"> przeniesienia więźnia</w:t>
      </w:r>
      <w:r w:rsidR="00D774D4" w:rsidRPr="0022499F">
        <w:rPr>
          <w:rStyle w:val="sb8d990e2"/>
          <w:lang w:val="pl-PL"/>
        </w:rPr>
        <w:t xml:space="preserve"> do innego więzienia (lub odmowa</w:t>
      </w:r>
      <w:r w:rsidR="0005212D" w:rsidRPr="0022499F">
        <w:rPr>
          <w:rStyle w:val="sb8d990e2"/>
          <w:lang w:val="pl-PL"/>
        </w:rPr>
        <w:t xml:space="preserve"> </w:t>
      </w:r>
      <w:r w:rsidR="007769D1" w:rsidRPr="0022499F">
        <w:rPr>
          <w:rStyle w:val="sb8d990e2"/>
          <w:lang w:val="pl-PL"/>
        </w:rPr>
        <w:t xml:space="preserve">zarządzenia </w:t>
      </w:r>
      <w:r w:rsidR="00D774D4" w:rsidRPr="0022499F">
        <w:rPr>
          <w:rStyle w:val="sb8d990e2"/>
          <w:lang w:val="pl-PL"/>
        </w:rPr>
        <w:t>takiego przeniesienia</w:t>
      </w:r>
      <w:r w:rsidR="0005212D" w:rsidRPr="0022499F">
        <w:rPr>
          <w:rStyle w:val="sb8d990e2"/>
          <w:lang w:val="pl-PL"/>
        </w:rPr>
        <w:t xml:space="preserve">) stanowi </w:t>
      </w:r>
      <w:r w:rsidR="00D774D4" w:rsidRPr="0022499F">
        <w:rPr>
          <w:rStyle w:val="sb8d990e2"/>
          <w:lang w:val="pl-PL"/>
        </w:rPr>
        <w:t>akt administracyjny, wewnętrzną</w:t>
      </w:r>
      <w:r w:rsidR="0005212D" w:rsidRPr="0022499F">
        <w:rPr>
          <w:rStyle w:val="sb8d990e2"/>
          <w:lang w:val="pl-PL"/>
        </w:rPr>
        <w:t xml:space="preserve"> dec</w:t>
      </w:r>
      <w:r w:rsidR="00D774D4" w:rsidRPr="0022499F">
        <w:rPr>
          <w:rStyle w:val="sb8d990e2"/>
          <w:lang w:val="pl-PL"/>
        </w:rPr>
        <w:t>yzję</w:t>
      </w:r>
      <w:r w:rsidR="0005212D" w:rsidRPr="0022499F">
        <w:rPr>
          <w:rStyle w:val="sb8d990e2"/>
          <w:lang w:val="pl-PL"/>
        </w:rPr>
        <w:t xml:space="preserve"> organu władzy publicznej lub nawet </w:t>
      </w:r>
      <w:r w:rsidR="00D774D4" w:rsidRPr="0022499F">
        <w:rPr>
          <w:rStyle w:val="sb8d990e2"/>
          <w:lang w:val="pl-PL"/>
        </w:rPr>
        <w:t xml:space="preserve">decyzję w toku procedury karnej. </w:t>
      </w:r>
      <w:r w:rsidR="007769D1" w:rsidRPr="0022499F">
        <w:rPr>
          <w:rStyle w:val="sb8d990e2"/>
          <w:lang w:val="pl-PL"/>
        </w:rPr>
        <w:t xml:space="preserve">Kolejna </w:t>
      </w:r>
      <w:r w:rsidR="00441477" w:rsidRPr="0022499F">
        <w:rPr>
          <w:rStyle w:val="sb8d990e2"/>
          <w:lang w:val="pl-PL"/>
        </w:rPr>
        <w:t>wątpliwość</w:t>
      </w:r>
      <w:r w:rsidR="0005212D" w:rsidRPr="0022499F">
        <w:rPr>
          <w:rStyle w:val="sb8d990e2"/>
          <w:lang w:val="pl-PL"/>
        </w:rPr>
        <w:t xml:space="preserve"> dotyczy kwestii, czy wewnętrzna decyzja organu </w:t>
      </w:r>
      <w:r w:rsidR="00D774D4" w:rsidRPr="0022499F">
        <w:rPr>
          <w:rStyle w:val="sb8d990e2"/>
          <w:lang w:val="pl-PL"/>
        </w:rPr>
        <w:t>władzy publicznej</w:t>
      </w:r>
      <w:r w:rsidR="0005212D" w:rsidRPr="0022499F">
        <w:rPr>
          <w:rStyle w:val="sb8d990e2"/>
          <w:lang w:val="pl-PL"/>
        </w:rPr>
        <w:t xml:space="preserve"> lub </w:t>
      </w:r>
      <w:r w:rsidR="00D774D4" w:rsidRPr="0022499F">
        <w:rPr>
          <w:rStyle w:val="sb8d990e2"/>
          <w:lang w:val="pl-PL"/>
        </w:rPr>
        <w:t>decyzja wydana w toku procedury karnej, w razi</w:t>
      </w:r>
      <w:r w:rsidR="007769D1" w:rsidRPr="0022499F">
        <w:rPr>
          <w:rStyle w:val="sb8d990e2"/>
          <w:lang w:val="pl-PL"/>
        </w:rPr>
        <w:t>e uznania za znacząco ingerującą</w:t>
      </w:r>
      <w:r w:rsidR="00D774D4" w:rsidRPr="0022499F">
        <w:rPr>
          <w:rStyle w:val="sb8d990e2"/>
          <w:lang w:val="pl-PL"/>
        </w:rPr>
        <w:t xml:space="preserve"> w prawa </w:t>
      </w:r>
      <w:r w:rsidR="00C26B40" w:rsidRPr="0022499F">
        <w:rPr>
          <w:rStyle w:val="sb8d990e2"/>
          <w:lang w:val="pl-PL"/>
        </w:rPr>
        <w:t>człowieka danej osoby, może być przedmiotem kontroli</w:t>
      </w:r>
      <w:r w:rsidR="0005212D" w:rsidRPr="0022499F">
        <w:rPr>
          <w:rStyle w:val="sb8d990e2"/>
          <w:lang w:val="pl-PL"/>
        </w:rPr>
        <w:t xml:space="preserve"> w sądach administracyjnych. Wreszcie, jak już orzekł Trybunał w wyżej </w:t>
      </w:r>
      <w:r w:rsidR="00C26B40" w:rsidRPr="0022499F">
        <w:rPr>
          <w:rStyle w:val="sb8d990e2"/>
          <w:lang w:val="pl-PL"/>
        </w:rPr>
        <w:t>przywołanej sprawie</w:t>
      </w:r>
      <w:r w:rsidR="0005212D" w:rsidRPr="0022499F">
        <w:rPr>
          <w:rStyle w:val="sb8d990e2"/>
          <w:lang w:val="pl-PL"/>
        </w:rPr>
        <w:t xml:space="preserve"> </w:t>
      </w:r>
      <w:proofErr w:type="spellStart"/>
      <w:r w:rsidR="0005212D" w:rsidRPr="0022499F">
        <w:rPr>
          <w:rStyle w:val="sb8d990e2"/>
          <w:i/>
          <w:lang w:val="pl-PL"/>
        </w:rPr>
        <w:t>Melnītis</w:t>
      </w:r>
      <w:proofErr w:type="spellEnd"/>
      <w:r w:rsidR="0005212D" w:rsidRPr="0022499F">
        <w:rPr>
          <w:rStyle w:val="sb8d990e2"/>
          <w:lang w:val="pl-PL"/>
        </w:rPr>
        <w:t xml:space="preserve"> (§ 51), nie jest pewne, które </w:t>
      </w:r>
      <w:r w:rsidR="00C26B40" w:rsidRPr="0022499F">
        <w:rPr>
          <w:rStyle w:val="sb8d990e2"/>
          <w:lang w:val="pl-PL"/>
        </w:rPr>
        <w:t>skargi przejdą test „znaczącej ingerencji”, opracowany</w:t>
      </w:r>
      <w:r w:rsidR="0005212D" w:rsidRPr="0022499F">
        <w:rPr>
          <w:rStyle w:val="sb8d990e2"/>
          <w:lang w:val="pl-PL"/>
        </w:rPr>
        <w:t xml:space="preserve"> przez sądy administracyjne</w:t>
      </w:r>
      <w:r w:rsidR="00C26B40" w:rsidRPr="0022499F">
        <w:rPr>
          <w:rStyle w:val="sb8d990e2"/>
          <w:lang w:val="pl-PL"/>
        </w:rPr>
        <w:t>, aby móc przyjąć je do rozpatrzenia</w:t>
      </w:r>
      <w:r w:rsidR="0005212D" w:rsidRPr="0022499F">
        <w:rPr>
          <w:rStyle w:val="sb8d990e2"/>
          <w:lang w:val="pl-PL"/>
        </w:rPr>
        <w:t xml:space="preserve"> (</w:t>
      </w:r>
      <w:r w:rsidR="00C26B40" w:rsidRPr="0022499F">
        <w:rPr>
          <w:rStyle w:val="sb8d990e2"/>
          <w:lang w:val="pl-PL"/>
        </w:rPr>
        <w:t xml:space="preserve">zobacz </w:t>
      </w:r>
      <w:r w:rsidR="0005212D" w:rsidRPr="0022499F">
        <w:rPr>
          <w:rStyle w:val="sb8d990e2"/>
          <w:lang w:val="pl-PL"/>
        </w:rPr>
        <w:t>również p</w:t>
      </w:r>
      <w:r w:rsidR="00C26B40" w:rsidRPr="0022499F">
        <w:rPr>
          <w:rStyle w:val="sb8d990e2"/>
          <w:lang w:val="pl-PL"/>
        </w:rPr>
        <w:t>unkt 44 i 45 powyżej) oraz czy ten test jest podobny lub taki sam jak test „</w:t>
      </w:r>
      <w:r w:rsidR="0005212D" w:rsidRPr="0022499F">
        <w:rPr>
          <w:rStyle w:val="sb8d990e2"/>
          <w:lang w:val="pl-PL"/>
        </w:rPr>
        <w:t>min</w:t>
      </w:r>
      <w:r w:rsidR="00C26B40" w:rsidRPr="0022499F">
        <w:rPr>
          <w:rStyle w:val="sb8d990e2"/>
          <w:lang w:val="pl-PL"/>
        </w:rPr>
        <w:t>imalnego</w:t>
      </w:r>
      <w:r w:rsidR="0005212D" w:rsidRPr="0022499F">
        <w:rPr>
          <w:rStyle w:val="sb8d990e2"/>
          <w:lang w:val="pl-PL"/>
        </w:rPr>
        <w:t xml:space="preserve"> poziom</w:t>
      </w:r>
      <w:r w:rsidR="00C26B40" w:rsidRPr="0022499F">
        <w:rPr>
          <w:rStyle w:val="sb8d990e2"/>
          <w:lang w:val="pl-PL"/>
        </w:rPr>
        <w:t>u dolegliwości”, opracowany</w:t>
      </w:r>
      <w:r w:rsidR="0005212D" w:rsidRPr="0022499F">
        <w:rPr>
          <w:rStyle w:val="sb8d990e2"/>
          <w:lang w:val="pl-PL"/>
        </w:rPr>
        <w:t xml:space="preserve"> p</w:t>
      </w:r>
      <w:r w:rsidR="00C26B40" w:rsidRPr="0022499F">
        <w:rPr>
          <w:rStyle w:val="sb8d990e2"/>
          <w:lang w:val="pl-PL"/>
        </w:rPr>
        <w:t>rzez Trybunał w odniesieniu do A</w:t>
      </w:r>
      <w:r w:rsidR="0005212D" w:rsidRPr="0022499F">
        <w:rPr>
          <w:rStyle w:val="sb8d990e2"/>
          <w:lang w:val="pl-PL"/>
        </w:rPr>
        <w:t>rtykułu 3 Konwencji</w:t>
      </w:r>
      <w:r w:rsidR="00C26B40" w:rsidRPr="0022499F">
        <w:rPr>
          <w:rStyle w:val="sb8d990e2"/>
          <w:lang w:val="pl-PL"/>
        </w:rPr>
        <w:t>.</w:t>
      </w:r>
    </w:p>
    <w:p w:rsidR="002C141C" w:rsidRPr="0022499F" w:rsidRDefault="00DC3E30" w:rsidP="00D66C93">
      <w:pPr>
        <w:pStyle w:val="JuPara"/>
        <w:rPr>
          <w:rStyle w:val="sb8d990e2"/>
          <w:i/>
          <w:lang w:val="pl-PL"/>
        </w:rPr>
      </w:pPr>
      <w:r w:rsidRPr="0022499F">
        <w:rPr>
          <w:rStyle w:val="sb8d990e2"/>
          <w:lang w:val="pl-PL"/>
        </w:rPr>
        <w:fldChar w:fldCharType="begin"/>
      </w:r>
      <w:r w:rsidR="002C141C"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74</w:t>
      </w:r>
      <w:r w:rsidRPr="0022499F">
        <w:rPr>
          <w:rStyle w:val="sb8d990e2"/>
          <w:lang w:val="pl-PL"/>
        </w:rPr>
        <w:fldChar w:fldCharType="end"/>
      </w:r>
      <w:r w:rsidR="002C141C" w:rsidRPr="0022499F">
        <w:rPr>
          <w:rStyle w:val="sb8d990e2"/>
          <w:lang w:val="pl-PL"/>
        </w:rPr>
        <w:t>.  </w:t>
      </w:r>
      <w:r w:rsidR="00C26B40" w:rsidRPr="0022499F">
        <w:rPr>
          <w:rStyle w:val="sb8d990e2"/>
          <w:lang w:val="pl-PL"/>
        </w:rPr>
        <w:t xml:space="preserve">Trybunał jest zdania, że przynajmniej w </w:t>
      </w:r>
      <w:r w:rsidR="0002121D" w:rsidRPr="0022499F">
        <w:rPr>
          <w:rStyle w:val="sb8d990e2"/>
          <w:lang w:val="pl-PL"/>
        </w:rPr>
        <w:t xml:space="preserve">danym </w:t>
      </w:r>
      <w:r w:rsidR="007769D1" w:rsidRPr="0022499F">
        <w:rPr>
          <w:rStyle w:val="sb8d990e2"/>
          <w:lang w:val="pl-PL"/>
        </w:rPr>
        <w:t>czasie</w:t>
      </w:r>
      <w:r w:rsidR="00C26B40" w:rsidRPr="0022499F">
        <w:rPr>
          <w:rStyle w:val="sb8d990e2"/>
          <w:lang w:val="pl-PL"/>
        </w:rPr>
        <w:t xml:space="preserve"> orzecznictwo sądów admi</w:t>
      </w:r>
      <w:r w:rsidR="007769D1" w:rsidRPr="0022499F">
        <w:rPr>
          <w:rStyle w:val="sb8d990e2"/>
          <w:lang w:val="pl-PL"/>
        </w:rPr>
        <w:t>nistracyjnych</w:t>
      </w:r>
      <w:r w:rsidR="0002121D" w:rsidRPr="0022499F">
        <w:rPr>
          <w:rStyle w:val="sb8d990e2"/>
          <w:lang w:val="pl-PL"/>
        </w:rPr>
        <w:t xml:space="preserve"> </w:t>
      </w:r>
      <w:r w:rsidR="007769D1" w:rsidRPr="0022499F">
        <w:rPr>
          <w:rStyle w:val="sb8d990e2"/>
          <w:lang w:val="pl-PL"/>
        </w:rPr>
        <w:t xml:space="preserve">w sprawie przenoszenia więźniów </w:t>
      </w:r>
      <w:r w:rsidR="00C26B40" w:rsidRPr="0022499F">
        <w:rPr>
          <w:rStyle w:val="sb8d990e2"/>
          <w:lang w:val="pl-PL"/>
        </w:rPr>
        <w:t xml:space="preserve">było tak </w:t>
      </w:r>
      <w:r w:rsidR="0002121D" w:rsidRPr="0022499F">
        <w:rPr>
          <w:rStyle w:val="sb8d990e2"/>
          <w:lang w:val="pl-PL"/>
        </w:rPr>
        <w:lastRenderedPageBreak/>
        <w:t>nie</w:t>
      </w:r>
      <w:r w:rsidR="00C26B40" w:rsidRPr="0022499F">
        <w:rPr>
          <w:rStyle w:val="sb8d990e2"/>
          <w:lang w:val="pl-PL"/>
        </w:rPr>
        <w:t xml:space="preserve">jasne, że </w:t>
      </w:r>
      <w:r w:rsidR="0002121D" w:rsidRPr="0022499F">
        <w:rPr>
          <w:rStyle w:val="sb8d990e2"/>
          <w:lang w:val="pl-PL"/>
        </w:rPr>
        <w:t>od skarżącego</w:t>
      </w:r>
      <w:r w:rsidR="00C26B40" w:rsidRPr="0022499F">
        <w:rPr>
          <w:rStyle w:val="sb8d990e2"/>
          <w:lang w:val="pl-PL"/>
        </w:rPr>
        <w:t xml:space="preserve">, nawet </w:t>
      </w:r>
      <w:r w:rsidR="0002121D" w:rsidRPr="0022499F">
        <w:rPr>
          <w:rStyle w:val="sb8d990e2"/>
          <w:lang w:val="pl-PL"/>
        </w:rPr>
        <w:t>gdyby miał zapewniony</w:t>
      </w:r>
      <w:r w:rsidR="00C26B40" w:rsidRPr="0022499F">
        <w:rPr>
          <w:rStyle w:val="sb8d990e2"/>
          <w:lang w:val="pl-PL"/>
        </w:rPr>
        <w:t xml:space="preserve"> pełny i nieograniczony dostęp do ws</w:t>
      </w:r>
      <w:r w:rsidR="0002121D" w:rsidRPr="0022499F">
        <w:rPr>
          <w:rStyle w:val="sb8d990e2"/>
          <w:lang w:val="pl-PL"/>
        </w:rPr>
        <w:t>zystkich istotnych orzeczeń sądów administracyjnych</w:t>
      </w:r>
      <w:r w:rsidR="00C26B40" w:rsidRPr="0022499F">
        <w:rPr>
          <w:rStyle w:val="sb8d990e2"/>
          <w:lang w:val="pl-PL"/>
        </w:rPr>
        <w:t xml:space="preserve">, nie </w:t>
      </w:r>
      <w:r w:rsidR="0002121D" w:rsidRPr="0022499F">
        <w:rPr>
          <w:rStyle w:val="sb8d990e2"/>
          <w:lang w:val="pl-PL"/>
        </w:rPr>
        <w:t>można było</w:t>
      </w:r>
      <w:r w:rsidR="00C26B40" w:rsidRPr="0022499F">
        <w:rPr>
          <w:rStyle w:val="sb8d990e2"/>
          <w:lang w:val="pl-PL"/>
        </w:rPr>
        <w:t xml:space="preserve"> racjonalnie oczekiwać,</w:t>
      </w:r>
      <w:r w:rsidR="0002121D" w:rsidRPr="0022499F">
        <w:rPr>
          <w:rStyle w:val="sb8d990e2"/>
          <w:lang w:val="pl-PL"/>
        </w:rPr>
        <w:t xml:space="preserve"> że przewidzi, że skarga na odmowę Administracji Więziennej w sprawie jego przeniesienia do </w:t>
      </w:r>
      <w:r w:rsidR="00C26B40" w:rsidRPr="0022499F">
        <w:rPr>
          <w:rStyle w:val="sb8d990e2"/>
          <w:lang w:val="pl-PL"/>
        </w:rPr>
        <w:t>wi</w:t>
      </w:r>
      <w:r w:rsidR="00E015D9" w:rsidRPr="0022499F">
        <w:rPr>
          <w:rStyle w:val="sb8d990e2"/>
          <w:lang w:val="pl-PL"/>
        </w:rPr>
        <w:t xml:space="preserve">ęzienia </w:t>
      </w:r>
      <w:proofErr w:type="spellStart"/>
      <w:r w:rsidR="00E015D9" w:rsidRPr="0022499F">
        <w:rPr>
          <w:rStyle w:val="sb8d990e2"/>
          <w:lang w:val="pl-PL"/>
        </w:rPr>
        <w:t>Matīsa</w:t>
      </w:r>
      <w:proofErr w:type="spellEnd"/>
      <w:r w:rsidR="00E015D9" w:rsidRPr="0022499F">
        <w:rPr>
          <w:rStyle w:val="sb8d990e2"/>
          <w:lang w:val="pl-PL"/>
        </w:rPr>
        <w:t xml:space="preserve"> może być przyjęta</w:t>
      </w:r>
      <w:r w:rsidR="00C26B40" w:rsidRPr="0022499F">
        <w:rPr>
          <w:rStyle w:val="sb8d990e2"/>
          <w:lang w:val="pl-PL"/>
        </w:rPr>
        <w:t xml:space="preserve"> do </w:t>
      </w:r>
      <w:r w:rsidR="0002121D" w:rsidRPr="0022499F">
        <w:rPr>
          <w:rStyle w:val="sb8d990e2"/>
          <w:lang w:val="pl-PL"/>
        </w:rPr>
        <w:t>rozpatrzenia</w:t>
      </w:r>
      <w:r w:rsidR="00C26B40" w:rsidRPr="0022499F">
        <w:rPr>
          <w:rStyle w:val="sb8d990e2"/>
          <w:lang w:val="pl-PL"/>
        </w:rPr>
        <w:t xml:space="preserve">, a </w:t>
      </w:r>
      <w:r w:rsidR="0002121D" w:rsidRPr="0022499F">
        <w:rPr>
          <w:rStyle w:val="sb8d990e2"/>
          <w:lang w:val="pl-PL"/>
        </w:rPr>
        <w:t>ostatecznie</w:t>
      </w:r>
      <w:r w:rsidR="00C26B40" w:rsidRPr="0022499F">
        <w:rPr>
          <w:rStyle w:val="sb8d990e2"/>
          <w:lang w:val="pl-PL"/>
        </w:rPr>
        <w:t xml:space="preserve"> </w:t>
      </w:r>
      <w:r w:rsidR="007769D1" w:rsidRPr="0022499F">
        <w:rPr>
          <w:rStyle w:val="sb8d990e2"/>
          <w:lang w:val="pl-PL"/>
        </w:rPr>
        <w:t xml:space="preserve">może </w:t>
      </w:r>
      <w:r w:rsidR="00C26B40" w:rsidRPr="0022499F">
        <w:rPr>
          <w:rStyle w:val="sb8d990e2"/>
          <w:lang w:val="pl-PL"/>
        </w:rPr>
        <w:t>doprowadz</w:t>
      </w:r>
      <w:r w:rsidR="007769D1" w:rsidRPr="0022499F">
        <w:rPr>
          <w:rStyle w:val="sb8d990e2"/>
          <w:lang w:val="pl-PL"/>
        </w:rPr>
        <w:t>ić</w:t>
      </w:r>
      <w:r w:rsidR="0002121D" w:rsidRPr="0022499F">
        <w:rPr>
          <w:rStyle w:val="sb8d990e2"/>
          <w:lang w:val="pl-PL"/>
        </w:rPr>
        <w:t xml:space="preserve"> do przyznania odszkodowania. Trybunał</w:t>
      </w:r>
      <w:r w:rsidR="00C26B40" w:rsidRPr="0022499F">
        <w:rPr>
          <w:rStyle w:val="sb8d990e2"/>
          <w:lang w:val="pl-PL"/>
        </w:rPr>
        <w:t xml:space="preserve"> stwierdza zatem, że odwołanie się do sądów administracyjnych w danym czasie, w konkretnej sytuacji </w:t>
      </w:r>
      <w:r w:rsidR="0002121D" w:rsidRPr="0022499F">
        <w:rPr>
          <w:rStyle w:val="sb8d990e2"/>
          <w:lang w:val="pl-PL"/>
        </w:rPr>
        <w:t>skarżącego</w:t>
      </w:r>
      <w:r w:rsidR="00E015D9" w:rsidRPr="0022499F">
        <w:rPr>
          <w:rStyle w:val="sb8d990e2"/>
          <w:lang w:val="pl-PL"/>
        </w:rPr>
        <w:t>,</w:t>
      </w:r>
      <w:r w:rsidR="00C26B40" w:rsidRPr="0022499F">
        <w:rPr>
          <w:rStyle w:val="sb8d990e2"/>
          <w:lang w:val="pl-PL"/>
        </w:rPr>
        <w:t xml:space="preserve"> nie było </w:t>
      </w:r>
      <w:r w:rsidR="0002121D" w:rsidRPr="0022499F">
        <w:rPr>
          <w:rStyle w:val="sb8d990e2"/>
          <w:lang w:val="pl-PL"/>
        </w:rPr>
        <w:t>dostępnym dla niego środkiem.</w:t>
      </w:r>
    </w:p>
    <w:p w:rsidR="002165B7" w:rsidRPr="0022499F" w:rsidRDefault="00DC3E30" w:rsidP="0030193C">
      <w:pPr>
        <w:pStyle w:val="JuPara"/>
        <w:rPr>
          <w:rStyle w:val="sb8d990e2"/>
          <w:i/>
          <w:lang w:val="pl-PL"/>
        </w:rPr>
      </w:pPr>
      <w:r w:rsidRPr="0022499F">
        <w:rPr>
          <w:rStyle w:val="sb8d990e2"/>
          <w:lang w:val="pl-PL"/>
        </w:rPr>
        <w:fldChar w:fldCharType="begin"/>
      </w:r>
      <w:r w:rsidR="00725E3D" w:rsidRPr="0022499F">
        <w:rPr>
          <w:rStyle w:val="sb8d990e2"/>
          <w:lang w:val="pl-PL"/>
        </w:rPr>
        <w:instrText xml:space="preserve"> SEQ level0 \*arabic </w:instrText>
      </w:r>
      <w:r w:rsidRPr="0022499F">
        <w:rPr>
          <w:rStyle w:val="sb8d990e2"/>
          <w:lang w:val="pl-PL"/>
        </w:rPr>
        <w:fldChar w:fldCharType="separate"/>
      </w:r>
      <w:r w:rsidR="000E0C74" w:rsidRPr="0022499F">
        <w:rPr>
          <w:rStyle w:val="sb8d990e2"/>
          <w:noProof/>
          <w:lang w:val="pl-PL"/>
        </w:rPr>
        <w:t>75</w:t>
      </w:r>
      <w:r w:rsidRPr="0022499F">
        <w:rPr>
          <w:rStyle w:val="sb8d990e2"/>
          <w:lang w:val="pl-PL"/>
        </w:rPr>
        <w:fldChar w:fldCharType="end"/>
      </w:r>
      <w:r w:rsidR="00725E3D" w:rsidRPr="0022499F">
        <w:rPr>
          <w:rStyle w:val="sb8d990e2"/>
          <w:lang w:val="pl-PL"/>
        </w:rPr>
        <w:t>.  </w:t>
      </w:r>
      <w:r w:rsidR="0002121D" w:rsidRPr="0022499F">
        <w:rPr>
          <w:rStyle w:val="sb8d990e2"/>
          <w:lang w:val="pl-PL"/>
        </w:rPr>
        <w:t xml:space="preserve">W odniesieniu do twierdzenia Rządu, że skarżący powinien wystąpić do Ministerstwa Sprawiedliwości, Trybunał zauważa, że skarżący istotnie złożył kilka skarg do Ministerstwa Sprawiedliwości, w tym jedną, która najwyraźniej dotyczyła przenoszenia go między celami w nieokreślonym więzieniu (patrz punkt 21 powyżej). Ponieważ Trybunałowi nie została dostarczona kopia odpowiedzi najwidoczniej udzielonej przez to ministerstwo, </w:t>
      </w:r>
      <w:r w:rsidR="00387BE1" w:rsidRPr="0022499F">
        <w:rPr>
          <w:rStyle w:val="sb8d990e2"/>
          <w:lang w:val="pl-PL"/>
        </w:rPr>
        <w:t>nie może nie</w:t>
      </w:r>
      <w:r w:rsidR="0002121D" w:rsidRPr="0022499F">
        <w:rPr>
          <w:rStyle w:val="sb8d990e2"/>
          <w:lang w:val="pl-PL"/>
        </w:rPr>
        <w:t xml:space="preserve"> uznać, że Rządowi nie udało się rzucić więcej światła na skuteczność lub jej brak w odniesieniu do skargi do Ministerstwa Sprawiedliwości.</w:t>
      </w:r>
    </w:p>
    <w:p w:rsidR="00BA6702" w:rsidRPr="0022499F" w:rsidRDefault="00DC3E30" w:rsidP="0030193C">
      <w:pPr>
        <w:pStyle w:val="JuPara"/>
        <w:rPr>
          <w:i/>
          <w:lang w:val="pl-PL"/>
        </w:rPr>
      </w:pPr>
      <w:r w:rsidRPr="0022499F">
        <w:rPr>
          <w:lang w:val="pl-PL"/>
        </w:rPr>
        <w:fldChar w:fldCharType="begin"/>
      </w:r>
      <w:r w:rsidR="00725E3D" w:rsidRPr="0022499F">
        <w:rPr>
          <w:lang w:val="pl-PL"/>
        </w:rPr>
        <w:instrText xml:space="preserve"> SEQ level0 \*arabic </w:instrText>
      </w:r>
      <w:r w:rsidRPr="0022499F">
        <w:rPr>
          <w:lang w:val="pl-PL"/>
        </w:rPr>
        <w:fldChar w:fldCharType="separate"/>
      </w:r>
      <w:r w:rsidR="000E0C74" w:rsidRPr="0022499F">
        <w:rPr>
          <w:noProof/>
          <w:lang w:val="pl-PL"/>
        </w:rPr>
        <w:t>76</w:t>
      </w:r>
      <w:r w:rsidRPr="0022499F">
        <w:rPr>
          <w:lang w:val="pl-PL"/>
        </w:rPr>
        <w:fldChar w:fldCharType="end"/>
      </w:r>
      <w:r w:rsidR="00725E3D" w:rsidRPr="0022499F">
        <w:rPr>
          <w:lang w:val="pl-PL"/>
        </w:rPr>
        <w:t>.  </w:t>
      </w:r>
      <w:r w:rsidR="0002121D" w:rsidRPr="0022499F">
        <w:rPr>
          <w:lang w:val="pl-PL"/>
        </w:rPr>
        <w:t>Trybunał stwierdza zatem, że sprzeciw Rządu dotyczący braku wyczerpania środków krajowych musi zostać oddalony. Ponadto uważa, w świetle argumentów stron, że zarzut skarżącego</w:t>
      </w:r>
      <w:r w:rsidR="00AD0F55" w:rsidRPr="0022499F">
        <w:rPr>
          <w:lang w:val="pl-PL"/>
        </w:rPr>
        <w:t xml:space="preserve"> podnosi poważne kwestie faktyczne i prawne wynikające z K</w:t>
      </w:r>
      <w:r w:rsidR="0002121D" w:rsidRPr="0022499F">
        <w:rPr>
          <w:lang w:val="pl-PL"/>
        </w:rPr>
        <w:t xml:space="preserve">onwencji, których ustalenie wymaga zbadania </w:t>
      </w:r>
      <w:r w:rsidR="0002121D" w:rsidRPr="0022499F">
        <w:rPr>
          <w:i/>
          <w:lang w:val="pl-PL"/>
        </w:rPr>
        <w:t>meritum</w:t>
      </w:r>
      <w:r w:rsidR="00AD0F55" w:rsidRPr="0022499F">
        <w:rPr>
          <w:lang w:val="pl-PL"/>
        </w:rPr>
        <w:t xml:space="preserve"> sprawy</w:t>
      </w:r>
      <w:r w:rsidR="0002121D" w:rsidRPr="0022499F">
        <w:rPr>
          <w:lang w:val="pl-PL"/>
        </w:rPr>
        <w:t>.</w:t>
      </w:r>
      <w:r w:rsidR="00AD0F55" w:rsidRPr="0022499F">
        <w:rPr>
          <w:lang w:val="pl-PL"/>
        </w:rPr>
        <w:t xml:space="preserve"> Trybunał</w:t>
      </w:r>
      <w:r w:rsidR="0002121D" w:rsidRPr="0022499F">
        <w:rPr>
          <w:lang w:val="pl-PL"/>
        </w:rPr>
        <w:t xml:space="preserve"> stwierdza zatem, że skarga nie jest oczywiście bezzasadna w rozumieniu Artykułu 35 § 3 (a) Konwencji. </w:t>
      </w:r>
      <w:r w:rsidR="00AD0F55" w:rsidRPr="0022499F">
        <w:rPr>
          <w:lang w:val="pl-PL"/>
        </w:rPr>
        <w:t>Nie zostały również ustalone ż</w:t>
      </w:r>
      <w:r w:rsidR="0002121D" w:rsidRPr="0022499F">
        <w:rPr>
          <w:lang w:val="pl-PL"/>
        </w:rPr>
        <w:t>adne inne podstawy do stwierdzenia jej niedopuszczalności</w:t>
      </w:r>
      <w:r w:rsidR="00725E3D" w:rsidRPr="0022499F">
        <w:rPr>
          <w:i/>
          <w:lang w:val="pl-PL"/>
        </w:rPr>
        <w:t>.</w:t>
      </w:r>
    </w:p>
    <w:p w:rsidR="00BA6401" w:rsidRPr="0022499F" w:rsidRDefault="00580E6F" w:rsidP="00580E6F">
      <w:pPr>
        <w:pStyle w:val="JuH1"/>
        <w:rPr>
          <w:lang w:val="pl-PL" w:eastAsia="en-GB"/>
        </w:rPr>
      </w:pPr>
      <w:r w:rsidRPr="0022499F">
        <w:rPr>
          <w:lang w:val="pl-PL" w:eastAsia="en-GB"/>
        </w:rPr>
        <w:t>3.</w:t>
      </w:r>
      <w:r w:rsidR="00D870DC" w:rsidRPr="0022499F">
        <w:rPr>
          <w:lang w:val="pl-PL" w:eastAsia="en-GB"/>
        </w:rPr>
        <w:t>  </w:t>
      </w:r>
      <w:r w:rsidR="00372F84" w:rsidRPr="0022499F">
        <w:rPr>
          <w:lang w:val="pl-PL"/>
        </w:rPr>
        <w:t>Meritum</w:t>
      </w:r>
    </w:p>
    <w:p w:rsidR="00D870DC" w:rsidRPr="0022499F" w:rsidRDefault="00A036A3" w:rsidP="00A036A3">
      <w:pPr>
        <w:pStyle w:val="JuHa0"/>
        <w:rPr>
          <w:lang w:val="pl-PL"/>
        </w:rPr>
      </w:pPr>
      <w:r w:rsidRPr="0022499F">
        <w:rPr>
          <w:lang w:val="pl-PL"/>
        </w:rPr>
        <w:t>a.  </w:t>
      </w:r>
      <w:r w:rsidR="00372F84" w:rsidRPr="0022499F">
        <w:rPr>
          <w:lang w:val="pl-PL"/>
        </w:rPr>
        <w:t>Twierdzenia stron</w:t>
      </w:r>
    </w:p>
    <w:p w:rsidR="00BA6401" w:rsidRPr="0022499F" w:rsidRDefault="00DC3E30" w:rsidP="00BA6401">
      <w:pPr>
        <w:pStyle w:val="JuPara"/>
        <w:rPr>
          <w:i/>
          <w:lang w:val="pl-PL" w:eastAsia="en-GB"/>
        </w:rPr>
      </w:pPr>
      <w:r w:rsidRPr="0022499F">
        <w:rPr>
          <w:lang w:val="pl-PL" w:eastAsia="en-GB"/>
        </w:rPr>
        <w:fldChar w:fldCharType="begin"/>
      </w:r>
      <w:r w:rsidR="00BA6401"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77</w:t>
      </w:r>
      <w:r w:rsidRPr="0022499F">
        <w:rPr>
          <w:lang w:val="pl-PL" w:eastAsia="en-GB"/>
        </w:rPr>
        <w:fldChar w:fldCharType="end"/>
      </w:r>
      <w:r w:rsidR="00BA6401" w:rsidRPr="0022499F">
        <w:rPr>
          <w:lang w:val="pl-PL" w:eastAsia="en-GB"/>
        </w:rPr>
        <w:t>.  </w:t>
      </w:r>
      <w:r w:rsidR="00B2126E" w:rsidRPr="0022499F">
        <w:rPr>
          <w:lang w:val="pl-PL" w:eastAsia="en-GB"/>
        </w:rPr>
        <w:t xml:space="preserve">Na wstępie Rząd przyznał, że osoby podejrzane lub skazane za przestępstwa seksualne i </w:t>
      </w:r>
      <w:r w:rsidR="00E015D9" w:rsidRPr="0022499F">
        <w:rPr>
          <w:lang w:val="pl-PL" w:eastAsia="en-GB"/>
        </w:rPr>
        <w:t>osoby współpracujące</w:t>
      </w:r>
      <w:r w:rsidR="00B2126E" w:rsidRPr="0022499F">
        <w:rPr>
          <w:lang w:val="pl-PL" w:eastAsia="en-GB"/>
        </w:rPr>
        <w:t xml:space="preserve"> z organami ścigania są narażone na podwyższone ryzyko przemocy </w:t>
      </w:r>
      <w:r w:rsidR="00E015D9" w:rsidRPr="0022499F">
        <w:rPr>
          <w:lang w:val="pl-PL" w:eastAsia="en-GB"/>
        </w:rPr>
        <w:t>więziennej</w:t>
      </w:r>
      <w:r w:rsidR="00B2126E" w:rsidRPr="0022499F">
        <w:rPr>
          <w:lang w:val="pl-PL" w:eastAsia="en-GB"/>
        </w:rPr>
        <w:t xml:space="preserve">. Z tego powodu w większości przypadków więźniowie należący do jednej z tych kategorii </w:t>
      </w:r>
      <w:r w:rsidR="00E015D9" w:rsidRPr="0022499F">
        <w:rPr>
          <w:lang w:val="pl-PL" w:eastAsia="en-GB"/>
        </w:rPr>
        <w:t>są osadzeni</w:t>
      </w:r>
      <w:r w:rsidR="00B2126E" w:rsidRPr="0022499F">
        <w:rPr>
          <w:lang w:val="pl-PL" w:eastAsia="en-GB"/>
        </w:rPr>
        <w:t xml:space="preserve"> w oddzieleniu od ogólnej populacji więziennej, choć czasami były podejmowane starania, by zintegrować ich ze zwykłymi więźniami. </w:t>
      </w:r>
      <w:r w:rsidR="00E015D9" w:rsidRPr="0022499F">
        <w:rPr>
          <w:lang w:val="pl-PL" w:eastAsia="en-GB"/>
        </w:rPr>
        <w:t>Tylko w niektórych przypadkach, gdy wymagały tego okoliczności konkretnej sprawy, z</w:t>
      </w:r>
      <w:r w:rsidR="00B2126E" w:rsidRPr="0022499F">
        <w:rPr>
          <w:lang w:val="pl-PL" w:eastAsia="en-GB"/>
        </w:rPr>
        <w:t>darzało się</w:t>
      </w:r>
      <w:r w:rsidR="00E015D9" w:rsidRPr="0022499F">
        <w:rPr>
          <w:lang w:val="pl-PL" w:eastAsia="en-GB"/>
        </w:rPr>
        <w:t xml:space="preserve">, </w:t>
      </w:r>
      <w:r w:rsidR="00B2126E" w:rsidRPr="0022499F">
        <w:rPr>
          <w:lang w:val="pl-PL" w:eastAsia="en-GB"/>
        </w:rPr>
        <w:t xml:space="preserve">że konieczne było przeniesienie tych więźniów do innego więzienia, aby </w:t>
      </w:r>
      <w:r w:rsidR="00E015D9" w:rsidRPr="0022499F">
        <w:rPr>
          <w:lang w:val="pl-PL" w:eastAsia="en-GB"/>
        </w:rPr>
        <w:t>zataić</w:t>
      </w:r>
      <w:r w:rsidR="00B2126E" w:rsidRPr="0022499F">
        <w:rPr>
          <w:lang w:val="pl-PL" w:eastAsia="en-GB"/>
        </w:rPr>
        <w:t xml:space="preserve"> ich </w:t>
      </w:r>
      <w:r w:rsidR="00E015D9" w:rsidRPr="0022499F">
        <w:rPr>
          <w:lang w:val="pl-PL" w:eastAsia="en-GB"/>
        </w:rPr>
        <w:t>dawną</w:t>
      </w:r>
      <w:r w:rsidR="00B2126E" w:rsidRPr="0022499F">
        <w:rPr>
          <w:lang w:val="pl-PL" w:eastAsia="en-GB"/>
        </w:rPr>
        <w:t xml:space="preserve"> współpracę z policją lub charakter przestępstwa, o które byli podejrzani lub za które zostali skazani.</w:t>
      </w:r>
    </w:p>
    <w:p w:rsidR="00673FA4" w:rsidRPr="0022499F" w:rsidRDefault="00DC3E30" w:rsidP="00BA6401">
      <w:pPr>
        <w:pStyle w:val="JuPara"/>
        <w:rPr>
          <w:lang w:val="pl-PL" w:eastAsia="en-GB"/>
        </w:rPr>
      </w:pPr>
      <w:r w:rsidRPr="0022499F">
        <w:rPr>
          <w:lang w:val="pl-PL" w:eastAsia="en-GB"/>
        </w:rPr>
        <w:fldChar w:fldCharType="begin"/>
      </w:r>
      <w:r w:rsidR="00673FA4"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78</w:t>
      </w:r>
      <w:r w:rsidRPr="0022499F">
        <w:rPr>
          <w:lang w:val="pl-PL" w:eastAsia="en-GB"/>
        </w:rPr>
        <w:fldChar w:fldCharType="end"/>
      </w:r>
      <w:r w:rsidR="00673FA4" w:rsidRPr="0022499F">
        <w:rPr>
          <w:lang w:val="pl-PL" w:eastAsia="en-GB"/>
        </w:rPr>
        <w:t>.  </w:t>
      </w:r>
      <w:r w:rsidR="00B2126E" w:rsidRPr="0022499F">
        <w:rPr>
          <w:lang w:val="pl-PL" w:eastAsia="en-GB"/>
        </w:rPr>
        <w:t xml:space="preserve">Rząd uznał „uporczywe wnioski” skarżącego </w:t>
      </w:r>
      <w:r w:rsidR="00E015D9" w:rsidRPr="0022499F">
        <w:rPr>
          <w:lang w:val="pl-PL" w:eastAsia="en-GB"/>
        </w:rPr>
        <w:t>w sprawie przeniesienia</w:t>
      </w:r>
      <w:r w:rsidR="00B2126E" w:rsidRPr="0022499F">
        <w:rPr>
          <w:lang w:val="pl-PL" w:eastAsia="en-GB"/>
        </w:rPr>
        <w:t xml:space="preserve"> do więzienia </w:t>
      </w:r>
      <w:proofErr w:type="spellStart"/>
      <w:r w:rsidR="00B2126E" w:rsidRPr="0022499F">
        <w:rPr>
          <w:lang w:val="pl-PL" w:eastAsia="en-GB"/>
        </w:rPr>
        <w:t>Matīsa</w:t>
      </w:r>
      <w:proofErr w:type="spellEnd"/>
      <w:r w:rsidR="00B2126E" w:rsidRPr="0022499F">
        <w:rPr>
          <w:lang w:val="pl-PL" w:eastAsia="en-GB"/>
        </w:rPr>
        <w:t xml:space="preserve"> za nieuzasadnione. Rząd argumentował, że przeniesie</w:t>
      </w:r>
      <w:r w:rsidR="00DC207D" w:rsidRPr="0022499F">
        <w:rPr>
          <w:lang w:val="pl-PL" w:eastAsia="en-GB"/>
        </w:rPr>
        <w:t xml:space="preserve">nie do więzienia </w:t>
      </w:r>
      <w:proofErr w:type="spellStart"/>
      <w:r w:rsidR="00DC207D" w:rsidRPr="0022499F">
        <w:rPr>
          <w:lang w:val="pl-PL" w:eastAsia="en-GB"/>
        </w:rPr>
        <w:t>Matīsa</w:t>
      </w:r>
      <w:proofErr w:type="spellEnd"/>
      <w:r w:rsidR="00DC207D" w:rsidRPr="0022499F">
        <w:rPr>
          <w:lang w:val="pl-PL" w:eastAsia="en-GB"/>
        </w:rPr>
        <w:t xml:space="preserve"> nie było</w:t>
      </w:r>
      <w:r w:rsidR="00B2126E" w:rsidRPr="0022499F">
        <w:rPr>
          <w:lang w:val="pl-PL" w:eastAsia="en-GB"/>
        </w:rPr>
        <w:t xml:space="preserve"> jedynym środkiem </w:t>
      </w:r>
      <w:r w:rsidR="00E015D9" w:rsidRPr="0022499F">
        <w:rPr>
          <w:lang w:val="pl-PL" w:eastAsia="en-GB"/>
        </w:rPr>
        <w:t xml:space="preserve">do </w:t>
      </w:r>
      <w:r w:rsidR="00B2126E" w:rsidRPr="0022499F">
        <w:rPr>
          <w:lang w:val="pl-PL" w:eastAsia="en-GB"/>
        </w:rPr>
        <w:t>zapewnienia bezp</w:t>
      </w:r>
      <w:r w:rsidR="00DC207D" w:rsidRPr="0022499F">
        <w:rPr>
          <w:lang w:val="pl-PL" w:eastAsia="en-GB"/>
        </w:rPr>
        <w:t>ieczeństwa potencjalnie narażonemu na niebezpieczeństwo więźniowi</w:t>
      </w:r>
      <w:r w:rsidR="00B2126E" w:rsidRPr="0022499F">
        <w:rPr>
          <w:lang w:val="pl-PL" w:eastAsia="en-GB"/>
        </w:rPr>
        <w:t>,</w:t>
      </w:r>
      <w:r w:rsidR="00DC207D" w:rsidRPr="0022499F">
        <w:rPr>
          <w:lang w:val="pl-PL" w:eastAsia="en-GB"/>
        </w:rPr>
        <w:t xml:space="preserve"> a </w:t>
      </w:r>
      <w:r w:rsidR="00B2126E" w:rsidRPr="0022499F">
        <w:rPr>
          <w:lang w:val="pl-PL" w:eastAsia="en-GB"/>
        </w:rPr>
        <w:t xml:space="preserve">przeniesienie do więzienia </w:t>
      </w:r>
      <w:proofErr w:type="spellStart"/>
      <w:r w:rsidR="00B2126E" w:rsidRPr="0022499F">
        <w:rPr>
          <w:lang w:val="pl-PL" w:eastAsia="en-GB"/>
        </w:rPr>
        <w:t>Matīsa</w:t>
      </w:r>
      <w:proofErr w:type="spellEnd"/>
      <w:r w:rsidR="00B2126E" w:rsidRPr="0022499F">
        <w:rPr>
          <w:lang w:val="pl-PL" w:eastAsia="en-GB"/>
        </w:rPr>
        <w:t xml:space="preserve"> w </w:t>
      </w:r>
      <w:r w:rsidR="00B2126E" w:rsidRPr="0022499F">
        <w:rPr>
          <w:lang w:val="pl-PL" w:eastAsia="en-GB"/>
        </w:rPr>
        <w:lastRenderedPageBreak/>
        <w:t xml:space="preserve">żadnym wypadku nie </w:t>
      </w:r>
      <w:r w:rsidR="00DC207D" w:rsidRPr="0022499F">
        <w:rPr>
          <w:lang w:val="pl-PL" w:eastAsia="en-GB"/>
        </w:rPr>
        <w:t>dawało</w:t>
      </w:r>
      <w:r w:rsidR="00B2126E" w:rsidRPr="0022499F">
        <w:rPr>
          <w:lang w:val="pl-PL" w:eastAsia="en-GB"/>
        </w:rPr>
        <w:t xml:space="preserve"> absolutnej gwarancji bezpieczeństwa. W konkretnym przypadku </w:t>
      </w:r>
      <w:r w:rsidR="00DC207D" w:rsidRPr="0022499F">
        <w:rPr>
          <w:lang w:val="pl-PL" w:eastAsia="en-GB"/>
        </w:rPr>
        <w:t xml:space="preserve">skarżącego </w:t>
      </w:r>
      <w:r w:rsidR="00B2126E" w:rsidRPr="0022499F">
        <w:rPr>
          <w:lang w:val="pl-PL" w:eastAsia="en-GB"/>
        </w:rPr>
        <w:t xml:space="preserve">Rząd sugerował, że jego izolacja od </w:t>
      </w:r>
      <w:r w:rsidR="00E015D9" w:rsidRPr="0022499F">
        <w:rPr>
          <w:lang w:val="pl-PL" w:eastAsia="en-GB"/>
        </w:rPr>
        <w:t>osadzonych w</w:t>
      </w:r>
      <w:r w:rsidR="00B2126E" w:rsidRPr="0022499F">
        <w:rPr>
          <w:lang w:val="pl-PL" w:eastAsia="en-GB"/>
        </w:rPr>
        <w:t xml:space="preserve"> </w:t>
      </w:r>
      <w:r w:rsidR="00E015D9" w:rsidRPr="0022499F">
        <w:rPr>
          <w:lang w:val="pl-PL" w:eastAsia="en-GB"/>
        </w:rPr>
        <w:t>więzieniu</w:t>
      </w:r>
      <w:r w:rsidR="00B2126E" w:rsidRPr="0022499F">
        <w:rPr>
          <w:lang w:val="pl-PL" w:eastAsia="en-GB"/>
        </w:rPr>
        <w:t xml:space="preserve"> w </w:t>
      </w:r>
      <w:proofErr w:type="spellStart"/>
      <w:r w:rsidR="00B2126E" w:rsidRPr="0022499F">
        <w:rPr>
          <w:lang w:val="pl-PL" w:eastAsia="en-GB"/>
        </w:rPr>
        <w:t>Da</w:t>
      </w:r>
      <w:r w:rsidR="00DC207D" w:rsidRPr="0022499F">
        <w:rPr>
          <w:lang w:val="pl-PL" w:eastAsia="en-GB"/>
        </w:rPr>
        <w:t>ugavpils</w:t>
      </w:r>
      <w:proofErr w:type="spellEnd"/>
      <w:r w:rsidR="00DC207D" w:rsidRPr="0022499F">
        <w:rPr>
          <w:lang w:val="pl-PL" w:eastAsia="en-GB"/>
        </w:rPr>
        <w:t xml:space="preserve">, którzy byli świadomi jego </w:t>
      </w:r>
      <w:r w:rsidR="00E015D9" w:rsidRPr="0022499F">
        <w:rPr>
          <w:lang w:val="pl-PL" w:eastAsia="en-GB"/>
        </w:rPr>
        <w:t>dawnej</w:t>
      </w:r>
      <w:r w:rsidR="00B2126E" w:rsidRPr="0022499F">
        <w:rPr>
          <w:lang w:val="pl-PL" w:eastAsia="en-GB"/>
        </w:rPr>
        <w:t xml:space="preserve"> współpracy z policją</w:t>
      </w:r>
      <w:r w:rsidR="000F0A8C" w:rsidRPr="0022499F">
        <w:rPr>
          <w:lang w:val="pl-PL" w:eastAsia="en-GB"/>
        </w:rPr>
        <w:t xml:space="preserve"> w</w:t>
      </w:r>
      <w:r w:rsidR="00B2126E" w:rsidRPr="0022499F">
        <w:rPr>
          <w:lang w:val="pl-PL" w:eastAsia="en-GB"/>
        </w:rPr>
        <w:t xml:space="preserve"> </w:t>
      </w:r>
      <w:proofErr w:type="spellStart"/>
      <w:r w:rsidR="00B2126E" w:rsidRPr="0022499F">
        <w:rPr>
          <w:lang w:val="pl-PL" w:eastAsia="en-GB"/>
        </w:rPr>
        <w:t>Balvi</w:t>
      </w:r>
      <w:proofErr w:type="spellEnd"/>
      <w:r w:rsidR="00DC207D" w:rsidRPr="0022499F">
        <w:rPr>
          <w:lang w:val="pl-PL" w:eastAsia="en-GB"/>
        </w:rPr>
        <w:t>, mogła być zapewniona</w:t>
      </w:r>
      <w:r w:rsidR="00B2126E" w:rsidRPr="0022499F">
        <w:rPr>
          <w:lang w:val="pl-PL" w:eastAsia="en-GB"/>
        </w:rPr>
        <w:t xml:space="preserve"> poprzez przenie</w:t>
      </w:r>
      <w:r w:rsidR="00DC207D" w:rsidRPr="0022499F">
        <w:rPr>
          <w:lang w:val="pl-PL" w:eastAsia="en-GB"/>
        </w:rPr>
        <w:t>sienie go do dowolnego więzienia, znajdującego się „wystarczająco daleko”</w:t>
      </w:r>
      <w:r w:rsidR="00B2126E" w:rsidRPr="0022499F">
        <w:rPr>
          <w:lang w:val="pl-PL" w:eastAsia="en-GB"/>
        </w:rPr>
        <w:t xml:space="preserve"> od </w:t>
      </w:r>
      <w:proofErr w:type="spellStart"/>
      <w:r w:rsidR="00B2126E" w:rsidRPr="0022499F">
        <w:rPr>
          <w:lang w:val="pl-PL" w:eastAsia="en-GB"/>
        </w:rPr>
        <w:t>Balvi</w:t>
      </w:r>
      <w:proofErr w:type="spellEnd"/>
      <w:r w:rsidR="00B2126E" w:rsidRPr="0022499F">
        <w:rPr>
          <w:lang w:val="pl-PL" w:eastAsia="en-GB"/>
        </w:rPr>
        <w:t xml:space="preserve"> i </w:t>
      </w:r>
      <w:proofErr w:type="spellStart"/>
      <w:r w:rsidR="00B2126E" w:rsidRPr="0022499F">
        <w:rPr>
          <w:lang w:val="pl-PL" w:eastAsia="en-GB"/>
        </w:rPr>
        <w:t>Daugavpils</w:t>
      </w:r>
      <w:proofErr w:type="spellEnd"/>
      <w:r w:rsidR="00B2126E" w:rsidRPr="0022499F">
        <w:rPr>
          <w:lang w:val="pl-PL" w:eastAsia="en-GB"/>
        </w:rPr>
        <w:t>.</w:t>
      </w:r>
    </w:p>
    <w:p w:rsidR="00DB4EEA" w:rsidRPr="0022499F" w:rsidRDefault="00DC3E30" w:rsidP="00BA6401">
      <w:pPr>
        <w:pStyle w:val="JuPara"/>
        <w:rPr>
          <w:i/>
          <w:lang w:val="pl-PL" w:eastAsia="en-GB"/>
        </w:rPr>
      </w:pPr>
      <w:r w:rsidRPr="0022499F">
        <w:rPr>
          <w:lang w:val="pl-PL" w:eastAsia="en-GB"/>
        </w:rPr>
        <w:fldChar w:fldCharType="begin"/>
      </w:r>
      <w:r w:rsidR="00DB4EEA"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79</w:t>
      </w:r>
      <w:r w:rsidRPr="0022499F">
        <w:rPr>
          <w:lang w:val="pl-PL" w:eastAsia="en-GB"/>
        </w:rPr>
        <w:fldChar w:fldCharType="end"/>
      </w:r>
      <w:r w:rsidR="00DB4EEA" w:rsidRPr="0022499F">
        <w:rPr>
          <w:lang w:val="pl-PL" w:eastAsia="en-GB"/>
        </w:rPr>
        <w:t>.  </w:t>
      </w:r>
      <w:r w:rsidR="00DC207D" w:rsidRPr="0022499F">
        <w:rPr>
          <w:lang w:val="pl-PL" w:eastAsia="en-GB"/>
        </w:rPr>
        <w:t xml:space="preserve">W każdym razie nie było żadnych „obiektywnych powodów” dla przeniesienia skarżącego do więzienia </w:t>
      </w:r>
      <w:proofErr w:type="spellStart"/>
      <w:r w:rsidR="00DC207D" w:rsidRPr="0022499F">
        <w:rPr>
          <w:lang w:val="pl-PL" w:eastAsia="en-GB"/>
        </w:rPr>
        <w:t>Matīsa</w:t>
      </w:r>
      <w:proofErr w:type="spellEnd"/>
      <w:r w:rsidR="00DC207D" w:rsidRPr="0022499F">
        <w:rPr>
          <w:lang w:val="pl-PL" w:eastAsia="en-GB"/>
        </w:rPr>
        <w:t xml:space="preserve">, ponieważ administracja więzienia w </w:t>
      </w:r>
      <w:proofErr w:type="spellStart"/>
      <w:r w:rsidR="00DC207D" w:rsidRPr="0022499F">
        <w:rPr>
          <w:lang w:val="pl-PL" w:eastAsia="en-GB"/>
        </w:rPr>
        <w:t>Daugavpils</w:t>
      </w:r>
      <w:proofErr w:type="spellEnd"/>
      <w:r w:rsidR="00DC207D" w:rsidRPr="0022499F">
        <w:rPr>
          <w:lang w:val="pl-PL" w:eastAsia="en-GB"/>
        </w:rPr>
        <w:t xml:space="preserve"> nie została</w:t>
      </w:r>
      <w:r w:rsidR="00E015D9" w:rsidRPr="0022499F">
        <w:rPr>
          <w:lang w:val="pl-PL" w:eastAsia="en-GB"/>
        </w:rPr>
        <w:t xml:space="preserve"> poinformowana</w:t>
      </w:r>
      <w:r w:rsidR="00DC207D" w:rsidRPr="0022499F">
        <w:rPr>
          <w:lang w:val="pl-PL" w:eastAsia="en-GB"/>
        </w:rPr>
        <w:t xml:space="preserve"> ani o poprzedniej współpracy skarżącego z policją, ani o niebezpieczeństwie przemocy </w:t>
      </w:r>
      <w:r w:rsidR="00E015D9" w:rsidRPr="0022499F">
        <w:rPr>
          <w:lang w:val="pl-PL" w:eastAsia="en-GB"/>
        </w:rPr>
        <w:t>więziennej</w:t>
      </w:r>
      <w:r w:rsidR="00DC207D" w:rsidRPr="0022499F">
        <w:rPr>
          <w:lang w:val="pl-PL" w:eastAsia="en-GB"/>
        </w:rPr>
        <w:t xml:space="preserve"> wobec niego. Ponadto Rząd uznał, że wniosek skarżącego o przeniesienie do </w:t>
      </w:r>
      <w:r w:rsidR="00DC207D" w:rsidRPr="0022499F">
        <w:rPr>
          <w:lang w:val="pl-PL"/>
        </w:rPr>
        <w:t>jednostki, w której więźniowie są zaangażowani w utrzymanie porządku</w:t>
      </w:r>
      <w:r w:rsidR="00DC207D" w:rsidRPr="0022499F">
        <w:rPr>
          <w:lang w:val="pl-PL" w:eastAsia="en-GB"/>
        </w:rPr>
        <w:t xml:space="preserve"> (patrz punkt 9 powyżej) potwierdzało fakt, że nie bał się pozostawać w kontakcie z innymi więźniami.</w:t>
      </w:r>
    </w:p>
    <w:p w:rsidR="00CF7475" w:rsidRPr="0022499F" w:rsidRDefault="00DC3E30" w:rsidP="00BA6401">
      <w:pPr>
        <w:pStyle w:val="JuPara"/>
        <w:rPr>
          <w:lang w:val="pl-PL" w:eastAsia="en-GB"/>
        </w:rPr>
      </w:pPr>
      <w:r w:rsidRPr="0022499F">
        <w:rPr>
          <w:lang w:val="pl-PL" w:eastAsia="en-GB"/>
        </w:rPr>
        <w:fldChar w:fldCharType="begin"/>
      </w:r>
      <w:r w:rsidR="00CF7475"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80</w:t>
      </w:r>
      <w:r w:rsidRPr="0022499F">
        <w:rPr>
          <w:lang w:val="pl-PL" w:eastAsia="en-GB"/>
        </w:rPr>
        <w:fldChar w:fldCharType="end"/>
      </w:r>
      <w:r w:rsidR="00CF7475" w:rsidRPr="0022499F">
        <w:rPr>
          <w:lang w:val="pl-PL" w:eastAsia="en-GB"/>
        </w:rPr>
        <w:t>.  </w:t>
      </w:r>
      <w:r w:rsidR="00DC207D" w:rsidRPr="0022499F">
        <w:rPr>
          <w:lang w:val="pl-PL" w:eastAsia="en-GB"/>
        </w:rPr>
        <w:t xml:space="preserve">Skarżący twierdził, że </w:t>
      </w:r>
      <w:r w:rsidR="00E015D9" w:rsidRPr="0022499F">
        <w:rPr>
          <w:lang w:val="pl-PL" w:eastAsia="en-GB"/>
        </w:rPr>
        <w:t xml:space="preserve">w więzieniu w </w:t>
      </w:r>
      <w:proofErr w:type="spellStart"/>
      <w:r w:rsidR="00E015D9" w:rsidRPr="0022499F">
        <w:rPr>
          <w:lang w:val="pl-PL" w:eastAsia="en-GB"/>
        </w:rPr>
        <w:t>Daugavpils</w:t>
      </w:r>
      <w:proofErr w:type="spellEnd"/>
      <w:r w:rsidR="00E015D9" w:rsidRPr="0022499F">
        <w:rPr>
          <w:lang w:val="pl-PL" w:eastAsia="en-GB"/>
        </w:rPr>
        <w:t xml:space="preserve"> </w:t>
      </w:r>
      <w:r w:rsidR="00DC207D" w:rsidRPr="0022499F">
        <w:rPr>
          <w:lang w:val="pl-PL" w:eastAsia="en-GB"/>
        </w:rPr>
        <w:t>nie zapewniono mu</w:t>
      </w:r>
      <w:r w:rsidR="00E015D9" w:rsidRPr="0022499F">
        <w:rPr>
          <w:lang w:val="pl-PL" w:eastAsia="en-GB"/>
        </w:rPr>
        <w:t xml:space="preserve"> bezpieczeństwa</w:t>
      </w:r>
      <w:r w:rsidR="00DC207D" w:rsidRPr="0022499F">
        <w:rPr>
          <w:lang w:val="pl-PL" w:eastAsia="en-GB"/>
        </w:rPr>
        <w:t>. Zwrócił uwagę, że w celu zminimalizowania ryzyka stania się ofiarą przemocy, odmówił podejmowania ćwiczeń na świeżym powietrzu przez ponad siedem miesięcy</w:t>
      </w:r>
      <w:r w:rsidR="00CF7475" w:rsidRPr="0022499F">
        <w:rPr>
          <w:lang w:val="pl-PL" w:eastAsia="en-GB"/>
        </w:rPr>
        <w:t>.</w:t>
      </w:r>
    </w:p>
    <w:p w:rsidR="00CF7475" w:rsidRPr="0022499F" w:rsidRDefault="00CF7475" w:rsidP="00CF7475">
      <w:pPr>
        <w:pStyle w:val="JuHa0"/>
        <w:rPr>
          <w:lang w:val="pl-PL"/>
        </w:rPr>
      </w:pPr>
      <w:r w:rsidRPr="0022499F">
        <w:rPr>
          <w:lang w:val="pl-PL"/>
        </w:rPr>
        <w:t>b.  </w:t>
      </w:r>
      <w:r w:rsidR="00372F84" w:rsidRPr="0022499F">
        <w:rPr>
          <w:lang w:val="pl-PL"/>
        </w:rPr>
        <w:t>Ocena Trybunału</w:t>
      </w:r>
    </w:p>
    <w:p w:rsidR="00BA54D7" w:rsidRPr="0022499F" w:rsidRDefault="00DC3E30" w:rsidP="00715151">
      <w:pPr>
        <w:pStyle w:val="JuPara"/>
        <w:rPr>
          <w:i/>
          <w:lang w:val="pl-PL" w:eastAsia="en-US"/>
        </w:rPr>
      </w:pPr>
      <w:r w:rsidRPr="0022499F">
        <w:rPr>
          <w:lang w:val="pl-PL" w:eastAsia="en-GB"/>
        </w:rPr>
        <w:fldChar w:fldCharType="begin"/>
      </w:r>
      <w:r w:rsidR="00CF7475"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81</w:t>
      </w:r>
      <w:r w:rsidRPr="0022499F">
        <w:rPr>
          <w:lang w:val="pl-PL" w:eastAsia="en-GB"/>
        </w:rPr>
        <w:fldChar w:fldCharType="end"/>
      </w:r>
      <w:r w:rsidR="00CF7475" w:rsidRPr="0022499F">
        <w:rPr>
          <w:lang w:val="pl-PL" w:eastAsia="en-GB"/>
        </w:rPr>
        <w:t>.  </w:t>
      </w:r>
      <w:r w:rsidR="00DC207D" w:rsidRPr="0022499F">
        <w:rPr>
          <w:lang w:val="pl-PL" w:eastAsia="en-GB"/>
        </w:rPr>
        <w:t>Na wstępie Trybunał zauważa, że strony są zgodne</w:t>
      </w:r>
      <w:r w:rsidR="00E015D9" w:rsidRPr="0022499F">
        <w:rPr>
          <w:lang w:val="pl-PL" w:eastAsia="en-GB"/>
        </w:rPr>
        <w:t xml:space="preserve"> co do tego</w:t>
      </w:r>
      <w:r w:rsidR="00DC207D" w:rsidRPr="0022499F">
        <w:rPr>
          <w:lang w:val="pl-PL" w:eastAsia="en-GB"/>
        </w:rPr>
        <w:t xml:space="preserve">, że więźniowie podejrzani lub skazani za przestępstwa seksualne i więźniowie, którzy wcześniej współpracowali z organami ścigania, są szczególnie narażeni na przemoc </w:t>
      </w:r>
      <w:r w:rsidR="00E015D9" w:rsidRPr="0022499F">
        <w:rPr>
          <w:lang w:val="pl-PL" w:eastAsia="en-GB"/>
        </w:rPr>
        <w:t>więzienną</w:t>
      </w:r>
      <w:r w:rsidR="00DC207D" w:rsidRPr="0022499F">
        <w:rPr>
          <w:lang w:val="pl-PL" w:eastAsia="en-GB"/>
        </w:rPr>
        <w:t xml:space="preserve"> w łotewskich </w:t>
      </w:r>
      <w:r w:rsidR="00E015D9" w:rsidRPr="0022499F">
        <w:rPr>
          <w:lang w:val="pl-PL" w:eastAsia="en-GB"/>
        </w:rPr>
        <w:t>jednostkach penitencjarnych</w:t>
      </w:r>
      <w:r w:rsidR="00DC207D" w:rsidRPr="0022499F">
        <w:rPr>
          <w:lang w:val="pl-PL" w:eastAsia="en-GB"/>
        </w:rPr>
        <w:t>. Związek między oskarżeniem o przestępstwa seksualne a ryzykiem przemocy między więźniami został również potwierdzony przez CPT (zobacz punkt 30 powyżej). W takich okolicznościach należy stw</w:t>
      </w:r>
      <w:r w:rsidR="004C0690" w:rsidRPr="0022499F">
        <w:rPr>
          <w:lang w:val="pl-PL" w:eastAsia="en-GB"/>
        </w:rPr>
        <w:t>ierdzić, że każdy dzień, który skarżący musiał spędzić z ogólną populacj</w:t>
      </w:r>
      <w:r w:rsidR="00E015D9" w:rsidRPr="0022499F">
        <w:rPr>
          <w:lang w:val="pl-PL" w:eastAsia="en-GB"/>
        </w:rPr>
        <w:t>ą więzienną, jedynie podwyższał</w:t>
      </w:r>
      <w:r w:rsidR="00DC207D" w:rsidRPr="0022499F">
        <w:rPr>
          <w:lang w:val="pl-PL" w:eastAsia="en-GB"/>
        </w:rPr>
        <w:t xml:space="preserve"> ryzyko przemocy wobec niego, </w:t>
      </w:r>
      <w:r w:rsidR="004C0690" w:rsidRPr="0022499F">
        <w:rPr>
          <w:lang w:val="pl-PL" w:eastAsia="en-GB"/>
        </w:rPr>
        <w:t xml:space="preserve">ponieważ </w:t>
      </w:r>
      <w:r w:rsidR="00DC207D" w:rsidRPr="0022499F">
        <w:rPr>
          <w:lang w:val="pl-PL" w:eastAsia="en-GB"/>
        </w:rPr>
        <w:t xml:space="preserve">znajomość charakteru </w:t>
      </w:r>
      <w:r w:rsidR="00E015D9" w:rsidRPr="0022499F">
        <w:rPr>
          <w:lang w:val="pl-PL" w:eastAsia="en-GB"/>
        </w:rPr>
        <w:t xml:space="preserve">stawianych mu </w:t>
      </w:r>
      <w:r w:rsidR="00DC207D" w:rsidRPr="0022499F">
        <w:rPr>
          <w:lang w:val="pl-PL" w:eastAsia="en-GB"/>
        </w:rPr>
        <w:t xml:space="preserve">zarzutów i jego </w:t>
      </w:r>
      <w:r w:rsidR="004C0690" w:rsidRPr="0022499F">
        <w:rPr>
          <w:lang w:val="pl-PL" w:eastAsia="en-GB"/>
        </w:rPr>
        <w:t>dawnych powiązań</w:t>
      </w:r>
      <w:r w:rsidR="00DC207D" w:rsidRPr="0022499F">
        <w:rPr>
          <w:lang w:val="pl-PL" w:eastAsia="en-GB"/>
        </w:rPr>
        <w:t xml:space="preserve"> z </w:t>
      </w:r>
      <w:r w:rsidR="004C0690" w:rsidRPr="0022499F">
        <w:rPr>
          <w:lang w:val="pl-PL" w:eastAsia="en-GB"/>
        </w:rPr>
        <w:t xml:space="preserve">policją </w:t>
      </w:r>
      <w:r w:rsidR="00E015D9" w:rsidRPr="0022499F">
        <w:rPr>
          <w:lang w:val="pl-PL" w:eastAsia="en-GB"/>
        </w:rPr>
        <w:t xml:space="preserve">rozpowszechniała </w:t>
      </w:r>
      <w:proofErr w:type="spellStart"/>
      <w:r w:rsidR="00E015D9" w:rsidRPr="0022499F">
        <w:rPr>
          <w:lang w:val="pl-PL" w:eastAsia="en-GB"/>
        </w:rPr>
        <w:t>sie</w:t>
      </w:r>
      <w:proofErr w:type="spellEnd"/>
      <w:r w:rsidR="004C0690" w:rsidRPr="0022499F">
        <w:rPr>
          <w:lang w:val="pl-PL" w:eastAsia="en-GB"/>
        </w:rPr>
        <w:t xml:space="preserve"> wśród coraz </w:t>
      </w:r>
      <w:r w:rsidR="00DC207D" w:rsidRPr="0022499F">
        <w:rPr>
          <w:lang w:val="pl-PL" w:eastAsia="en-GB"/>
        </w:rPr>
        <w:t>w</w:t>
      </w:r>
      <w:r w:rsidR="004C0690" w:rsidRPr="0022499F">
        <w:rPr>
          <w:lang w:val="pl-PL" w:eastAsia="en-GB"/>
        </w:rPr>
        <w:t>iększej</w:t>
      </w:r>
      <w:r w:rsidR="00DC207D" w:rsidRPr="0022499F">
        <w:rPr>
          <w:lang w:val="pl-PL" w:eastAsia="en-GB"/>
        </w:rPr>
        <w:t xml:space="preserve"> </w:t>
      </w:r>
      <w:r w:rsidR="004C0690" w:rsidRPr="0022499F">
        <w:rPr>
          <w:lang w:val="pl-PL" w:eastAsia="en-GB"/>
        </w:rPr>
        <w:t>i większej liczby</w:t>
      </w:r>
      <w:r w:rsidR="00DC207D" w:rsidRPr="0022499F">
        <w:rPr>
          <w:lang w:val="pl-PL" w:eastAsia="en-GB"/>
        </w:rPr>
        <w:t xml:space="preserve"> więźniów.</w:t>
      </w:r>
      <w:r w:rsidR="004C0690" w:rsidRPr="0022499F">
        <w:rPr>
          <w:lang w:val="pl-PL" w:eastAsia="en-GB"/>
        </w:rPr>
        <w:t xml:space="preserve"> Trybunał</w:t>
      </w:r>
      <w:r w:rsidR="00DC207D" w:rsidRPr="0022499F">
        <w:rPr>
          <w:lang w:val="pl-PL" w:eastAsia="en-GB"/>
        </w:rPr>
        <w:t xml:space="preserve"> nie może również pominąć fak</w:t>
      </w:r>
      <w:r w:rsidR="00E015D9" w:rsidRPr="0022499F">
        <w:rPr>
          <w:lang w:val="pl-PL" w:eastAsia="en-GB"/>
        </w:rPr>
        <w:t>tu, że CPT wielokrotnie wyrażał</w:t>
      </w:r>
      <w:r w:rsidR="00DC207D" w:rsidRPr="0022499F">
        <w:rPr>
          <w:lang w:val="pl-PL" w:eastAsia="en-GB"/>
        </w:rPr>
        <w:t xml:space="preserve"> szczególne zaniepokojenie </w:t>
      </w:r>
      <w:r w:rsidR="004C0690" w:rsidRPr="0022499F">
        <w:rPr>
          <w:lang w:val="pl-PL" w:eastAsia="en-GB"/>
        </w:rPr>
        <w:t xml:space="preserve">przemocą między </w:t>
      </w:r>
      <w:r w:rsidR="00E015D9" w:rsidRPr="0022499F">
        <w:rPr>
          <w:lang w:val="pl-PL" w:eastAsia="en-GB"/>
        </w:rPr>
        <w:t>osadzonymi</w:t>
      </w:r>
      <w:r w:rsidR="00DC207D" w:rsidRPr="0022499F">
        <w:rPr>
          <w:lang w:val="pl-PL" w:eastAsia="en-GB"/>
        </w:rPr>
        <w:t xml:space="preserve"> w więzieniu w </w:t>
      </w:r>
      <w:proofErr w:type="spellStart"/>
      <w:r w:rsidR="00DC207D" w:rsidRPr="0022499F">
        <w:rPr>
          <w:lang w:val="pl-PL" w:eastAsia="en-GB"/>
        </w:rPr>
        <w:t>Daugavpils</w:t>
      </w:r>
      <w:proofErr w:type="spellEnd"/>
      <w:r w:rsidR="00DC207D" w:rsidRPr="0022499F">
        <w:rPr>
          <w:lang w:val="pl-PL" w:eastAsia="en-GB"/>
        </w:rPr>
        <w:t xml:space="preserve"> (</w:t>
      </w:r>
      <w:r w:rsidR="004C0690" w:rsidRPr="0022499F">
        <w:rPr>
          <w:lang w:val="pl-PL" w:eastAsia="en-GB"/>
        </w:rPr>
        <w:t>zobacz</w:t>
      </w:r>
      <w:r w:rsidR="00DC207D" w:rsidRPr="0022499F">
        <w:rPr>
          <w:lang w:val="pl-PL" w:eastAsia="en-GB"/>
        </w:rPr>
        <w:t xml:space="preserve"> p</w:t>
      </w:r>
      <w:r w:rsidR="004C0690" w:rsidRPr="0022499F">
        <w:rPr>
          <w:lang w:val="pl-PL" w:eastAsia="en-GB"/>
        </w:rPr>
        <w:t>un</w:t>
      </w:r>
      <w:r w:rsidR="00DC207D" w:rsidRPr="0022499F">
        <w:rPr>
          <w:lang w:val="pl-PL" w:eastAsia="en-GB"/>
        </w:rPr>
        <w:t xml:space="preserve">kt 31 i 32 powyżej) oraz </w:t>
      </w:r>
      <w:r w:rsidR="00E015D9" w:rsidRPr="0022499F">
        <w:rPr>
          <w:lang w:val="pl-PL" w:eastAsia="en-GB"/>
        </w:rPr>
        <w:t xml:space="preserve">ogólnie </w:t>
      </w:r>
      <w:r w:rsidR="00DC207D" w:rsidRPr="0022499F">
        <w:rPr>
          <w:lang w:val="pl-PL" w:eastAsia="en-GB"/>
        </w:rPr>
        <w:t>w łotewskich więzieniach (</w:t>
      </w:r>
      <w:r w:rsidR="004C0690" w:rsidRPr="0022499F">
        <w:rPr>
          <w:lang w:val="pl-PL" w:eastAsia="en-GB"/>
        </w:rPr>
        <w:t>zobacz</w:t>
      </w:r>
      <w:r w:rsidR="00DC207D" w:rsidRPr="0022499F">
        <w:rPr>
          <w:lang w:val="pl-PL" w:eastAsia="en-GB"/>
        </w:rPr>
        <w:t xml:space="preserve"> p</w:t>
      </w:r>
      <w:r w:rsidR="004C0690" w:rsidRPr="0022499F">
        <w:rPr>
          <w:lang w:val="pl-PL" w:eastAsia="en-GB"/>
        </w:rPr>
        <w:t>un</w:t>
      </w:r>
      <w:r w:rsidR="00DC207D" w:rsidRPr="0022499F">
        <w:rPr>
          <w:lang w:val="pl-PL" w:eastAsia="en-GB"/>
        </w:rPr>
        <w:t xml:space="preserve">kt 33 powyżej). W związku z tym Trybunał jest zdania, że </w:t>
      </w:r>
      <w:r w:rsidR="00E015D9" w:rsidRPr="0022499F">
        <w:rPr>
          <w:lang w:val="pl-PL" w:eastAsia="en-GB"/>
        </w:rPr>
        <w:t xml:space="preserve">można przyznać rację </w:t>
      </w:r>
      <w:r w:rsidR="004C0690" w:rsidRPr="0022499F">
        <w:rPr>
          <w:lang w:val="pl-PL" w:eastAsia="en-GB"/>
        </w:rPr>
        <w:t>sugestii R</w:t>
      </w:r>
      <w:r w:rsidR="00DC207D" w:rsidRPr="0022499F">
        <w:rPr>
          <w:lang w:val="pl-PL" w:eastAsia="en-GB"/>
        </w:rPr>
        <w:t xml:space="preserve">ządu, że przeniesienie skarżącego do więzienia </w:t>
      </w:r>
      <w:proofErr w:type="spellStart"/>
      <w:r w:rsidR="00DC207D" w:rsidRPr="0022499F">
        <w:rPr>
          <w:lang w:val="pl-PL" w:eastAsia="en-GB"/>
        </w:rPr>
        <w:t>Matīsa</w:t>
      </w:r>
      <w:proofErr w:type="spellEnd"/>
      <w:r w:rsidR="00DC207D" w:rsidRPr="0022499F">
        <w:rPr>
          <w:lang w:val="pl-PL" w:eastAsia="en-GB"/>
        </w:rPr>
        <w:t xml:space="preserve"> nie był</w:t>
      </w:r>
      <w:r w:rsidR="00E015D9" w:rsidRPr="0022499F">
        <w:rPr>
          <w:lang w:val="pl-PL" w:eastAsia="en-GB"/>
        </w:rPr>
        <w:t>o</w:t>
      </w:r>
      <w:r w:rsidR="00DC207D" w:rsidRPr="0022499F">
        <w:rPr>
          <w:lang w:val="pl-PL" w:eastAsia="en-GB"/>
        </w:rPr>
        <w:t xml:space="preserve"> jedynym możliwym sposobe</w:t>
      </w:r>
      <w:r w:rsidR="004C0690" w:rsidRPr="0022499F">
        <w:rPr>
          <w:lang w:val="pl-PL" w:eastAsia="en-GB"/>
        </w:rPr>
        <w:t xml:space="preserve">m </w:t>
      </w:r>
      <w:r w:rsidR="00E015D9" w:rsidRPr="0022499F">
        <w:rPr>
          <w:lang w:val="pl-PL" w:eastAsia="en-GB"/>
        </w:rPr>
        <w:t>rozwiązania jego sytuacji</w:t>
      </w:r>
      <w:r w:rsidR="00DC207D" w:rsidRPr="0022499F">
        <w:rPr>
          <w:lang w:val="pl-PL" w:eastAsia="en-GB"/>
        </w:rPr>
        <w:t xml:space="preserve"> w zakresie, w jakim zagrożenie przemocą </w:t>
      </w:r>
      <w:r w:rsidR="00E015D9" w:rsidRPr="0022499F">
        <w:rPr>
          <w:lang w:val="pl-PL" w:eastAsia="en-GB"/>
        </w:rPr>
        <w:t xml:space="preserve">było </w:t>
      </w:r>
      <w:r w:rsidR="004C0690" w:rsidRPr="0022499F">
        <w:rPr>
          <w:lang w:val="pl-PL" w:eastAsia="en-GB"/>
        </w:rPr>
        <w:t xml:space="preserve">powodowane charakterem stawianych mu </w:t>
      </w:r>
      <w:proofErr w:type="spellStart"/>
      <w:r w:rsidR="004C0690" w:rsidRPr="0022499F">
        <w:rPr>
          <w:lang w:val="pl-PL" w:eastAsia="en-GB"/>
        </w:rPr>
        <w:t>zarutów</w:t>
      </w:r>
      <w:proofErr w:type="spellEnd"/>
      <w:r w:rsidR="004C0690" w:rsidRPr="0022499F">
        <w:rPr>
          <w:lang w:val="pl-PL" w:eastAsia="en-GB"/>
        </w:rPr>
        <w:t xml:space="preserve"> karnych</w:t>
      </w:r>
      <w:r w:rsidR="00DC207D" w:rsidRPr="0022499F">
        <w:rPr>
          <w:lang w:val="pl-PL" w:eastAsia="en-GB"/>
        </w:rPr>
        <w:t>.</w:t>
      </w:r>
      <w:r w:rsidR="004C0690" w:rsidRPr="0022499F">
        <w:rPr>
          <w:i/>
          <w:lang w:val="pl-PL" w:eastAsia="en-US"/>
        </w:rPr>
        <w:t xml:space="preserve"> </w:t>
      </w:r>
      <w:r w:rsidR="004C0690" w:rsidRPr="0022499F">
        <w:rPr>
          <w:lang w:val="pl-PL" w:eastAsia="en-GB"/>
        </w:rPr>
        <w:t>Trybunał</w:t>
      </w:r>
      <w:r w:rsidR="00DC207D" w:rsidRPr="0022499F">
        <w:rPr>
          <w:lang w:val="pl-PL" w:eastAsia="en-GB"/>
        </w:rPr>
        <w:t xml:space="preserve"> ma większe trudności</w:t>
      </w:r>
      <w:r w:rsidR="004C0690" w:rsidRPr="0022499F">
        <w:rPr>
          <w:lang w:val="pl-PL" w:eastAsia="en-GB"/>
        </w:rPr>
        <w:t xml:space="preserve"> z zaakceptowaniem twierdzenia R</w:t>
      </w:r>
      <w:r w:rsidR="00DC207D" w:rsidRPr="0022499F">
        <w:rPr>
          <w:lang w:val="pl-PL" w:eastAsia="en-GB"/>
        </w:rPr>
        <w:t xml:space="preserve">ządu, że przeniesienie skarżącego do innego więzienia niż </w:t>
      </w:r>
      <w:proofErr w:type="spellStart"/>
      <w:r w:rsidR="00DC207D" w:rsidRPr="0022499F">
        <w:rPr>
          <w:lang w:val="pl-PL" w:eastAsia="en-GB"/>
        </w:rPr>
        <w:t>Matīsa</w:t>
      </w:r>
      <w:proofErr w:type="spellEnd"/>
      <w:r w:rsidR="00DC207D" w:rsidRPr="0022499F">
        <w:rPr>
          <w:lang w:val="pl-PL" w:eastAsia="en-GB"/>
        </w:rPr>
        <w:t xml:space="preserve"> był</w:t>
      </w:r>
      <w:r w:rsidR="004C0690" w:rsidRPr="0022499F">
        <w:rPr>
          <w:lang w:val="pl-PL" w:eastAsia="en-GB"/>
        </w:rPr>
        <w:t>o</w:t>
      </w:r>
      <w:r w:rsidR="00DC207D" w:rsidRPr="0022499F">
        <w:rPr>
          <w:lang w:val="pl-PL" w:eastAsia="en-GB"/>
        </w:rPr>
        <w:t>by skutecznym sposobem wyeliminowania zagrożeń wynikającyc</w:t>
      </w:r>
      <w:r w:rsidR="00E015D9" w:rsidRPr="0022499F">
        <w:rPr>
          <w:lang w:val="pl-PL" w:eastAsia="en-GB"/>
        </w:rPr>
        <w:t xml:space="preserve">h z jego poprzedniej współpracy </w:t>
      </w:r>
      <w:r w:rsidR="00DC207D" w:rsidRPr="0022499F">
        <w:rPr>
          <w:lang w:val="pl-PL" w:eastAsia="en-GB"/>
        </w:rPr>
        <w:t>z policją.</w:t>
      </w:r>
      <w:r w:rsidR="004C0690" w:rsidRPr="0022499F">
        <w:rPr>
          <w:lang w:val="pl-PL" w:eastAsia="en-GB"/>
        </w:rPr>
        <w:t xml:space="preserve"> </w:t>
      </w:r>
      <w:r w:rsidR="00DC207D" w:rsidRPr="0022499F">
        <w:rPr>
          <w:lang w:val="pl-PL" w:eastAsia="en-GB"/>
        </w:rPr>
        <w:t>R</w:t>
      </w:r>
      <w:r w:rsidR="004C0690" w:rsidRPr="0022499F">
        <w:rPr>
          <w:lang w:val="pl-PL" w:eastAsia="en-GB"/>
        </w:rPr>
        <w:t>ząd Łotwy jest wyraźnie świadomy</w:t>
      </w:r>
      <w:r w:rsidR="00DC207D" w:rsidRPr="0022499F">
        <w:rPr>
          <w:lang w:val="pl-PL" w:eastAsia="en-GB"/>
        </w:rPr>
        <w:t xml:space="preserve"> problemów</w:t>
      </w:r>
      <w:r w:rsidR="00E015D9" w:rsidRPr="0022499F">
        <w:rPr>
          <w:lang w:val="pl-PL" w:eastAsia="en-GB"/>
        </w:rPr>
        <w:t>, jakim stawiają czoła więźniowie</w:t>
      </w:r>
      <w:r w:rsidR="00DC207D" w:rsidRPr="0022499F">
        <w:rPr>
          <w:lang w:val="pl-PL" w:eastAsia="en-GB"/>
        </w:rPr>
        <w:t xml:space="preserve">, którzy pracowali dla organów ścigania, a </w:t>
      </w:r>
      <w:r w:rsidR="004C0690" w:rsidRPr="0022499F">
        <w:rPr>
          <w:lang w:val="pl-PL" w:eastAsia="en-GB"/>
        </w:rPr>
        <w:t xml:space="preserve">także ich </w:t>
      </w:r>
      <w:r w:rsidR="004C0690" w:rsidRPr="0022499F">
        <w:rPr>
          <w:lang w:val="pl-PL" w:eastAsia="en-GB"/>
        </w:rPr>
        <w:lastRenderedPageBreak/>
        <w:t>krewni</w:t>
      </w:r>
      <w:r w:rsidR="00DC207D" w:rsidRPr="0022499F">
        <w:rPr>
          <w:lang w:val="pl-PL" w:eastAsia="en-GB"/>
        </w:rPr>
        <w:t>.</w:t>
      </w:r>
      <w:r w:rsidR="004C0690" w:rsidRPr="0022499F">
        <w:rPr>
          <w:lang w:val="pl-PL" w:eastAsia="en-GB"/>
        </w:rPr>
        <w:t xml:space="preserve"> </w:t>
      </w:r>
      <w:r w:rsidR="00DC207D" w:rsidRPr="0022499F">
        <w:rPr>
          <w:lang w:val="pl-PL" w:eastAsia="en-GB"/>
        </w:rPr>
        <w:t>Rozwiązanie</w:t>
      </w:r>
      <w:r w:rsidR="004C0690" w:rsidRPr="0022499F">
        <w:rPr>
          <w:lang w:val="pl-PL" w:eastAsia="en-GB"/>
        </w:rPr>
        <w:t>m wybranym przez R</w:t>
      </w:r>
      <w:r w:rsidR="00DC207D" w:rsidRPr="0022499F">
        <w:rPr>
          <w:lang w:val="pl-PL" w:eastAsia="en-GB"/>
        </w:rPr>
        <w:t xml:space="preserve">ząd było umieszczenie takich więźniów </w:t>
      </w:r>
      <w:r w:rsidR="004C0690" w:rsidRPr="0022499F">
        <w:rPr>
          <w:lang w:val="pl-PL" w:eastAsia="en-GB"/>
        </w:rPr>
        <w:t xml:space="preserve">w specjalnym skrzydle więzienia </w:t>
      </w:r>
      <w:proofErr w:type="spellStart"/>
      <w:r w:rsidR="00DC207D" w:rsidRPr="0022499F">
        <w:rPr>
          <w:lang w:val="pl-PL" w:eastAsia="en-GB"/>
        </w:rPr>
        <w:t>Matīsa</w:t>
      </w:r>
      <w:proofErr w:type="spellEnd"/>
      <w:r w:rsidR="00DC207D" w:rsidRPr="0022499F">
        <w:rPr>
          <w:lang w:val="pl-PL" w:eastAsia="en-GB"/>
        </w:rPr>
        <w:t xml:space="preserve"> (</w:t>
      </w:r>
      <w:r w:rsidR="004C0690" w:rsidRPr="0022499F">
        <w:rPr>
          <w:lang w:val="pl-PL" w:eastAsia="en-GB"/>
        </w:rPr>
        <w:t>zobacz</w:t>
      </w:r>
      <w:r w:rsidR="00DC207D" w:rsidRPr="0022499F">
        <w:rPr>
          <w:lang w:val="pl-PL" w:eastAsia="en-GB"/>
        </w:rPr>
        <w:t xml:space="preserve"> p</w:t>
      </w:r>
      <w:r w:rsidR="004C0690" w:rsidRPr="0022499F">
        <w:rPr>
          <w:lang w:val="pl-PL" w:eastAsia="en-GB"/>
        </w:rPr>
        <w:t>un</w:t>
      </w:r>
      <w:r w:rsidR="00DC207D" w:rsidRPr="0022499F">
        <w:rPr>
          <w:lang w:val="pl-PL" w:eastAsia="en-GB"/>
        </w:rPr>
        <w:t xml:space="preserve">kt 37 i 39 powyżej). </w:t>
      </w:r>
    </w:p>
    <w:p w:rsidR="00715151" w:rsidRPr="0022499F" w:rsidRDefault="00DC3E30" w:rsidP="00715151">
      <w:pPr>
        <w:pStyle w:val="JuPara"/>
        <w:rPr>
          <w:i/>
          <w:lang w:val="pl-PL" w:eastAsia="en-US"/>
        </w:rPr>
      </w:pPr>
      <w:r w:rsidRPr="0022499F">
        <w:rPr>
          <w:lang w:val="pl-PL" w:eastAsia="en-US"/>
        </w:rPr>
        <w:fldChar w:fldCharType="begin"/>
      </w:r>
      <w:r w:rsidR="00BA54D7"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82</w:t>
      </w:r>
      <w:r w:rsidRPr="0022499F">
        <w:rPr>
          <w:lang w:val="pl-PL" w:eastAsia="en-US"/>
        </w:rPr>
        <w:fldChar w:fldCharType="end"/>
      </w:r>
      <w:r w:rsidR="00BA54D7" w:rsidRPr="0022499F">
        <w:rPr>
          <w:lang w:val="pl-PL" w:eastAsia="en-US"/>
        </w:rPr>
        <w:t>.  </w:t>
      </w:r>
      <w:r w:rsidR="00387BE1" w:rsidRPr="0022499F">
        <w:rPr>
          <w:lang w:val="pl-PL" w:eastAsia="en-US"/>
        </w:rPr>
        <w:t xml:space="preserve">Jednakże Trybunał nie może nie zauważyć, że władze krajowe nie tylko odrzuciły to, co Rząd scharakteryzował jako „natarczywe wnioski (wniosek)” skarżącego w sprawie przeniesienia do więzienia </w:t>
      </w:r>
      <w:proofErr w:type="spellStart"/>
      <w:r w:rsidR="00387BE1" w:rsidRPr="0022499F">
        <w:rPr>
          <w:lang w:val="pl-PL" w:eastAsia="en-US"/>
        </w:rPr>
        <w:t>Matīsa</w:t>
      </w:r>
      <w:proofErr w:type="spellEnd"/>
      <w:r w:rsidR="00387BE1" w:rsidRPr="0022499F">
        <w:rPr>
          <w:lang w:val="pl-PL" w:eastAsia="en-US"/>
        </w:rPr>
        <w:t xml:space="preserve">, ale wydaje się, że uznały, że </w:t>
      </w:r>
      <w:r w:rsidR="00E015D9" w:rsidRPr="0022499F">
        <w:rPr>
          <w:lang w:val="pl-PL" w:eastAsia="en-US"/>
        </w:rPr>
        <w:t>skargi</w:t>
      </w:r>
      <w:r w:rsidR="00387BE1" w:rsidRPr="0022499F">
        <w:rPr>
          <w:lang w:val="pl-PL" w:eastAsia="en-US"/>
        </w:rPr>
        <w:t xml:space="preserve"> skarżącego nie wymagały żadnej </w:t>
      </w:r>
      <w:r w:rsidR="00E015D9" w:rsidRPr="0022499F">
        <w:rPr>
          <w:lang w:val="pl-PL" w:eastAsia="en-US"/>
        </w:rPr>
        <w:t>reakcji</w:t>
      </w:r>
      <w:r w:rsidR="00387BE1" w:rsidRPr="0022499F">
        <w:rPr>
          <w:lang w:val="pl-PL" w:eastAsia="en-US"/>
        </w:rPr>
        <w:t>, w tym</w:t>
      </w:r>
      <w:r w:rsidR="00E015D9" w:rsidRPr="0022499F">
        <w:rPr>
          <w:lang w:val="pl-PL" w:eastAsia="en-US"/>
        </w:rPr>
        <w:t xml:space="preserve"> tej</w:t>
      </w:r>
      <w:r w:rsidR="00387BE1" w:rsidRPr="0022499F">
        <w:rPr>
          <w:lang w:val="pl-PL" w:eastAsia="en-US"/>
        </w:rPr>
        <w:t xml:space="preserve"> zaproponowane</w:t>
      </w:r>
      <w:r w:rsidR="00E015D9" w:rsidRPr="0022499F">
        <w:rPr>
          <w:lang w:val="pl-PL" w:eastAsia="en-US"/>
        </w:rPr>
        <w:t>j</w:t>
      </w:r>
      <w:r w:rsidR="00387BE1" w:rsidRPr="0022499F">
        <w:rPr>
          <w:lang w:val="pl-PL" w:eastAsia="en-US"/>
        </w:rPr>
        <w:t xml:space="preserve"> przez Rząd, </w:t>
      </w:r>
      <w:r w:rsidR="00E015D9" w:rsidRPr="0022499F">
        <w:rPr>
          <w:lang w:val="pl-PL" w:eastAsia="en-US"/>
        </w:rPr>
        <w:t xml:space="preserve">czyli </w:t>
      </w:r>
      <w:r w:rsidR="00387BE1" w:rsidRPr="0022499F">
        <w:rPr>
          <w:lang w:val="pl-PL" w:eastAsia="en-US"/>
        </w:rPr>
        <w:t>przeni</w:t>
      </w:r>
      <w:r w:rsidR="00E015D9" w:rsidRPr="0022499F">
        <w:rPr>
          <w:lang w:val="pl-PL" w:eastAsia="en-US"/>
        </w:rPr>
        <w:t xml:space="preserve">esienia go do innego więzienia. </w:t>
      </w:r>
      <w:r w:rsidR="00387BE1" w:rsidRPr="0022499F">
        <w:rPr>
          <w:lang w:val="pl-PL" w:eastAsia="en-US"/>
        </w:rPr>
        <w:t>Trybunał zbada teraz, czy organy słusznie doszły do takiego wniosku.</w:t>
      </w:r>
    </w:p>
    <w:p w:rsidR="0061251A" w:rsidRPr="0022499F" w:rsidRDefault="00DC3E30" w:rsidP="0061251A">
      <w:pPr>
        <w:pStyle w:val="JuPara"/>
        <w:rPr>
          <w:i/>
          <w:lang w:val="pl-PL"/>
        </w:rPr>
      </w:pPr>
      <w:r w:rsidRPr="0022499F">
        <w:rPr>
          <w:lang w:val="pl-PL" w:eastAsia="en-GB"/>
        </w:rPr>
        <w:fldChar w:fldCharType="begin"/>
      </w:r>
      <w:r w:rsidR="0061251A"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83</w:t>
      </w:r>
      <w:r w:rsidRPr="0022499F">
        <w:rPr>
          <w:lang w:val="pl-PL" w:eastAsia="en-GB"/>
        </w:rPr>
        <w:fldChar w:fldCharType="end"/>
      </w:r>
      <w:r w:rsidR="0061251A" w:rsidRPr="0022499F">
        <w:rPr>
          <w:lang w:val="pl-PL" w:eastAsia="en-GB"/>
        </w:rPr>
        <w:t>.  </w:t>
      </w:r>
      <w:r w:rsidR="00387BE1" w:rsidRPr="0022499F">
        <w:rPr>
          <w:lang w:val="pl-PL" w:eastAsia="en-GB"/>
        </w:rPr>
        <w:t xml:space="preserve">W swoim orzecznictwie Trybunał konsekwentnie stwierdzał, że wynikający z Artykułu 1 Konwencji obowiązek Wysokich Układających się Stron </w:t>
      </w:r>
      <w:r w:rsidR="00E015D9" w:rsidRPr="0022499F">
        <w:rPr>
          <w:lang w:val="pl-PL" w:eastAsia="en-GB"/>
        </w:rPr>
        <w:t xml:space="preserve">do </w:t>
      </w:r>
      <w:r w:rsidR="00387BE1" w:rsidRPr="0022499F">
        <w:rPr>
          <w:lang w:val="pl-PL" w:eastAsia="en-GB"/>
        </w:rPr>
        <w:t xml:space="preserve">zapewnienia każdemu człowiekowi podlegającemu ich jurysdykcji praw i wolności określonych w Konwencji, </w:t>
      </w:r>
      <w:r w:rsidR="00E015D9" w:rsidRPr="0022499F">
        <w:rPr>
          <w:lang w:val="pl-PL" w:eastAsia="en-GB"/>
        </w:rPr>
        <w:t>w tym wynikających z Artykułu</w:t>
      </w:r>
      <w:r w:rsidR="00387BE1" w:rsidRPr="0022499F">
        <w:rPr>
          <w:lang w:val="pl-PL" w:eastAsia="en-GB"/>
        </w:rPr>
        <w:t xml:space="preserve"> 3, wymaga od Państw podjęcia środków w celu za</w:t>
      </w:r>
      <w:r w:rsidR="000F0A8C" w:rsidRPr="0022499F">
        <w:rPr>
          <w:lang w:val="pl-PL" w:eastAsia="en-GB"/>
        </w:rPr>
        <w:t>gwa</w:t>
      </w:r>
      <w:r w:rsidR="00387BE1" w:rsidRPr="0022499F">
        <w:rPr>
          <w:lang w:val="pl-PL" w:eastAsia="en-GB"/>
        </w:rPr>
        <w:t xml:space="preserve">rantowania, że osoby w ich jurysdykcji nie będą poddawane torturom ani nieludzkiemu lub poniżającemu traktowaniu albo karaniu, w tym </w:t>
      </w:r>
      <w:r w:rsidR="00AC3DEA" w:rsidRPr="0022499F">
        <w:rPr>
          <w:lang w:val="pl-PL" w:eastAsia="en-GB"/>
        </w:rPr>
        <w:t>złemu traktowaniu</w:t>
      </w:r>
      <w:r w:rsidR="00387BE1" w:rsidRPr="0022499F">
        <w:rPr>
          <w:lang w:val="pl-PL" w:eastAsia="en-GB"/>
        </w:rPr>
        <w:t xml:space="preserve"> ze strony </w:t>
      </w:r>
      <w:r w:rsidR="00AC3DEA" w:rsidRPr="0022499F">
        <w:rPr>
          <w:lang w:val="pl-PL" w:eastAsia="en-GB"/>
        </w:rPr>
        <w:t>osób prywatnych</w:t>
      </w:r>
      <w:r w:rsidR="00387BE1" w:rsidRPr="0022499F">
        <w:rPr>
          <w:lang w:val="pl-PL" w:eastAsia="en-GB"/>
        </w:rPr>
        <w:t xml:space="preserve"> (zobacz </w:t>
      </w:r>
      <w:proofErr w:type="spellStart"/>
      <w:r w:rsidR="00387BE1" w:rsidRPr="0022499F">
        <w:rPr>
          <w:i/>
          <w:lang w:val="pl-PL" w:eastAsia="en-GB"/>
        </w:rPr>
        <w:t>Kovaļkovs</w:t>
      </w:r>
      <w:proofErr w:type="spellEnd"/>
      <w:r w:rsidR="00387BE1" w:rsidRPr="0022499F">
        <w:rPr>
          <w:i/>
          <w:lang w:val="pl-PL" w:eastAsia="en-GB"/>
        </w:rPr>
        <w:t xml:space="preserve"> przeciwko Łotwie</w:t>
      </w:r>
      <w:r w:rsidR="00387BE1" w:rsidRPr="0022499F">
        <w:rPr>
          <w:lang w:val="pl-PL" w:eastAsia="en-GB"/>
        </w:rPr>
        <w:t xml:space="preserve"> (</w:t>
      </w:r>
      <w:proofErr w:type="spellStart"/>
      <w:r w:rsidR="00387BE1" w:rsidRPr="0022499F">
        <w:rPr>
          <w:lang w:val="pl-PL" w:eastAsia="en-GB"/>
        </w:rPr>
        <w:t>dec</w:t>
      </w:r>
      <w:proofErr w:type="spellEnd"/>
      <w:r w:rsidR="00387BE1" w:rsidRPr="0022499F">
        <w:rPr>
          <w:lang w:val="pl-PL" w:eastAsia="en-GB"/>
        </w:rPr>
        <w:t xml:space="preserve">.), nr 35021/05, § 47, 31 stycznia 2012, z dalszymi odniesieniami). Niniejsze środki powinny zapewnić skuteczną ochronę, w szczególności, osobom </w:t>
      </w:r>
      <w:r w:rsidR="00AC3DEA" w:rsidRPr="0022499F">
        <w:rPr>
          <w:lang w:val="pl-PL" w:eastAsia="en-GB"/>
        </w:rPr>
        <w:t>zagrożonym</w:t>
      </w:r>
      <w:r w:rsidR="00387BE1" w:rsidRPr="0022499F">
        <w:rPr>
          <w:lang w:val="pl-PL" w:eastAsia="en-GB"/>
        </w:rPr>
        <w:t xml:space="preserve"> </w:t>
      </w:r>
      <w:r w:rsidR="00AC3DEA" w:rsidRPr="0022499F">
        <w:rPr>
          <w:lang w:val="pl-PL" w:eastAsia="en-GB"/>
        </w:rPr>
        <w:t>przebywającym w więzieniu</w:t>
      </w:r>
      <w:r w:rsidR="00387BE1" w:rsidRPr="0022499F">
        <w:rPr>
          <w:lang w:val="pl-PL" w:eastAsia="en-GB"/>
        </w:rPr>
        <w:t xml:space="preserve"> pod wyłączną kontrolą władz, a także powinny obejmować stosowne kroki, </w:t>
      </w:r>
      <w:r w:rsidR="005027A7" w:rsidRPr="0022499F">
        <w:rPr>
          <w:lang w:val="pl-PL" w:eastAsia="en-GB"/>
        </w:rPr>
        <w:t>zapobiegające</w:t>
      </w:r>
      <w:r w:rsidR="00387BE1" w:rsidRPr="0022499F">
        <w:rPr>
          <w:lang w:val="pl-PL" w:eastAsia="en-GB"/>
        </w:rPr>
        <w:t xml:space="preserve"> </w:t>
      </w:r>
      <w:r w:rsidR="00AC3DEA" w:rsidRPr="0022499F">
        <w:rPr>
          <w:lang w:val="pl-PL" w:eastAsia="en-GB"/>
        </w:rPr>
        <w:t>znęcaniu się</w:t>
      </w:r>
      <w:r w:rsidR="00387BE1" w:rsidRPr="0022499F">
        <w:rPr>
          <w:lang w:val="pl-PL" w:eastAsia="en-GB"/>
        </w:rPr>
        <w:t xml:space="preserve">, </w:t>
      </w:r>
      <w:r w:rsidR="00AC3DEA" w:rsidRPr="0022499F">
        <w:rPr>
          <w:lang w:val="pl-PL" w:eastAsia="en-GB"/>
        </w:rPr>
        <w:t>o którym władze wiedziały lub</w:t>
      </w:r>
      <w:r w:rsidR="00387BE1" w:rsidRPr="0022499F">
        <w:rPr>
          <w:lang w:val="pl-PL" w:eastAsia="en-GB"/>
        </w:rPr>
        <w:t xml:space="preserve"> </w:t>
      </w:r>
      <w:r w:rsidR="00AC3DEA" w:rsidRPr="0022499F">
        <w:rPr>
          <w:lang w:val="pl-PL" w:eastAsia="en-GB"/>
        </w:rPr>
        <w:t>powinny</w:t>
      </w:r>
      <w:r w:rsidR="00387BE1" w:rsidRPr="0022499F">
        <w:rPr>
          <w:lang w:val="pl-PL" w:eastAsia="en-GB"/>
        </w:rPr>
        <w:t xml:space="preserve"> </w:t>
      </w:r>
      <w:r w:rsidR="00AC3DEA" w:rsidRPr="0022499F">
        <w:rPr>
          <w:lang w:val="pl-PL" w:eastAsia="en-GB"/>
        </w:rPr>
        <w:t>były wiedzieć</w:t>
      </w:r>
      <w:r w:rsidR="00387BE1" w:rsidRPr="0022499F">
        <w:rPr>
          <w:lang w:val="pl-PL" w:eastAsia="en-GB"/>
        </w:rPr>
        <w:t xml:space="preserve"> (</w:t>
      </w:r>
      <w:r w:rsidR="00AC3DEA" w:rsidRPr="0022499F">
        <w:rPr>
          <w:lang w:val="pl-PL" w:eastAsia="en-GB"/>
        </w:rPr>
        <w:t>zobacz</w:t>
      </w:r>
      <w:r w:rsidR="00387BE1" w:rsidRPr="0022499F">
        <w:rPr>
          <w:lang w:val="pl-PL" w:eastAsia="en-GB"/>
        </w:rPr>
        <w:t xml:space="preserve"> </w:t>
      </w:r>
      <w:proofErr w:type="spellStart"/>
      <w:r w:rsidR="00AC3DEA" w:rsidRPr="0022499F">
        <w:rPr>
          <w:i/>
          <w:lang w:val="pl-PL" w:eastAsia="en-GB"/>
        </w:rPr>
        <w:t>Djurdjević</w:t>
      </w:r>
      <w:proofErr w:type="spellEnd"/>
      <w:r w:rsidR="00AC3DEA" w:rsidRPr="0022499F">
        <w:rPr>
          <w:i/>
          <w:lang w:val="pl-PL" w:eastAsia="en-GB"/>
        </w:rPr>
        <w:t xml:space="preserve"> przeciwko</w:t>
      </w:r>
      <w:r w:rsidR="00387BE1" w:rsidRPr="0022499F">
        <w:rPr>
          <w:i/>
          <w:lang w:val="pl-PL" w:eastAsia="en-GB"/>
        </w:rPr>
        <w:t xml:space="preserve"> Chorwacj</w:t>
      </w:r>
      <w:r w:rsidR="00AC3DEA" w:rsidRPr="0022499F">
        <w:rPr>
          <w:i/>
          <w:lang w:val="pl-PL" w:eastAsia="en-GB"/>
        </w:rPr>
        <w:t>i,</w:t>
      </w:r>
      <w:r w:rsidR="00AC3DEA" w:rsidRPr="0022499F">
        <w:rPr>
          <w:lang w:val="pl-PL" w:eastAsia="en-GB"/>
        </w:rPr>
        <w:t xml:space="preserve"> nr</w:t>
      </w:r>
      <w:r w:rsidR="00387BE1" w:rsidRPr="0022499F">
        <w:rPr>
          <w:lang w:val="pl-PL" w:eastAsia="en-GB"/>
        </w:rPr>
        <w:t xml:space="preserve"> 52442/09, § 102, 19 lipca 2011, z dalszymi odniesieniami).</w:t>
      </w:r>
    </w:p>
    <w:p w:rsidR="0061251A" w:rsidRPr="0022499F" w:rsidRDefault="00DC3E30" w:rsidP="0061251A">
      <w:pPr>
        <w:pStyle w:val="JuPara"/>
        <w:rPr>
          <w:i/>
          <w:lang w:val="pl-PL"/>
        </w:rPr>
      </w:pPr>
      <w:r w:rsidRPr="0022499F">
        <w:rPr>
          <w:lang w:val="pl-PL"/>
        </w:rPr>
        <w:fldChar w:fldCharType="begin"/>
      </w:r>
      <w:r w:rsidR="0061251A" w:rsidRPr="0022499F">
        <w:rPr>
          <w:lang w:val="pl-PL"/>
        </w:rPr>
        <w:instrText xml:space="preserve"> SEQ level0 \*arabic </w:instrText>
      </w:r>
      <w:r w:rsidRPr="0022499F">
        <w:rPr>
          <w:lang w:val="pl-PL"/>
        </w:rPr>
        <w:fldChar w:fldCharType="separate"/>
      </w:r>
      <w:r w:rsidR="000E0C74" w:rsidRPr="0022499F">
        <w:rPr>
          <w:noProof/>
          <w:lang w:val="pl-PL"/>
        </w:rPr>
        <w:t>84</w:t>
      </w:r>
      <w:r w:rsidRPr="0022499F">
        <w:rPr>
          <w:lang w:val="pl-PL"/>
        </w:rPr>
        <w:fldChar w:fldCharType="end"/>
      </w:r>
      <w:r w:rsidR="0061251A" w:rsidRPr="0022499F">
        <w:rPr>
          <w:lang w:val="pl-PL"/>
        </w:rPr>
        <w:t>.  </w:t>
      </w:r>
      <w:r w:rsidR="00AC3DEA" w:rsidRPr="0022499F">
        <w:rPr>
          <w:lang w:val="pl-PL"/>
        </w:rPr>
        <w:t>Zakres tego obowiązku ochrony zależy od konkre</w:t>
      </w:r>
      <w:r w:rsidR="005027A7" w:rsidRPr="0022499F">
        <w:rPr>
          <w:lang w:val="pl-PL"/>
        </w:rPr>
        <w:t xml:space="preserve">tnych okoliczności danej sprawy </w:t>
      </w:r>
      <w:r w:rsidR="00AC3DEA" w:rsidRPr="0022499F">
        <w:rPr>
          <w:lang w:val="pl-PL"/>
        </w:rPr>
        <w:t xml:space="preserve">(zobacz </w:t>
      </w:r>
      <w:r w:rsidR="00AC3DEA" w:rsidRPr="0022499F">
        <w:rPr>
          <w:i/>
          <w:lang w:val="pl-PL"/>
        </w:rPr>
        <w:t>Stasi przeciwko Francji</w:t>
      </w:r>
      <w:r w:rsidR="00AC3DEA" w:rsidRPr="0022499F">
        <w:rPr>
          <w:lang w:val="pl-PL"/>
        </w:rPr>
        <w:t xml:space="preserve">, nr 25001/07, § 79, 20 października 2011). Trybunał w swoim orzecznictwie dotyczącym ochrony zagrożonych więźniów wyjaśnił, że władze krajowe są zobowiązane do </w:t>
      </w:r>
      <w:proofErr w:type="spellStart"/>
      <w:r w:rsidR="00AC3DEA" w:rsidRPr="0022499F">
        <w:rPr>
          <w:lang w:val="pl-PL"/>
        </w:rPr>
        <w:t>podjejmowania</w:t>
      </w:r>
      <w:proofErr w:type="spellEnd"/>
      <w:r w:rsidR="00AC3DEA" w:rsidRPr="0022499F">
        <w:rPr>
          <w:lang w:val="pl-PL"/>
        </w:rPr>
        <w:t xml:space="preserve"> wszelkich rozsądnie oczekiwanych kroków w celu zapobieżenia realnemu i bezpośredniemu ryzyku dla integralności fizycznej więźniów, o którym władze wiedziały lub powinny były wiedzieć (zobacz, wśród wielu innych orzeczeń, </w:t>
      </w:r>
      <w:proofErr w:type="spellStart"/>
      <w:r w:rsidR="00AC3DEA" w:rsidRPr="0022499F">
        <w:rPr>
          <w:i/>
          <w:lang w:val="pl-PL"/>
        </w:rPr>
        <w:t>Pantea</w:t>
      </w:r>
      <w:proofErr w:type="spellEnd"/>
      <w:r w:rsidR="00AC3DEA" w:rsidRPr="0022499F">
        <w:rPr>
          <w:i/>
          <w:lang w:val="pl-PL"/>
        </w:rPr>
        <w:t xml:space="preserve"> przeciwko Rumunii</w:t>
      </w:r>
      <w:r w:rsidR="00AC3DEA" w:rsidRPr="0022499F">
        <w:rPr>
          <w:lang w:val="pl-PL"/>
        </w:rPr>
        <w:t xml:space="preserve">, nr 33343/96, § 190, ECHR-2003 VI (fragmenty) oraz </w:t>
      </w:r>
      <w:proofErr w:type="spellStart"/>
      <w:r w:rsidR="00AC3DEA" w:rsidRPr="0022499F">
        <w:rPr>
          <w:i/>
          <w:lang w:val="pl-PL"/>
        </w:rPr>
        <w:t>Premininy</w:t>
      </w:r>
      <w:proofErr w:type="spellEnd"/>
      <w:r w:rsidR="00AC3DEA" w:rsidRPr="0022499F">
        <w:rPr>
          <w:i/>
          <w:lang w:val="pl-PL"/>
        </w:rPr>
        <w:t xml:space="preserve"> przeciwko Rosji</w:t>
      </w:r>
      <w:r w:rsidR="00AC3DEA" w:rsidRPr="0022499F">
        <w:rPr>
          <w:lang w:val="pl-PL"/>
        </w:rPr>
        <w:t xml:space="preserve">, nr 44973/04, § 84, 10 luty 2011). Jak już wskazał CPT (zobacz punkt 30 powyżej), władze więzienne powinny podjąć szczególne środki bezpieczeństwa, aby zaradzić problemowi przemocy więziennej. Obowiązek ten jest tym bardziej istotny w </w:t>
      </w:r>
      <w:r w:rsidR="005027A7" w:rsidRPr="0022499F">
        <w:rPr>
          <w:lang w:val="pl-PL"/>
        </w:rPr>
        <w:t xml:space="preserve">przypadku więźniów, w tym przestępców seksualnych i współpracowników policji, </w:t>
      </w:r>
      <w:r w:rsidR="00825074" w:rsidRPr="0022499F">
        <w:rPr>
          <w:lang w:val="pl-PL"/>
        </w:rPr>
        <w:t xml:space="preserve">szczególnie narażonych na </w:t>
      </w:r>
      <w:r w:rsidR="00AC3DEA" w:rsidRPr="0022499F">
        <w:rPr>
          <w:lang w:val="pl-PL"/>
        </w:rPr>
        <w:t xml:space="preserve">zwiększone ryzyko złego traktowania przez innych </w:t>
      </w:r>
      <w:r w:rsidR="00825074" w:rsidRPr="0022499F">
        <w:rPr>
          <w:lang w:val="pl-PL"/>
        </w:rPr>
        <w:t>współosadzonych</w:t>
      </w:r>
      <w:r w:rsidR="005027A7" w:rsidRPr="0022499F">
        <w:rPr>
          <w:lang w:val="pl-PL"/>
        </w:rPr>
        <w:t>.</w:t>
      </w:r>
    </w:p>
    <w:p w:rsidR="0061251A" w:rsidRPr="0022499F" w:rsidRDefault="00DC3E30" w:rsidP="0061251A">
      <w:pPr>
        <w:pStyle w:val="JuPara"/>
        <w:rPr>
          <w:rStyle w:val="JuParaChar"/>
          <w:i/>
          <w:lang w:val="pl-PL"/>
        </w:rPr>
      </w:pPr>
      <w:r w:rsidRPr="0022499F">
        <w:rPr>
          <w:lang w:val="pl-PL"/>
        </w:rPr>
        <w:fldChar w:fldCharType="begin"/>
      </w:r>
      <w:r w:rsidR="0061251A" w:rsidRPr="0022499F">
        <w:rPr>
          <w:lang w:val="pl-PL"/>
        </w:rPr>
        <w:instrText xml:space="preserve"> SEQ level0 \*arabic </w:instrText>
      </w:r>
      <w:r w:rsidRPr="0022499F">
        <w:rPr>
          <w:lang w:val="pl-PL"/>
        </w:rPr>
        <w:fldChar w:fldCharType="separate"/>
      </w:r>
      <w:r w:rsidR="000E0C74" w:rsidRPr="0022499F">
        <w:rPr>
          <w:noProof/>
          <w:lang w:val="pl-PL"/>
        </w:rPr>
        <w:t>85</w:t>
      </w:r>
      <w:r w:rsidRPr="0022499F">
        <w:rPr>
          <w:lang w:val="pl-PL"/>
        </w:rPr>
        <w:fldChar w:fldCharType="end"/>
      </w:r>
      <w:r w:rsidR="0061251A" w:rsidRPr="0022499F">
        <w:rPr>
          <w:lang w:val="pl-PL"/>
        </w:rPr>
        <w:t>.  </w:t>
      </w:r>
      <w:r w:rsidR="00825074" w:rsidRPr="0022499F">
        <w:rPr>
          <w:lang w:val="pl-PL"/>
        </w:rPr>
        <w:t>W odniesieniu do minimalnego poziomu dolegliwości, wymaganego do pows</w:t>
      </w:r>
      <w:r w:rsidR="005027A7" w:rsidRPr="0022499F">
        <w:rPr>
          <w:lang w:val="pl-PL"/>
        </w:rPr>
        <w:t>tania odpowiedzialności władz w zakresie ochrony</w:t>
      </w:r>
      <w:r w:rsidR="00825074" w:rsidRPr="0022499F">
        <w:rPr>
          <w:lang w:val="pl-PL"/>
        </w:rPr>
        <w:t xml:space="preserve"> jednostki, podejście Trybunału ewoluowało. Początkowo Trybunał uzn</w:t>
      </w:r>
      <w:r w:rsidR="005027A7" w:rsidRPr="0022499F">
        <w:rPr>
          <w:lang w:val="pl-PL"/>
        </w:rPr>
        <w:t>a</w:t>
      </w:r>
      <w:r w:rsidR="00825074" w:rsidRPr="0022499F">
        <w:rPr>
          <w:lang w:val="pl-PL"/>
        </w:rPr>
        <w:t xml:space="preserve">wał, że „samo </w:t>
      </w:r>
      <w:r w:rsidR="00825074" w:rsidRPr="0022499F">
        <w:rPr>
          <w:lang w:val="pl-PL"/>
        </w:rPr>
        <w:lastRenderedPageBreak/>
        <w:t xml:space="preserve">uczucie stresu osoby osadzonej” (zobacz </w:t>
      </w:r>
      <w:r w:rsidR="00825074" w:rsidRPr="0022499F">
        <w:rPr>
          <w:i/>
          <w:lang w:val="pl-PL"/>
        </w:rPr>
        <w:t>I</w:t>
      </w:r>
      <w:r w:rsidR="00825074" w:rsidRPr="0022499F">
        <w:rPr>
          <w:i/>
          <w:iCs/>
          <w:lang w:val="pl-PL"/>
        </w:rPr>
        <w:t xml:space="preserve">.T. </w:t>
      </w:r>
      <w:r w:rsidR="00825074" w:rsidRPr="0022499F">
        <w:rPr>
          <w:i/>
          <w:lang w:val="pl-PL"/>
        </w:rPr>
        <w:t>przeciwko Rumunii</w:t>
      </w:r>
      <w:r w:rsidR="00825074" w:rsidRPr="0022499F">
        <w:rPr>
          <w:lang w:val="pl-PL"/>
        </w:rPr>
        <w:t xml:space="preserve"> (</w:t>
      </w:r>
      <w:proofErr w:type="spellStart"/>
      <w:r w:rsidR="00825074" w:rsidRPr="0022499F">
        <w:rPr>
          <w:lang w:val="pl-PL"/>
        </w:rPr>
        <w:t>dec</w:t>
      </w:r>
      <w:proofErr w:type="spellEnd"/>
      <w:r w:rsidR="00825074" w:rsidRPr="0022499F">
        <w:rPr>
          <w:lang w:val="pl-PL"/>
        </w:rPr>
        <w:t>.), nr 40155/02, 24 listopada 2005) oraz „sam</w:t>
      </w:r>
      <w:r w:rsidR="005027A7" w:rsidRPr="0022499F">
        <w:rPr>
          <w:lang w:val="pl-PL"/>
        </w:rPr>
        <w:t xml:space="preserve"> strach przed odwetem</w:t>
      </w:r>
      <w:r w:rsidR="00825074" w:rsidRPr="0022499F">
        <w:rPr>
          <w:lang w:val="pl-PL"/>
        </w:rPr>
        <w:t xml:space="preserve"> ze strony współ</w:t>
      </w:r>
      <w:r w:rsidR="005027A7" w:rsidRPr="0022499F">
        <w:rPr>
          <w:lang w:val="pl-PL"/>
        </w:rPr>
        <w:t>osadzonych</w:t>
      </w:r>
      <w:r w:rsidR="00825074" w:rsidRPr="0022499F">
        <w:rPr>
          <w:lang w:val="pl-PL"/>
        </w:rPr>
        <w:t xml:space="preserve"> w celi skarżącego” (zobacz </w:t>
      </w:r>
      <w:r w:rsidR="00825074" w:rsidRPr="0022499F">
        <w:rPr>
          <w:i/>
          <w:lang w:val="pl-PL"/>
        </w:rPr>
        <w:t>Gołubiew przeciwko Rosji</w:t>
      </w:r>
      <w:r w:rsidR="00825074" w:rsidRPr="0022499F">
        <w:rPr>
          <w:lang w:val="pl-PL"/>
        </w:rPr>
        <w:t xml:space="preserve"> (</w:t>
      </w:r>
      <w:proofErr w:type="spellStart"/>
      <w:r w:rsidR="00825074" w:rsidRPr="0022499F">
        <w:rPr>
          <w:lang w:val="pl-PL"/>
        </w:rPr>
        <w:t>dec</w:t>
      </w:r>
      <w:proofErr w:type="spellEnd"/>
      <w:r w:rsidR="00825074" w:rsidRPr="0022499F">
        <w:rPr>
          <w:lang w:val="pl-PL"/>
        </w:rPr>
        <w:t>.), nr 26260/02, 9 listopada 2006) nie były same w sobie wystarczające, aby uznać daną sytuację za mieszczącą się w zakresie Artykułu 3</w:t>
      </w:r>
      <w:r w:rsidR="00825074" w:rsidRPr="0022499F">
        <w:rPr>
          <w:i/>
          <w:lang w:val="pl-PL"/>
        </w:rPr>
        <w:t xml:space="preserve">. </w:t>
      </w:r>
      <w:r w:rsidR="00E80614" w:rsidRPr="0022499F">
        <w:rPr>
          <w:lang w:val="pl-PL"/>
        </w:rPr>
        <w:t>W sytuacji, g</w:t>
      </w:r>
      <w:r w:rsidR="00825074" w:rsidRPr="0022499F">
        <w:rPr>
          <w:lang w:val="pl-PL"/>
        </w:rPr>
        <w:t xml:space="preserve">dy strach przed odwetem </w:t>
      </w:r>
      <w:r w:rsidR="00E80614" w:rsidRPr="0022499F">
        <w:rPr>
          <w:lang w:val="pl-PL"/>
        </w:rPr>
        <w:t>był połączony</w:t>
      </w:r>
      <w:r w:rsidR="00825074" w:rsidRPr="0022499F">
        <w:rPr>
          <w:lang w:val="pl-PL"/>
        </w:rPr>
        <w:t xml:space="preserve"> z dodatkowymi elementami,</w:t>
      </w:r>
      <w:r w:rsidR="005027A7" w:rsidRPr="0022499F">
        <w:rPr>
          <w:lang w:val="pl-PL"/>
        </w:rPr>
        <w:t xml:space="preserve"> </w:t>
      </w:r>
      <w:r w:rsidR="00825074" w:rsidRPr="0022499F">
        <w:rPr>
          <w:lang w:val="pl-PL"/>
        </w:rPr>
        <w:t>Trybunał stwierdził przykład</w:t>
      </w:r>
      <w:r w:rsidR="00E80614" w:rsidRPr="0022499F">
        <w:rPr>
          <w:lang w:val="pl-PL"/>
        </w:rPr>
        <w:t>owo</w:t>
      </w:r>
      <w:r w:rsidR="00825074" w:rsidRPr="0022499F">
        <w:rPr>
          <w:lang w:val="pl-PL"/>
        </w:rPr>
        <w:t xml:space="preserve">, że </w:t>
      </w:r>
      <w:r w:rsidR="00E80614" w:rsidRPr="0022499F">
        <w:rPr>
          <w:lang w:val="pl-PL"/>
        </w:rPr>
        <w:t>„łączny efekt przeludnienia i celowego osadzenia</w:t>
      </w:r>
      <w:r w:rsidR="00825074" w:rsidRPr="0022499F">
        <w:rPr>
          <w:lang w:val="pl-PL"/>
        </w:rPr>
        <w:t xml:space="preserve"> </w:t>
      </w:r>
      <w:r w:rsidR="00E80614" w:rsidRPr="0022499F">
        <w:rPr>
          <w:lang w:val="pl-PL"/>
        </w:rPr>
        <w:t>więźnia</w:t>
      </w:r>
      <w:r w:rsidR="00825074" w:rsidRPr="0022499F">
        <w:rPr>
          <w:lang w:val="pl-PL"/>
        </w:rPr>
        <w:t xml:space="preserve"> w cel</w:t>
      </w:r>
      <w:r w:rsidR="00E80614" w:rsidRPr="0022499F">
        <w:rPr>
          <w:lang w:val="pl-PL"/>
        </w:rPr>
        <w:t>i z osobami, które</w:t>
      </w:r>
      <w:r w:rsidR="00825074" w:rsidRPr="0022499F">
        <w:rPr>
          <w:lang w:val="pl-PL"/>
        </w:rPr>
        <w:t xml:space="preserve"> mogą stanowić</w:t>
      </w:r>
      <w:r w:rsidR="00E80614" w:rsidRPr="0022499F">
        <w:rPr>
          <w:lang w:val="pl-PL"/>
        </w:rPr>
        <w:t xml:space="preserve"> dla niego</w:t>
      </w:r>
      <w:r w:rsidR="00825074" w:rsidRPr="0022499F">
        <w:rPr>
          <w:lang w:val="pl-PL"/>
        </w:rPr>
        <w:t xml:space="preserve"> zagrożenie</w:t>
      </w:r>
      <w:r w:rsidR="005027A7" w:rsidRPr="0022499F">
        <w:rPr>
          <w:lang w:val="pl-PL"/>
        </w:rPr>
        <w:t>,</w:t>
      </w:r>
      <w:r w:rsidR="00825074" w:rsidRPr="0022499F">
        <w:rPr>
          <w:lang w:val="pl-PL"/>
        </w:rPr>
        <w:t xml:space="preserve"> </w:t>
      </w:r>
      <w:r w:rsidR="00E80614" w:rsidRPr="0022499F">
        <w:rPr>
          <w:lang w:val="pl-PL"/>
        </w:rPr>
        <w:t>co do zasady</w:t>
      </w:r>
      <w:r w:rsidR="00825074" w:rsidRPr="0022499F">
        <w:rPr>
          <w:lang w:val="pl-PL"/>
        </w:rPr>
        <w:t xml:space="preserve"> </w:t>
      </w:r>
      <w:r w:rsidR="00E80614" w:rsidRPr="0022499F">
        <w:rPr>
          <w:lang w:val="pl-PL"/>
        </w:rPr>
        <w:t xml:space="preserve">może rodzić problem na podstawie Artykułu 3 Konwencji” (zobacz </w:t>
      </w:r>
      <w:proofErr w:type="spellStart"/>
      <w:r w:rsidR="00E80614" w:rsidRPr="0022499F">
        <w:rPr>
          <w:i/>
          <w:lang w:val="pl-PL"/>
        </w:rPr>
        <w:t>Gorea</w:t>
      </w:r>
      <w:proofErr w:type="spellEnd"/>
      <w:r w:rsidR="00E80614" w:rsidRPr="0022499F">
        <w:rPr>
          <w:i/>
          <w:lang w:val="pl-PL"/>
        </w:rPr>
        <w:t xml:space="preserve"> przeciwko Mołdawii</w:t>
      </w:r>
      <w:r w:rsidR="00E80614" w:rsidRPr="0022499F">
        <w:rPr>
          <w:lang w:val="pl-PL"/>
        </w:rPr>
        <w:t>, nr</w:t>
      </w:r>
      <w:r w:rsidR="00825074" w:rsidRPr="0022499F">
        <w:rPr>
          <w:lang w:val="pl-PL"/>
        </w:rPr>
        <w:t xml:space="preserve"> 21984/05</w:t>
      </w:r>
      <w:r w:rsidR="000B2A0A" w:rsidRPr="0022499F">
        <w:rPr>
          <w:lang w:val="pl-PL"/>
        </w:rPr>
        <w:t xml:space="preserve">, § 47, 17 lipca 2007). W dwóch </w:t>
      </w:r>
      <w:r w:rsidR="005027A7" w:rsidRPr="0022499F">
        <w:rPr>
          <w:lang w:val="pl-PL"/>
        </w:rPr>
        <w:t>ostatnich</w:t>
      </w:r>
      <w:r w:rsidR="000B2A0A" w:rsidRPr="0022499F">
        <w:rPr>
          <w:lang w:val="pl-PL"/>
        </w:rPr>
        <w:t xml:space="preserve"> sprawach</w:t>
      </w:r>
      <w:r w:rsidR="00825074" w:rsidRPr="0022499F">
        <w:rPr>
          <w:lang w:val="pl-PL"/>
        </w:rPr>
        <w:t xml:space="preserve"> (</w:t>
      </w:r>
      <w:proofErr w:type="spellStart"/>
      <w:r w:rsidR="000B2A0A" w:rsidRPr="0022499F">
        <w:rPr>
          <w:i/>
          <w:lang w:val="pl-PL"/>
        </w:rPr>
        <w:t>Rodić</w:t>
      </w:r>
      <w:proofErr w:type="spellEnd"/>
      <w:r w:rsidR="000B2A0A" w:rsidRPr="0022499F">
        <w:rPr>
          <w:i/>
          <w:lang w:val="pl-PL"/>
        </w:rPr>
        <w:t xml:space="preserve"> i inni przeciwko </w:t>
      </w:r>
      <w:proofErr w:type="spellStart"/>
      <w:r w:rsidR="000B2A0A" w:rsidRPr="0022499F">
        <w:rPr>
          <w:i/>
          <w:lang w:val="pl-PL"/>
        </w:rPr>
        <w:t>Bośnii</w:t>
      </w:r>
      <w:proofErr w:type="spellEnd"/>
      <w:r w:rsidR="00825074" w:rsidRPr="0022499F">
        <w:rPr>
          <w:i/>
          <w:lang w:val="pl-PL"/>
        </w:rPr>
        <w:t xml:space="preserve"> i Hercegowin</w:t>
      </w:r>
      <w:r w:rsidR="000B2A0A" w:rsidRPr="0022499F">
        <w:rPr>
          <w:i/>
          <w:lang w:val="pl-PL"/>
        </w:rPr>
        <w:t>ie</w:t>
      </w:r>
      <w:r w:rsidR="000B2A0A" w:rsidRPr="0022499F">
        <w:rPr>
          <w:lang w:val="pl-PL"/>
        </w:rPr>
        <w:t>, nr 22893/05, 27 maja 2008 oraz</w:t>
      </w:r>
      <w:r w:rsidR="00825074" w:rsidRPr="0022499F">
        <w:rPr>
          <w:lang w:val="pl-PL"/>
        </w:rPr>
        <w:t xml:space="preserve"> </w:t>
      </w:r>
      <w:proofErr w:type="spellStart"/>
      <w:r w:rsidR="000B2A0A" w:rsidRPr="0022499F">
        <w:rPr>
          <w:i/>
          <w:lang w:val="pl-PL"/>
        </w:rPr>
        <w:t>Alexandru</w:t>
      </w:r>
      <w:proofErr w:type="spellEnd"/>
      <w:r w:rsidR="000B2A0A" w:rsidRPr="0022499F">
        <w:rPr>
          <w:i/>
          <w:lang w:val="pl-PL"/>
        </w:rPr>
        <w:t xml:space="preserve"> </w:t>
      </w:r>
      <w:proofErr w:type="spellStart"/>
      <w:r w:rsidR="000B2A0A" w:rsidRPr="0022499F">
        <w:rPr>
          <w:i/>
          <w:lang w:val="pl-PL"/>
        </w:rPr>
        <w:t>Marius</w:t>
      </w:r>
      <w:proofErr w:type="spellEnd"/>
      <w:r w:rsidR="000B2A0A" w:rsidRPr="0022499F">
        <w:rPr>
          <w:i/>
          <w:lang w:val="pl-PL"/>
        </w:rPr>
        <w:t xml:space="preserve"> Radu przeciwko</w:t>
      </w:r>
      <w:r w:rsidR="00825074" w:rsidRPr="0022499F">
        <w:rPr>
          <w:i/>
          <w:lang w:val="pl-PL"/>
        </w:rPr>
        <w:t xml:space="preserve"> Rumuni</w:t>
      </w:r>
      <w:r w:rsidR="000B2A0A" w:rsidRPr="0022499F">
        <w:rPr>
          <w:i/>
          <w:lang w:val="pl-PL"/>
        </w:rPr>
        <w:t>i</w:t>
      </w:r>
      <w:r w:rsidR="000B2A0A" w:rsidRPr="0022499F">
        <w:rPr>
          <w:lang w:val="pl-PL"/>
        </w:rPr>
        <w:t>, nr</w:t>
      </w:r>
      <w:r w:rsidR="00825074" w:rsidRPr="0022499F">
        <w:rPr>
          <w:lang w:val="pl-PL"/>
        </w:rPr>
        <w:t xml:space="preserve"> 34022/05, 21 lipca 2009) Trybunał orze</w:t>
      </w:r>
      <w:r w:rsidR="000B2A0A" w:rsidRPr="0022499F">
        <w:rPr>
          <w:lang w:val="pl-PL"/>
        </w:rPr>
        <w:t>kł, że „trudności, jakie znosili skarżący</w:t>
      </w:r>
      <w:r w:rsidR="00825074" w:rsidRPr="0022499F">
        <w:rPr>
          <w:lang w:val="pl-PL"/>
        </w:rPr>
        <w:t xml:space="preserve">, w szczególności </w:t>
      </w:r>
      <w:r w:rsidR="000B2A0A" w:rsidRPr="0022499F">
        <w:rPr>
          <w:lang w:val="pl-PL"/>
        </w:rPr>
        <w:t>stały lęk psychiczny spowodowany</w:t>
      </w:r>
      <w:r w:rsidR="00825074" w:rsidRPr="0022499F">
        <w:rPr>
          <w:lang w:val="pl-PL"/>
        </w:rPr>
        <w:t xml:space="preserve"> groźbą </w:t>
      </w:r>
      <w:r w:rsidR="000B2A0A" w:rsidRPr="0022499F">
        <w:rPr>
          <w:lang w:val="pl-PL"/>
        </w:rPr>
        <w:t>przemocy fizycznej i możliwością jej zastosowania</w:t>
      </w:r>
      <w:r w:rsidR="00825074" w:rsidRPr="0022499F">
        <w:rPr>
          <w:lang w:val="pl-PL"/>
        </w:rPr>
        <w:t xml:space="preserve"> ... </w:t>
      </w:r>
      <w:r w:rsidR="005027A7" w:rsidRPr="0022499F">
        <w:rPr>
          <w:lang w:val="pl-PL"/>
        </w:rPr>
        <w:t>przekra</w:t>
      </w:r>
      <w:r w:rsidR="000B2A0A" w:rsidRPr="0022499F">
        <w:rPr>
          <w:lang w:val="pl-PL"/>
        </w:rPr>
        <w:t>cza poziom nieuniknionych niedogodności</w:t>
      </w:r>
      <w:r w:rsidR="00825074" w:rsidRPr="0022499F">
        <w:rPr>
          <w:lang w:val="pl-PL"/>
        </w:rPr>
        <w:t xml:space="preserve"> związany</w:t>
      </w:r>
      <w:r w:rsidR="000B2A0A" w:rsidRPr="0022499F">
        <w:rPr>
          <w:lang w:val="pl-PL"/>
        </w:rPr>
        <w:t>ch</w:t>
      </w:r>
      <w:r w:rsidR="00825074" w:rsidRPr="0022499F">
        <w:rPr>
          <w:lang w:val="pl-PL"/>
        </w:rPr>
        <w:t xml:space="preserve"> z </w:t>
      </w:r>
      <w:r w:rsidR="000B2A0A" w:rsidRPr="0022499F">
        <w:rPr>
          <w:lang w:val="pl-PL"/>
        </w:rPr>
        <w:t>pozbawieniem wolności”.</w:t>
      </w:r>
      <w:r w:rsidR="00825074" w:rsidRPr="0022499F">
        <w:rPr>
          <w:lang w:val="pl-PL"/>
        </w:rPr>
        <w:t xml:space="preserve"> Dlatego też </w:t>
      </w:r>
      <w:r w:rsidR="000B2A0A" w:rsidRPr="0022499F">
        <w:rPr>
          <w:lang w:val="pl-PL"/>
        </w:rPr>
        <w:t>stwierdzono naruszenie A</w:t>
      </w:r>
      <w:r w:rsidR="00825074" w:rsidRPr="0022499F">
        <w:rPr>
          <w:lang w:val="pl-PL"/>
        </w:rPr>
        <w:t>rtykułu 3 Konwencji</w:t>
      </w:r>
      <w:r w:rsidR="0061251A" w:rsidRPr="0022499F">
        <w:rPr>
          <w:rStyle w:val="JuParaChar"/>
          <w:i/>
          <w:lang w:val="pl-PL"/>
        </w:rPr>
        <w:t>.</w:t>
      </w:r>
    </w:p>
    <w:p w:rsidR="0061251A" w:rsidRPr="0022499F" w:rsidRDefault="00DC3E30" w:rsidP="0072564E">
      <w:pPr>
        <w:pStyle w:val="JuPara"/>
        <w:rPr>
          <w:rStyle w:val="JuParaChar"/>
          <w:i/>
          <w:lang w:val="pl-PL" w:eastAsia="en-US"/>
        </w:rPr>
      </w:pPr>
      <w:r w:rsidRPr="0022499F">
        <w:rPr>
          <w:rStyle w:val="JuParaChar"/>
          <w:lang w:val="pl-PL"/>
        </w:rPr>
        <w:fldChar w:fldCharType="begin"/>
      </w:r>
      <w:r w:rsidR="008670BB" w:rsidRPr="0022499F">
        <w:rPr>
          <w:rStyle w:val="JuParaChar"/>
          <w:lang w:val="pl-PL"/>
        </w:rPr>
        <w:instrText xml:space="preserve"> SEQ level0 \*arabic </w:instrText>
      </w:r>
      <w:r w:rsidRPr="0022499F">
        <w:rPr>
          <w:rStyle w:val="JuParaChar"/>
          <w:lang w:val="pl-PL"/>
        </w:rPr>
        <w:fldChar w:fldCharType="separate"/>
      </w:r>
      <w:r w:rsidR="000E0C74" w:rsidRPr="0022499F">
        <w:rPr>
          <w:rStyle w:val="JuParaChar"/>
          <w:noProof/>
          <w:lang w:val="pl-PL"/>
        </w:rPr>
        <w:t>86</w:t>
      </w:r>
      <w:r w:rsidRPr="0022499F">
        <w:rPr>
          <w:rStyle w:val="JuParaChar"/>
          <w:lang w:val="pl-PL"/>
        </w:rPr>
        <w:fldChar w:fldCharType="end"/>
      </w:r>
      <w:r w:rsidR="008670BB" w:rsidRPr="0022499F">
        <w:rPr>
          <w:rStyle w:val="JuParaChar"/>
          <w:lang w:val="pl-PL"/>
        </w:rPr>
        <w:t>.  </w:t>
      </w:r>
      <w:r w:rsidR="000B2A0A" w:rsidRPr="0022499F">
        <w:rPr>
          <w:rStyle w:val="JuParaChar"/>
          <w:lang w:val="pl-PL"/>
        </w:rPr>
        <w:t xml:space="preserve">Wracając do niniejszej sprawy, Trybunał zauważa, że władze państwowe były świadome, że skarżący należał do kategorii więźniów </w:t>
      </w:r>
      <w:r w:rsidR="005027A7" w:rsidRPr="0022499F">
        <w:rPr>
          <w:rStyle w:val="JuParaChar"/>
          <w:lang w:val="pl-PL"/>
        </w:rPr>
        <w:t>szczególnie narażonych</w:t>
      </w:r>
      <w:r w:rsidR="000B2A0A" w:rsidRPr="0022499F">
        <w:rPr>
          <w:rStyle w:val="JuParaChar"/>
          <w:lang w:val="pl-PL"/>
        </w:rPr>
        <w:t xml:space="preserve"> na przemoc więzienną. Władze więzienne były wyraźnie świadome charakteru </w:t>
      </w:r>
      <w:r w:rsidR="005027A7" w:rsidRPr="0022499F">
        <w:rPr>
          <w:rStyle w:val="JuParaChar"/>
          <w:lang w:val="pl-PL"/>
        </w:rPr>
        <w:t xml:space="preserve">stawianych skarżącemu </w:t>
      </w:r>
      <w:r w:rsidR="000B2A0A" w:rsidRPr="0022499F">
        <w:rPr>
          <w:rStyle w:val="JuParaChar"/>
          <w:lang w:val="pl-PL"/>
        </w:rPr>
        <w:t xml:space="preserve">zarzutów i związanego z </w:t>
      </w:r>
      <w:r w:rsidR="005027A7" w:rsidRPr="0022499F">
        <w:rPr>
          <w:rStyle w:val="JuParaChar"/>
          <w:lang w:val="pl-PL"/>
        </w:rPr>
        <w:t>nimi ryzyka</w:t>
      </w:r>
      <w:r w:rsidR="000B2A0A" w:rsidRPr="0022499F">
        <w:rPr>
          <w:rStyle w:val="JuParaChar"/>
          <w:lang w:val="pl-PL"/>
        </w:rPr>
        <w:t>. Ponadto w ramach aparatu państwowego istniała informacja na temat dawnej współpracy skarżącego z policją (zobacz punkt 6 i 20 powyżej), jednak niniejsza informacja nie była</w:t>
      </w:r>
      <w:r w:rsidR="005027A7" w:rsidRPr="0022499F">
        <w:rPr>
          <w:rStyle w:val="JuParaChar"/>
          <w:lang w:val="pl-PL"/>
        </w:rPr>
        <w:t xml:space="preserve"> systematycznie przekazywana</w:t>
      </w:r>
      <w:r w:rsidR="000B2A0A" w:rsidRPr="0022499F">
        <w:rPr>
          <w:rStyle w:val="JuParaChar"/>
          <w:lang w:val="pl-PL"/>
        </w:rPr>
        <w:t xml:space="preserve"> między właściwymi organami. Ponadto, w przeciwień</w:t>
      </w:r>
      <w:r w:rsidR="00C3552C" w:rsidRPr="0022499F">
        <w:rPr>
          <w:rStyle w:val="JuParaChar"/>
          <w:lang w:val="pl-PL"/>
        </w:rPr>
        <w:t>stwie do innej niedawnej sprawy przeciwko Łotwie, w której</w:t>
      </w:r>
      <w:r w:rsidR="000B2A0A" w:rsidRPr="0022499F">
        <w:rPr>
          <w:rStyle w:val="JuParaChar"/>
          <w:lang w:val="pl-PL"/>
        </w:rPr>
        <w:t xml:space="preserve"> Trybunał miał okazję </w:t>
      </w:r>
      <w:r w:rsidR="00C3552C" w:rsidRPr="0022499F">
        <w:rPr>
          <w:rStyle w:val="JuParaChar"/>
          <w:lang w:val="pl-PL"/>
        </w:rPr>
        <w:t>zastosować</w:t>
      </w:r>
      <w:r w:rsidR="000B2A0A" w:rsidRPr="0022499F">
        <w:rPr>
          <w:rStyle w:val="JuParaChar"/>
          <w:lang w:val="pl-PL"/>
        </w:rPr>
        <w:t xml:space="preserve"> zasad</w:t>
      </w:r>
      <w:r w:rsidR="00C3552C" w:rsidRPr="0022499F">
        <w:rPr>
          <w:rStyle w:val="JuParaChar"/>
          <w:lang w:val="pl-PL"/>
        </w:rPr>
        <w:t>y określone</w:t>
      </w:r>
      <w:r w:rsidR="000B2A0A" w:rsidRPr="0022499F">
        <w:rPr>
          <w:rStyle w:val="JuParaChar"/>
          <w:lang w:val="pl-PL"/>
        </w:rPr>
        <w:t xml:space="preserve"> powyżej (</w:t>
      </w:r>
      <w:r w:rsidR="00C3552C" w:rsidRPr="0022499F">
        <w:rPr>
          <w:rStyle w:val="JuParaChar"/>
          <w:lang w:val="pl-PL"/>
        </w:rPr>
        <w:t>zobacz</w:t>
      </w:r>
      <w:r w:rsidR="000B2A0A" w:rsidRPr="0022499F">
        <w:rPr>
          <w:rStyle w:val="JuParaChar"/>
          <w:lang w:val="pl-PL"/>
        </w:rPr>
        <w:t xml:space="preserve"> </w:t>
      </w:r>
      <w:proofErr w:type="spellStart"/>
      <w:r w:rsidR="00C3552C" w:rsidRPr="0022499F">
        <w:rPr>
          <w:rStyle w:val="JuParaChar"/>
          <w:i/>
          <w:lang w:val="pl-PL"/>
        </w:rPr>
        <w:t>Aleksejeva</w:t>
      </w:r>
      <w:proofErr w:type="spellEnd"/>
      <w:r w:rsidR="00C3552C" w:rsidRPr="0022499F">
        <w:rPr>
          <w:rStyle w:val="JuParaChar"/>
          <w:i/>
          <w:lang w:val="pl-PL"/>
        </w:rPr>
        <w:t xml:space="preserve"> przeciwko</w:t>
      </w:r>
      <w:r w:rsidR="000B2A0A" w:rsidRPr="0022499F">
        <w:rPr>
          <w:rStyle w:val="JuParaChar"/>
          <w:i/>
          <w:lang w:val="pl-PL"/>
        </w:rPr>
        <w:t xml:space="preserve"> Łotw</w:t>
      </w:r>
      <w:r w:rsidR="00C3552C" w:rsidRPr="0022499F">
        <w:rPr>
          <w:rStyle w:val="JuParaChar"/>
          <w:i/>
          <w:lang w:val="pl-PL"/>
        </w:rPr>
        <w:t>ie</w:t>
      </w:r>
      <w:r w:rsidR="00C3552C" w:rsidRPr="0022499F">
        <w:rPr>
          <w:rStyle w:val="JuParaChar"/>
          <w:lang w:val="pl-PL"/>
        </w:rPr>
        <w:t>, nr 21780/07, §§ 38-39, 3 lip</w:t>
      </w:r>
      <w:r w:rsidR="000B2A0A" w:rsidRPr="0022499F">
        <w:rPr>
          <w:rStyle w:val="JuParaChar"/>
          <w:lang w:val="pl-PL"/>
        </w:rPr>
        <w:t>c</w:t>
      </w:r>
      <w:r w:rsidR="00C3552C" w:rsidRPr="0022499F">
        <w:rPr>
          <w:rStyle w:val="JuParaChar"/>
          <w:lang w:val="pl-PL"/>
        </w:rPr>
        <w:t>a 2012), R</w:t>
      </w:r>
      <w:r w:rsidR="000B2A0A" w:rsidRPr="0022499F">
        <w:rPr>
          <w:rStyle w:val="JuParaChar"/>
          <w:lang w:val="pl-PL"/>
        </w:rPr>
        <w:t xml:space="preserve">ząd </w:t>
      </w:r>
      <w:r w:rsidR="00C3552C" w:rsidRPr="0022499F">
        <w:rPr>
          <w:rStyle w:val="JuParaChar"/>
          <w:lang w:val="pl-PL"/>
        </w:rPr>
        <w:t xml:space="preserve">sam przyznał, </w:t>
      </w:r>
      <w:r w:rsidR="000B2A0A" w:rsidRPr="0022499F">
        <w:rPr>
          <w:rStyle w:val="JuParaChar"/>
          <w:lang w:val="pl-PL"/>
        </w:rPr>
        <w:t xml:space="preserve">że skarżący wielokrotnie </w:t>
      </w:r>
      <w:r w:rsidR="00C3552C" w:rsidRPr="0022499F">
        <w:rPr>
          <w:rStyle w:val="JuParaChar"/>
          <w:lang w:val="pl-PL"/>
        </w:rPr>
        <w:t>wnioskował o przeniesienie</w:t>
      </w:r>
      <w:r w:rsidR="000B2A0A" w:rsidRPr="0022499F">
        <w:rPr>
          <w:rStyle w:val="JuParaChar"/>
          <w:lang w:val="pl-PL"/>
        </w:rPr>
        <w:t xml:space="preserve"> </w:t>
      </w:r>
      <w:r w:rsidR="00C3552C" w:rsidRPr="0022499F">
        <w:rPr>
          <w:rStyle w:val="JuParaChar"/>
          <w:lang w:val="pl-PL"/>
        </w:rPr>
        <w:t>do innej jednostki ze względu na zagrożenie</w:t>
      </w:r>
      <w:r w:rsidR="000B2A0A" w:rsidRPr="0022499F">
        <w:rPr>
          <w:rStyle w:val="JuParaChar"/>
          <w:lang w:val="pl-PL"/>
        </w:rPr>
        <w:t xml:space="preserve"> dla życia i zdrowia w </w:t>
      </w:r>
      <w:r w:rsidR="00C3552C" w:rsidRPr="0022499F">
        <w:rPr>
          <w:rStyle w:val="JuParaChar"/>
          <w:lang w:val="pl-PL"/>
        </w:rPr>
        <w:t>więzieniu</w:t>
      </w:r>
      <w:r w:rsidR="000B2A0A" w:rsidRPr="0022499F">
        <w:rPr>
          <w:rStyle w:val="JuParaChar"/>
          <w:lang w:val="pl-PL"/>
        </w:rPr>
        <w:t xml:space="preserve"> w </w:t>
      </w:r>
      <w:proofErr w:type="spellStart"/>
      <w:r w:rsidR="000B2A0A" w:rsidRPr="0022499F">
        <w:rPr>
          <w:rStyle w:val="JuParaChar"/>
          <w:lang w:val="pl-PL"/>
        </w:rPr>
        <w:t>Daugavpils</w:t>
      </w:r>
      <w:proofErr w:type="spellEnd"/>
      <w:r w:rsidR="000B2A0A" w:rsidRPr="0022499F">
        <w:rPr>
          <w:rStyle w:val="JuParaChar"/>
          <w:lang w:val="pl-PL"/>
        </w:rPr>
        <w:t>.</w:t>
      </w:r>
    </w:p>
    <w:p w:rsidR="00723C15" w:rsidRPr="0022499F" w:rsidRDefault="00DC3E30" w:rsidP="00E8108B">
      <w:pPr>
        <w:ind w:firstLine="284"/>
        <w:jc w:val="both"/>
        <w:rPr>
          <w:rStyle w:val="JuParaChar"/>
          <w:i/>
          <w:lang w:val="pl-PL"/>
        </w:rPr>
      </w:pPr>
      <w:r w:rsidRPr="0022499F">
        <w:rPr>
          <w:rStyle w:val="JuParaChar"/>
          <w:lang w:val="pl-PL"/>
        </w:rPr>
        <w:fldChar w:fldCharType="begin"/>
      </w:r>
      <w:r w:rsidR="0061251A" w:rsidRPr="0022499F">
        <w:rPr>
          <w:rStyle w:val="JuParaChar"/>
          <w:lang w:val="pl-PL"/>
        </w:rPr>
        <w:instrText xml:space="preserve"> SEQ level0 \*arabic </w:instrText>
      </w:r>
      <w:r w:rsidRPr="0022499F">
        <w:rPr>
          <w:rStyle w:val="JuParaChar"/>
          <w:lang w:val="pl-PL"/>
        </w:rPr>
        <w:fldChar w:fldCharType="separate"/>
      </w:r>
      <w:r w:rsidR="000E0C74" w:rsidRPr="0022499F">
        <w:rPr>
          <w:rStyle w:val="JuParaChar"/>
          <w:noProof/>
          <w:lang w:val="pl-PL"/>
        </w:rPr>
        <w:t>87</w:t>
      </w:r>
      <w:r w:rsidRPr="0022499F">
        <w:rPr>
          <w:rStyle w:val="JuParaChar"/>
          <w:lang w:val="pl-PL"/>
        </w:rPr>
        <w:fldChar w:fldCharType="end"/>
      </w:r>
      <w:r w:rsidR="0061251A" w:rsidRPr="0022499F">
        <w:rPr>
          <w:rStyle w:val="JuParaChar"/>
          <w:lang w:val="pl-PL"/>
        </w:rPr>
        <w:t>.  </w:t>
      </w:r>
      <w:r w:rsidR="00906F0E" w:rsidRPr="0022499F">
        <w:rPr>
          <w:rStyle w:val="JuParaChar"/>
          <w:lang w:val="pl-PL"/>
        </w:rPr>
        <w:t>Podczas gdy Rząd przedstawił</w:t>
      </w:r>
      <w:r w:rsidR="00C3552C" w:rsidRPr="0022499F">
        <w:rPr>
          <w:rStyle w:val="JuParaChar"/>
          <w:lang w:val="pl-PL"/>
        </w:rPr>
        <w:t xml:space="preserve"> ogólne informacje dotyczące </w:t>
      </w:r>
      <w:r w:rsidR="00906F0E" w:rsidRPr="0022499F">
        <w:rPr>
          <w:rStyle w:val="JuParaChar"/>
          <w:lang w:val="pl-PL"/>
        </w:rPr>
        <w:t xml:space="preserve">traktowania </w:t>
      </w:r>
      <w:r w:rsidR="005027A7" w:rsidRPr="0022499F">
        <w:rPr>
          <w:rStyle w:val="JuParaChar"/>
          <w:lang w:val="pl-PL"/>
        </w:rPr>
        <w:t xml:space="preserve">w łotewskich więzieniach więźniów </w:t>
      </w:r>
      <w:r w:rsidR="00C3552C" w:rsidRPr="0022499F">
        <w:rPr>
          <w:rStyle w:val="JuParaChar"/>
          <w:lang w:val="pl-PL"/>
        </w:rPr>
        <w:t xml:space="preserve">w </w:t>
      </w:r>
      <w:r w:rsidR="00906F0E" w:rsidRPr="0022499F">
        <w:rPr>
          <w:rStyle w:val="JuParaChar"/>
          <w:lang w:val="pl-PL"/>
        </w:rPr>
        <w:t>porównywalnej sytuacji do skarżącego</w:t>
      </w:r>
      <w:r w:rsidR="00C3552C" w:rsidRPr="0022499F">
        <w:rPr>
          <w:rStyle w:val="JuParaChar"/>
          <w:lang w:val="pl-PL"/>
        </w:rPr>
        <w:t xml:space="preserve">, Trybunał </w:t>
      </w:r>
      <w:r w:rsidR="00906F0E" w:rsidRPr="0022499F">
        <w:rPr>
          <w:rStyle w:val="JuParaChar"/>
          <w:lang w:val="pl-PL"/>
        </w:rPr>
        <w:t>nie dysponuje informacjami</w:t>
      </w:r>
      <w:r w:rsidR="00C3552C" w:rsidRPr="0022499F">
        <w:rPr>
          <w:rStyle w:val="JuParaChar"/>
          <w:lang w:val="pl-PL"/>
        </w:rPr>
        <w:t xml:space="preserve"> na temat jakichkolwiek konkretnych działań podjęty</w:t>
      </w:r>
      <w:r w:rsidR="00906F0E" w:rsidRPr="0022499F">
        <w:rPr>
          <w:rStyle w:val="JuParaChar"/>
          <w:lang w:val="pl-PL"/>
        </w:rPr>
        <w:t>ch przez administrację więzienia w</w:t>
      </w:r>
      <w:r w:rsidR="00C3552C" w:rsidRPr="0022499F">
        <w:rPr>
          <w:rStyle w:val="JuParaChar"/>
          <w:lang w:val="pl-PL"/>
        </w:rPr>
        <w:t xml:space="preserve"> </w:t>
      </w:r>
      <w:proofErr w:type="spellStart"/>
      <w:r w:rsidR="00C3552C" w:rsidRPr="0022499F">
        <w:rPr>
          <w:rStyle w:val="JuParaChar"/>
          <w:lang w:val="pl-PL"/>
        </w:rPr>
        <w:t>Daugavpils</w:t>
      </w:r>
      <w:proofErr w:type="spellEnd"/>
      <w:r w:rsidR="00C3552C" w:rsidRPr="0022499F">
        <w:rPr>
          <w:rStyle w:val="JuParaChar"/>
          <w:lang w:val="pl-PL"/>
        </w:rPr>
        <w:t xml:space="preserve"> </w:t>
      </w:r>
      <w:r w:rsidR="00906F0E" w:rsidRPr="0022499F">
        <w:rPr>
          <w:rStyle w:val="JuParaChar"/>
          <w:lang w:val="pl-PL"/>
        </w:rPr>
        <w:t xml:space="preserve">w związku z zagrożeniem </w:t>
      </w:r>
      <w:proofErr w:type="spellStart"/>
      <w:r w:rsidR="00906F0E" w:rsidRPr="0022499F">
        <w:rPr>
          <w:rStyle w:val="JuParaChar"/>
          <w:lang w:val="pl-PL"/>
        </w:rPr>
        <w:t>skrażącego</w:t>
      </w:r>
      <w:proofErr w:type="spellEnd"/>
      <w:r w:rsidR="00C3552C" w:rsidRPr="0022499F">
        <w:rPr>
          <w:rStyle w:val="JuParaChar"/>
          <w:lang w:val="pl-PL"/>
        </w:rPr>
        <w:t>.</w:t>
      </w:r>
      <w:r w:rsidR="00906F0E" w:rsidRPr="0022499F">
        <w:rPr>
          <w:rStyle w:val="JuParaChar"/>
          <w:lang w:val="pl-PL"/>
        </w:rPr>
        <w:t xml:space="preserve"> Skarżący twierdził, a R</w:t>
      </w:r>
      <w:r w:rsidR="00C3552C" w:rsidRPr="0022499F">
        <w:rPr>
          <w:rStyle w:val="JuParaChar"/>
          <w:lang w:val="pl-PL"/>
        </w:rPr>
        <w:t xml:space="preserve">ząd nie </w:t>
      </w:r>
      <w:r w:rsidR="00906F0E" w:rsidRPr="0022499F">
        <w:rPr>
          <w:rStyle w:val="JuParaChar"/>
          <w:lang w:val="pl-PL"/>
        </w:rPr>
        <w:t>zakwestionował, że był często przenoszony między różnymi celami</w:t>
      </w:r>
      <w:r w:rsidR="00C3552C" w:rsidRPr="0022499F">
        <w:rPr>
          <w:rStyle w:val="JuParaChar"/>
          <w:lang w:val="pl-PL"/>
        </w:rPr>
        <w:t xml:space="preserve"> (</w:t>
      </w:r>
      <w:r w:rsidR="00906F0E" w:rsidRPr="0022499F">
        <w:rPr>
          <w:rStyle w:val="JuParaChar"/>
          <w:lang w:val="pl-PL"/>
        </w:rPr>
        <w:t>zobacz</w:t>
      </w:r>
      <w:r w:rsidR="00C3552C" w:rsidRPr="0022499F">
        <w:rPr>
          <w:rStyle w:val="JuParaChar"/>
          <w:lang w:val="pl-PL"/>
        </w:rPr>
        <w:t xml:space="preserve"> p</w:t>
      </w:r>
      <w:r w:rsidR="00906F0E" w:rsidRPr="0022499F">
        <w:rPr>
          <w:rStyle w:val="JuParaChar"/>
          <w:lang w:val="pl-PL"/>
        </w:rPr>
        <w:t>un</w:t>
      </w:r>
      <w:r w:rsidR="00C3552C" w:rsidRPr="0022499F">
        <w:rPr>
          <w:rStyle w:val="JuParaChar"/>
          <w:lang w:val="pl-PL"/>
        </w:rPr>
        <w:t>kt 14 powyżej).</w:t>
      </w:r>
      <w:r w:rsidR="00906F0E" w:rsidRPr="0022499F">
        <w:rPr>
          <w:rStyle w:val="JuParaChar"/>
          <w:lang w:val="pl-PL"/>
        </w:rPr>
        <w:t xml:space="preserve"> </w:t>
      </w:r>
      <w:r w:rsidR="00F948A7" w:rsidRPr="0022499F">
        <w:rPr>
          <w:rStyle w:val="JuParaChar"/>
          <w:lang w:val="pl-PL"/>
        </w:rPr>
        <w:t xml:space="preserve">Rząd nie przedstawił żadnego przekonującego uzasadnienia </w:t>
      </w:r>
      <w:r w:rsidR="00C3552C" w:rsidRPr="0022499F">
        <w:rPr>
          <w:rStyle w:val="JuParaChar"/>
          <w:lang w:val="pl-PL"/>
        </w:rPr>
        <w:t xml:space="preserve">tych częstych </w:t>
      </w:r>
      <w:r w:rsidR="00F948A7" w:rsidRPr="0022499F">
        <w:rPr>
          <w:rStyle w:val="JuParaChar"/>
          <w:lang w:val="pl-PL"/>
        </w:rPr>
        <w:t>zmian</w:t>
      </w:r>
      <w:r w:rsidR="00C3552C" w:rsidRPr="0022499F">
        <w:rPr>
          <w:rStyle w:val="JuParaChar"/>
          <w:lang w:val="pl-PL"/>
        </w:rPr>
        <w:t>. Przen</w:t>
      </w:r>
      <w:r w:rsidR="00F948A7" w:rsidRPr="0022499F">
        <w:rPr>
          <w:rStyle w:val="JuParaChar"/>
          <w:lang w:val="pl-PL"/>
        </w:rPr>
        <w:t xml:space="preserve">iesienie więźnia z celi, </w:t>
      </w:r>
      <w:r w:rsidR="00C3552C" w:rsidRPr="0022499F">
        <w:rPr>
          <w:rStyle w:val="JuParaChar"/>
          <w:lang w:val="pl-PL"/>
        </w:rPr>
        <w:t xml:space="preserve">w której </w:t>
      </w:r>
      <w:r w:rsidR="00F948A7" w:rsidRPr="0022499F">
        <w:rPr>
          <w:rStyle w:val="JuParaChar"/>
          <w:lang w:val="pl-PL"/>
        </w:rPr>
        <w:t>był</w:t>
      </w:r>
      <w:r w:rsidR="005027A7" w:rsidRPr="0022499F">
        <w:rPr>
          <w:rStyle w:val="JuParaChar"/>
          <w:lang w:val="pl-PL"/>
        </w:rPr>
        <w:t xml:space="preserve"> narażony na niebezpieczeństwo,</w:t>
      </w:r>
      <w:r w:rsidR="00F948A7" w:rsidRPr="0022499F">
        <w:rPr>
          <w:rStyle w:val="JuParaChar"/>
          <w:lang w:val="pl-PL"/>
        </w:rPr>
        <w:t xml:space="preserve"> z pewnością byłoby właściwym</w:t>
      </w:r>
      <w:r w:rsidR="005027A7" w:rsidRPr="0022499F">
        <w:rPr>
          <w:rStyle w:val="JuParaChar"/>
          <w:lang w:val="pl-PL"/>
        </w:rPr>
        <w:t xml:space="preserve"> i, przynajmniej w krótkiej perspektywie</w:t>
      </w:r>
      <w:r w:rsidR="00C3552C" w:rsidRPr="0022499F">
        <w:rPr>
          <w:rStyle w:val="JuParaChar"/>
          <w:lang w:val="pl-PL"/>
        </w:rPr>
        <w:t xml:space="preserve"> </w:t>
      </w:r>
      <w:r w:rsidR="005027A7" w:rsidRPr="0022499F">
        <w:rPr>
          <w:rStyle w:val="JuParaChar"/>
          <w:lang w:val="pl-PL"/>
        </w:rPr>
        <w:t>czasu</w:t>
      </w:r>
      <w:r w:rsidR="00C3552C" w:rsidRPr="0022499F">
        <w:rPr>
          <w:rStyle w:val="JuParaChar"/>
          <w:lang w:val="pl-PL"/>
        </w:rPr>
        <w:t>, odpowied</w:t>
      </w:r>
      <w:r w:rsidR="00F948A7" w:rsidRPr="0022499F">
        <w:rPr>
          <w:rStyle w:val="JuParaChar"/>
          <w:lang w:val="pl-PL"/>
        </w:rPr>
        <w:t xml:space="preserve">nim środkiem. Z drugiej strony </w:t>
      </w:r>
      <w:r w:rsidR="00C3552C" w:rsidRPr="0022499F">
        <w:rPr>
          <w:rStyle w:val="JuParaChar"/>
          <w:lang w:val="pl-PL"/>
        </w:rPr>
        <w:t xml:space="preserve">Trybunał stwierdza, że jeśli takie </w:t>
      </w:r>
      <w:r w:rsidR="00F948A7" w:rsidRPr="0022499F">
        <w:rPr>
          <w:rStyle w:val="JuParaChar"/>
          <w:lang w:val="pl-PL"/>
        </w:rPr>
        <w:t xml:space="preserve">zmiany </w:t>
      </w:r>
      <w:r w:rsidR="00C3552C" w:rsidRPr="0022499F">
        <w:rPr>
          <w:rStyle w:val="JuParaChar"/>
          <w:lang w:val="pl-PL"/>
        </w:rPr>
        <w:t xml:space="preserve">odbywają się często i regularnie bez wyraźnie określonych celów, </w:t>
      </w:r>
      <w:r w:rsidR="00F948A7" w:rsidRPr="0022499F">
        <w:rPr>
          <w:rStyle w:val="JuParaChar"/>
          <w:lang w:val="pl-PL"/>
        </w:rPr>
        <w:t>to wydaje się, że jest to podejście</w:t>
      </w:r>
      <w:r w:rsidR="00C3552C" w:rsidRPr="0022499F">
        <w:rPr>
          <w:rStyle w:val="JuParaChar"/>
          <w:lang w:val="pl-PL"/>
        </w:rPr>
        <w:t xml:space="preserve">, które jest sprzeczne z </w:t>
      </w:r>
      <w:r w:rsidR="00F948A7" w:rsidRPr="0022499F">
        <w:rPr>
          <w:rStyle w:val="JuParaChar"/>
          <w:lang w:val="pl-PL"/>
        </w:rPr>
        <w:t xml:space="preserve">zasadami ochrony </w:t>
      </w:r>
      <w:r w:rsidR="00F948A7" w:rsidRPr="0022499F">
        <w:rPr>
          <w:rStyle w:val="JuParaChar"/>
          <w:lang w:val="pl-PL"/>
        </w:rPr>
        <w:lastRenderedPageBreak/>
        <w:t>zagrożonych więźniów przed ogółem populacji więziennej, przedstawionymi przez Rząd</w:t>
      </w:r>
      <w:r w:rsidR="00C3552C" w:rsidRPr="0022499F">
        <w:rPr>
          <w:rStyle w:val="JuParaChar"/>
          <w:lang w:val="pl-PL"/>
        </w:rPr>
        <w:t xml:space="preserve">. W każdym razie wszelkie </w:t>
      </w:r>
      <w:r w:rsidR="00F948A7" w:rsidRPr="0022499F">
        <w:rPr>
          <w:rStyle w:val="JuParaChar"/>
          <w:lang w:val="pl-PL"/>
        </w:rPr>
        <w:t>przenoszenie narażonych</w:t>
      </w:r>
      <w:r w:rsidR="00C3552C" w:rsidRPr="0022499F">
        <w:rPr>
          <w:rStyle w:val="JuParaChar"/>
          <w:lang w:val="pl-PL"/>
        </w:rPr>
        <w:t xml:space="preserve"> </w:t>
      </w:r>
      <w:r w:rsidR="00F948A7" w:rsidRPr="0022499F">
        <w:rPr>
          <w:rStyle w:val="JuParaChar"/>
          <w:lang w:val="pl-PL"/>
        </w:rPr>
        <w:t>więźniów powinno</w:t>
      </w:r>
      <w:r w:rsidR="00C3552C" w:rsidRPr="0022499F">
        <w:rPr>
          <w:rStyle w:val="JuParaChar"/>
          <w:lang w:val="pl-PL"/>
        </w:rPr>
        <w:t xml:space="preserve"> stanowić część starannie zaprojektowanej strategii radzenia sobie z przemocą </w:t>
      </w:r>
      <w:r w:rsidR="00F948A7" w:rsidRPr="0022499F">
        <w:rPr>
          <w:rStyle w:val="JuParaChar"/>
          <w:lang w:val="pl-PL"/>
        </w:rPr>
        <w:t>więzienną (zobacz</w:t>
      </w:r>
      <w:r w:rsidR="00C3552C" w:rsidRPr="0022499F">
        <w:rPr>
          <w:rStyle w:val="JuParaChar"/>
          <w:lang w:val="pl-PL"/>
        </w:rPr>
        <w:t xml:space="preserve"> zalecenia CPT w p</w:t>
      </w:r>
      <w:r w:rsidR="00F948A7" w:rsidRPr="0022499F">
        <w:rPr>
          <w:rStyle w:val="JuParaChar"/>
          <w:lang w:val="pl-PL"/>
        </w:rPr>
        <w:t>unkcie 30 powyżej), której istnienia i szczegółów</w:t>
      </w:r>
      <w:r w:rsidR="00C3552C" w:rsidRPr="0022499F">
        <w:rPr>
          <w:rStyle w:val="JuParaChar"/>
          <w:lang w:val="pl-PL"/>
        </w:rPr>
        <w:t xml:space="preserve"> </w:t>
      </w:r>
      <w:r w:rsidR="00F948A7" w:rsidRPr="0022499F">
        <w:rPr>
          <w:rStyle w:val="JuParaChar"/>
          <w:lang w:val="pl-PL"/>
        </w:rPr>
        <w:t>R</w:t>
      </w:r>
      <w:r w:rsidR="00C3552C" w:rsidRPr="0022499F">
        <w:rPr>
          <w:rStyle w:val="JuParaChar"/>
          <w:lang w:val="pl-PL"/>
        </w:rPr>
        <w:t>ząd nie wyjaśnił.</w:t>
      </w:r>
    </w:p>
    <w:p w:rsidR="00D870DC" w:rsidRPr="0022499F" w:rsidRDefault="00DC3E30" w:rsidP="00BA6401">
      <w:pPr>
        <w:pStyle w:val="JuPara"/>
        <w:rPr>
          <w:i/>
          <w:lang w:val="pl-PL" w:eastAsia="en-US"/>
        </w:rPr>
      </w:pPr>
      <w:r w:rsidRPr="0022499F">
        <w:rPr>
          <w:lang w:val="pl-PL" w:eastAsia="en-GB"/>
        </w:rPr>
        <w:fldChar w:fldCharType="begin"/>
      </w:r>
      <w:r w:rsidR="00742C5D" w:rsidRPr="0022499F">
        <w:rPr>
          <w:lang w:val="pl-PL" w:eastAsia="en-GB"/>
        </w:rPr>
        <w:instrText xml:space="preserve"> SEQ level0 \*arabic </w:instrText>
      </w:r>
      <w:r w:rsidRPr="0022499F">
        <w:rPr>
          <w:lang w:val="pl-PL" w:eastAsia="en-GB"/>
        </w:rPr>
        <w:fldChar w:fldCharType="separate"/>
      </w:r>
      <w:r w:rsidR="000E0C74" w:rsidRPr="0022499F">
        <w:rPr>
          <w:noProof/>
          <w:lang w:val="pl-PL" w:eastAsia="en-GB"/>
        </w:rPr>
        <w:t>88</w:t>
      </w:r>
      <w:r w:rsidRPr="0022499F">
        <w:rPr>
          <w:lang w:val="pl-PL" w:eastAsia="en-GB"/>
        </w:rPr>
        <w:fldChar w:fldCharType="end"/>
      </w:r>
      <w:r w:rsidR="00742C5D" w:rsidRPr="0022499F">
        <w:rPr>
          <w:lang w:val="pl-PL" w:eastAsia="en-GB"/>
        </w:rPr>
        <w:t>.  </w:t>
      </w:r>
      <w:r w:rsidR="00F948A7" w:rsidRPr="0022499F">
        <w:rPr>
          <w:lang w:val="pl-PL" w:eastAsia="en-GB"/>
        </w:rPr>
        <w:t>Trybunał odniesie się do zarzutu skarżącego</w:t>
      </w:r>
      <w:r w:rsidR="005027A7" w:rsidRPr="0022499F">
        <w:rPr>
          <w:lang w:val="pl-PL" w:eastAsia="en-GB"/>
        </w:rPr>
        <w:t xml:space="preserve"> w sprawie</w:t>
      </w:r>
      <w:r w:rsidR="00F948A7" w:rsidRPr="0022499F">
        <w:rPr>
          <w:lang w:val="pl-PL" w:eastAsia="en-GB"/>
        </w:rPr>
        <w:t xml:space="preserve"> braku szczególnych środków bezpieczeństwa (zobacz punkt 84 powyżej), które pozwoliłyby mu na uzyskanie przeniesienia do więzienia </w:t>
      </w:r>
      <w:proofErr w:type="spellStart"/>
      <w:r w:rsidR="00F948A7" w:rsidRPr="0022499F">
        <w:rPr>
          <w:lang w:val="pl-PL" w:eastAsia="en-GB"/>
        </w:rPr>
        <w:t>Matīsa</w:t>
      </w:r>
      <w:proofErr w:type="spellEnd"/>
      <w:r w:rsidR="00F948A7" w:rsidRPr="0022499F">
        <w:rPr>
          <w:lang w:val="pl-PL" w:eastAsia="en-GB"/>
        </w:rPr>
        <w:t xml:space="preserve">. Skarżący w szczególności skrytykował długość </w:t>
      </w:r>
      <w:r w:rsidR="005027A7" w:rsidRPr="0022499F">
        <w:rPr>
          <w:lang w:val="pl-PL" w:eastAsia="en-GB"/>
        </w:rPr>
        <w:t>okresu</w:t>
      </w:r>
      <w:r w:rsidR="00F948A7" w:rsidRPr="0022499F">
        <w:rPr>
          <w:lang w:val="pl-PL" w:eastAsia="en-GB"/>
        </w:rPr>
        <w:t>, który upł</w:t>
      </w:r>
      <w:r w:rsidR="000F0A8C" w:rsidRPr="0022499F">
        <w:rPr>
          <w:lang w:val="pl-PL" w:eastAsia="en-GB"/>
        </w:rPr>
        <w:t>y</w:t>
      </w:r>
      <w:r w:rsidR="00F948A7" w:rsidRPr="0022499F">
        <w:rPr>
          <w:lang w:val="pl-PL" w:eastAsia="en-GB"/>
        </w:rPr>
        <w:t xml:space="preserve">nął, zanim jego dawna współpraca z policją została oficjalnie potwierdzona i zostało zarządzone przeniesienie go do więzienia </w:t>
      </w:r>
      <w:proofErr w:type="spellStart"/>
      <w:r w:rsidR="00F948A7" w:rsidRPr="0022499F">
        <w:rPr>
          <w:lang w:val="pl-PL" w:eastAsia="en-GB"/>
        </w:rPr>
        <w:t>Matīsa</w:t>
      </w:r>
      <w:proofErr w:type="spellEnd"/>
      <w:r w:rsidR="00AE0241" w:rsidRPr="0022499F">
        <w:rPr>
          <w:i/>
          <w:lang w:val="pl-PL" w:eastAsia="en-US"/>
        </w:rPr>
        <w:t>.</w:t>
      </w:r>
    </w:p>
    <w:p w:rsidR="00AE0241" w:rsidRPr="0022499F" w:rsidRDefault="00DC3E30" w:rsidP="00AE0241">
      <w:pPr>
        <w:pStyle w:val="JuPara"/>
        <w:rPr>
          <w:i/>
          <w:lang w:val="pl-PL" w:eastAsia="en-US"/>
        </w:rPr>
      </w:pPr>
      <w:r w:rsidRPr="0022499F">
        <w:rPr>
          <w:lang w:val="pl-PL" w:eastAsia="en-US"/>
        </w:rPr>
        <w:fldChar w:fldCharType="begin"/>
      </w:r>
      <w:r w:rsidR="00AE0241"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89</w:t>
      </w:r>
      <w:r w:rsidRPr="0022499F">
        <w:rPr>
          <w:lang w:val="pl-PL" w:eastAsia="en-US"/>
        </w:rPr>
        <w:fldChar w:fldCharType="end"/>
      </w:r>
      <w:r w:rsidR="00AE0241" w:rsidRPr="0022499F">
        <w:rPr>
          <w:lang w:val="pl-PL" w:eastAsia="en-US"/>
        </w:rPr>
        <w:t>.  </w:t>
      </w:r>
      <w:r w:rsidR="00F948A7" w:rsidRPr="0022499F">
        <w:rPr>
          <w:lang w:val="pl-PL" w:eastAsia="en-US"/>
        </w:rPr>
        <w:t>Rząd twierdził, że istniej</w:t>
      </w:r>
      <w:r w:rsidR="005027A7" w:rsidRPr="0022499F">
        <w:rPr>
          <w:lang w:val="pl-PL" w:eastAsia="en-US"/>
        </w:rPr>
        <w:t>ący system zapewnia</w:t>
      </w:r>
      <w:r w:rsidR="00F948A7" w:rsidRPr="0022499F">
        <w:rPr>
          <w:lang w:val="pl-PL" w:eastAsia="en-US"/>
        </w:rPr>
        <w:t>nia bezpieczeńst</w:t>
      </w:r>
      <w:r w:rsidR="005027A7" w:rsidRPr="0022499F">
        <w:rPr>
          <w:lang w:val="pl-PL" w:eastAsia="en-US"/>
        </w:rPr>
        <w:t>wa informatorom policyjnym</w:t>
      </w:r>
      <w:r w:rsidR="00F948A7" w:rsidRPr="0022499F">
        <w:rPr>
          <w:lang w:val="pl-PL" w:eastAsia="en-US"/>
        </w:rPr>
        <w:t xml:space="preserve"> był wystarczający</w:t>
      </w:r>
      <w:r w:rsidR="00ED20E9" w:rsidRPr="0022499F">
        <w:rPr>
          <w:lang w:val="pl-PL" w:eastAsia="en-US"/>
        </w:rPr>
        <w:t xml:space="preserve"> i odpowiadał wymaganiom Konwencji. </w:t>
      </w:r>
      <w:r w:rsidR="005027A7" w:rsidRPr="0022499F">
        <w:rPr>
          <w:lang w:val="pl-PL" w:eastAsia="en-US"/>
        </w:rPr>
        <w:t>Zdaniem</w:t>
      </w:r>
      <w:r w:rsidR="00ED20E9" w:rsidRPr="0022499F">
        <w:rPr>
          <w:lang w:val="pl-PL" w:eastAsia="en-US"/>
        </w:rPr>
        <w:t xml:space="preserve"> R</w:t>
      </w:r>
      <w:r w:rsidR="005027A7" w:rsidRPr="0022499F">
        <w:rPr>
          <w:lang w:val="pl-PL" w:eastAsia="en-US"/>
        </w:rPr>
        <w:t xml:space="preserve">ządu </w:t>
      </w:r>
      <w:r w:rsidR="00ED20E9" w:rsidRPr="0022499F">
        <w:rPr>
          <w:lang w:val="pl-PL" w:eastAsia="en-US"/>
        </w:rPr>
        <w:t>jednostki, które czuły</w:t>
      </w:r>
      <w:r w:rsidR="00F948A7" w:rsidRPr="0022499F">
        <w:rPr>
          <w:lang w:val="pl-PL" w:eastAsia="en-US"/>
        </w:rPr>
        <w:t xml:space="preserve">, że ich bezpieczeństwo zostało naruszone w więzieniu z powodu ich </w:t>
      </w:r>
      <w:r w:rsidR="005027A7" w:rsidRPr="0022499F">
        <w:rPr>
          <w:lang w:val="pl-PL" w:eastAsia="en-US"/>
        </w:rPr>
        <w:t xml:space="preserve">dawnej </w:t>
      </w:r>
      <w:r w:rsidR="00F948A7" w:rsidRPr="0022499F">
        <w:rPr>
          <w:lang w:val="pl-PL" w:eastAsia="en-US"/>
        </w:rPr>
        <w:t>współpracy z organami ścigania</w:t>
      </w:r>
      <w:r w:rsidR="00ED20E9" w:rsidRPr="0022499F">
        <w:rPr>
          <w:lang w:val="pl-PL" w:eastAsia="en-US"/>
        </w:rPr>
        <w:t xml:space="preserve">, mogły </w:t>
      </w:r>
      <w:r w:rsidR="00F948A7" w:rsidRPr="0022499F">
        <w:rPr>
          <w:lang w:val="pl-PL" w:eastAsia="en-US"/>
        </w:rPr>
        <w:t>zwrócić się do policj</w:t>
      </w:r>
      <w:r w:rsidR="00ED20E9" w:rsidRPr="0022499F">
        <w:rPr>
          <w:lang w:val="pl-PL" w:eastAsia="en-US"/>
        </w:rPr>
        <w:t>i lub prokuratora generalnego o potwierdzenie</w:t>
      </w:r>
      <w:r w:rsidR="00F948A7" w:rsidRPr="0022499F">
        <w:rPr>
          <w:lang w:val="pl-PL" w:eastAsia="en-US"/>
        </w:rPr>
        <w:t>, że ta współpraca miała miejsce, po</w:t>
      </w:r>
      <w:r w:rsidR="005027A7" w:rsidRPr="0022499F">
        <w:rPr>
          <w:lang w:val="pl-PL" w:eastAsia="en-US"/>
        </w:rPr>
        <w:t xml:space="preserve"> czym</w:t>
      </w:r>
      <w:r w:rsidR="00F948A7" w:rsidRPr="0022499F">
        <w:rPr>
          <w:lang w:val="pl-PL" w:eastAsia="en-US"/>
        </w:rPr>
        <w:t xml:space="preserve"> właściwe </w:t>
      </w:r>
      <w:r w:rsidR="00ED20E9" w:rsidRPr="0022499F">
        <w:rPr>
          <w:lang w:val="pl-PL" w:eastAsia="en-US"/>
        </w:rPr>
        <w:t>władze powinny zapewnić izolację</w:t>
      </w:r>
      <w:r w:rsidR="005027A7" w:rsidRPr="0022499F">
        <w:rPr>
          <w:lang w:val="pl-PL" w:eastAsia="en-US"/>
        </w:rPr>
        <w:t xml:space="preserve"> więźnia, na przykład </w:t>
      </w:r>
      <w:r w:rsidR="00ED20E9" w:rsidRPr="0022499F">
        <w:rPr>
          <w:lang w:val="pl-PL" w:eastAsia="en-US"/>
        </w:rPr>
        <w:t>poprzez przeniesienie go</w:t>
      </w:r>
      <w:r w:rsidR="00F948A7" w:rsidRPr="0022499F">
        <w:rPr>
          <w:lang w:val="pl-PL" w:eastAsia="en-US"/>
        </w:rPr>
        <w:t xml:space="preserve"> do więzienia </w:t>
      </w:r>
      <w:proofErr w:type="spellStart"/>
      <w:r w:rsidR="00F948A7" w:rsidRPr="0022499F">
        <w:rPr>
          <w:lang w:val="pl-PL" w:eastAsia="en-US"/>
        </w:rPr>
        <w:t>Matīsa</w:t>
      </w:r>
      <w:proofErr w:type="spellEnd"/>
      <w:r w:rsidR="00AE0241" w:rsidRPr="0022499F">
        <w:rPr>
          <w:i/>
          <w:lang w:val="pl-PL" w:eastAsia="en-US"/>
        </w:rPr>
        <w:t>.</w:t>
      </w:r>
    </w:p>
    <w:p w:rsidR="00AE0241" w:rsidRPr="0022499F" w:rsidRDefault="00DC3E30" w:rsidP="00AE0241">
      <w:pPr>
        <w:pStyle w:val="JuPara"/>
        <w:rPr>
          <w:i/>
          <w:lang w:val="pl-PL" w:eastAsia="en-US"/>
        </w:rPr>
      </w:pPr>
      <w:r w:rsidRPr="0022499F">
        <w:rPr>
          <w:lang w:val="pl-PL" w:eastAsia="en-US"/>
        </w:rPr>
        <w:fldChar w:fldCharType="begin"/>
      </w:r>
      <w:r w:rsidR="00AE0241"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90</w:t>
      </w:r>
      <w:r w:rsidRPr="0022499F">
        <w:rPr>
          <w:lang w:val="pl-PL" w:eastAsia="en-US"/>
        </w:rPr>
        <w:fldChar w:fldCharType="end"/>
      </w:r>
      <w:r w:rsidR="00AE0241" w:rsidRPr="0022499F">
        <w:rPr>
          <w:lang w:val="pl-PL" w:eastAsia="en-US"/>
        </w:rPr>
        <w:t>.  </w:t>
      </w:r>
      <w:r w:rsidR="00ED20E9" w:rsidRPr="0022499F">
        <w:rPr>
          <w:lang w:val="pl-PL" w:eastAsia="en-US"/>
        </w:rPr>
        <w:t xml:space="preserve">Rząd argumentował, że mimo pewnego opóźnienia ze strony policji </w:t>
      </w:r>
      <w:bookmarkStart w:id="4" w:name="_GoBack"/>
      <w:bookmarkEnd w:id="4"/>
      <w:r w:rsidR="00ED20E9" w:rsidRPr="0022499F">
        <w:rPr>
          <w:lang w:val="pl-PL" w:eastAsia="en-US"/>
        </w:rPr>
        <w:t>w rozpatrzeniu wniosku skarżącego z maja 2006 roku, system zadziałał również w jego przypadku, a jego przeniesienie zostało zarządzone w dniu 5 października 2006 roku (zobacz punkt 19 i 20 powyżej).</w:t>
      </w:r>
    </w:p>
    <w:p w:rsidR="00AE0241" w:rsidRPr="0022499F" w:rsidRDefault="00DC3E30" w:rsidP="00AE0241">
      <w:pPr>
        <w:pStyle w:val="JuPara"/>
        <w:rPr>
          <w:i/>
          <w:lang w:val="pl-PL" w:eastAsia="en-US"/>
        </w:rPr>
      </w:pPr>
      <w:r w:rsidRPr="0022499F">
        <w:rPr>
          <w:lang w:val="pl-PL" w:eastAsia="en-US"/>
        </w:rPr>
        <w:fldChar w:fldCharType="begin"/>
      </w:r>
      <w:r w:rsidR="00AE0241"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91</w:t>
      </w:r>
      <w:r w:rsidRPr="0022499F">
        <w:rPr>
          <w:lang w:val="pl-PL" w:eastAsia="en-US"/>
        </w:rPr>
        <w:fldChar w:fldCharType="end"/>
      </w:r>
      <w:r w:rsidR="00AE0241" w:rsidRPr="0022499F">
        <w:rPr>
          <w:lang w:val="pl-PL" w:eastAsia="en-US"/>
        </w:rPr>
        <w:t>.  </w:t>
      </w:r>
      <w:r w:rsidR="00ED20E9" w:rsidRPr="0022499F">
        <w:rPr>
          <w:lang w:val="pl-PL" w:eastAsia="en-US"/>
        </w:rPr>
        <w:t xml:space="preserve">Trybunał uważa, że </w:t>
      </w:r>
      <w:r w:rsidR="005027A7" w:rsidRPr="0022499F">
        <w:rPr>
          <w:lang w:val="pl-PL" w:eastAsia="en-US"/>
        </w:rPr>
        <w:t xml:space="preserve">aby krajowy mechanizm prewencji działał skutecznie, powinien on </w:t>
      </w:r>
      <w:r w:rsidR="00ED20E9" w:rsidRPr="0022499F">
        <w:rPr>
          <w:lang w:val="pl-PL" w:eastAsia="en-US"/>
        </w:rPr>
        <w:t xml:space="preserve">umożliwiać właściwym władzom reagowanie szczególnie </w:t>
      </w:r>
      <w:r w:rsidR="005027A7" w:rsidRPr="0022499F">
        <w:rPr>
          <w:lang w:val="pl-PL" w:eastAsia="en-US"/>
        </w:rPr>
        <w:t>szybko</w:t>
      </w:r>
      <w:r w:rsidR="00ED20E9" w:rsidRPr="0022499F">
        <w:rPr>
          <w:lang w:val="pl-PL" w:eastAsia="en-US"/>
        </w:rPr>
        <w:t xml:space="preserve"> i w sposób proporcjonalny do dostrzeganego ryzyka, ponoszonego przez daną osobę.</w:t>
      </w:r>
    </w:p>
    <w:p w:rsidR="00E8108B" w:rsidRPr="0022499F" w:rsidRDefault="00DC3E30" w:rsidP="00AE0241">
      <w:pPr>
        <w:pStyle w:val="JuPara"/>
        <w:rPr>
          <w:rStyle w:val="sb8d990e2"/>
          <w:lang w:val="pl-PL"/>
        </w:rPr>
      </w:pPr>
      <w:r w:rsidRPr="0022499F">
        <w:rPr>
          <w:lang w:val="pl-PL" w:eastAsia="en-US"/>
        </w:rPr>
        <w:fldChar w:fldCharType="begin"/>
      </w:r>
      <w:r w:rsidR="00AE0241"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92</w:t>
      </w:r>
      <w:r w:rsidRPr="0022499F">
        <w:rPr>
          <w:lang w:val="pl-PL" w:eastAsia="en-US"/>
        </w:rPr>
        <w:fldChar w:fldCharType="end"/>
      </w:r>
      <w:r w:rsidR="006C1ADC" w:rsidRPr="0022499F">
        <w:rPr>
          <w:lang w:val="pl-PL" w:eastAsia="en-US"/>
        </w:rPr>
        <w:t>.  </w:t>
      </w:r>
      <w:r w:rsidR="00ED20E9" w:rsidRPr="0022499F">
        <w:rPr>
          <w:lang w:val="pl-PL" w:eastAsia="en-US"/>
        </w:rPr>
        <w:t xml:space="preserve">Jak jasno wynika ze sprawy skarżącego, wniosek do organów ścigania o potwierdzenie, że miała miejsce </w:t>
      </w:r>
      <w:r w:rsidR="000F0A8C" w:rsidRPr="0022499F">
        <w:rPr>
          <w:lang w:val="pl-PL" w:eastAsia="en-US"/>
        </w:rPr>
        <w:t>wcześniejsza</w:t>
      </w:r>
      <w:r w:rsidR="00ED20E9" w:rsidRPr="0022499F">
        <w:rPr>
          <w:lang w:val="pl-PL" w:eastAsia="en-US"/>
        </w:rPr>
        <w:t xml:space="preserve"> współpraca z policją, może przekształcić się w długą i mocno biurokratyczną procedurę.</w:t>
      </w:r>
      <w:r w:rsidR="005027A7" w:rsidRPr="0022499F">
        <w:rPr>
          <w:lang w:val="pl-PL" w:eastAsia="en-US"/>
        </w:rPr>
        <w:t xml:space="preserve"> </w:t>
      </w:r>
      <w:r w:rsidR="005A497F" w:rsidRPr="0022499F">
        <w:rPr>
          <w:lang w:val="pl-PL" w:eastAsia="en-US"/>
        </w:rPr>
        <w:t>W znacznym stopniu przyczynił się do tego b</w:t>
      </w:r>
      <w:r w:rsidR="00ED20E9" w:rsidRPr="0022499F">
        <w:rPr>
          <w:lang w:val="pl-PL" w:eastAsia="en-US"/>
        </w:rPr>
        <w:t xml:space="preserve">rak wystarczającej koordynacji wśród śledczych, prokuratorów i </w:t>
      </w:r>
      <w:r w:rsidR="005027A7" w:rsidRPr="0022499F">
        <w:rPr>
          <w:lang w:val="pl-PL" w:eastAsia="en-US"/>
        </w:rPr>
        <w:t>jednostek</w:t>
      </w:r>
      <w:r w:rsidR="00ED20E9" w:rsidRPr="0022499F">
        <w:rPr>
          <w:lang w:val="pl-PL" w:eastAsia="en-US"/>
        </w:rPr>
        <w:t xml:space="preserve"> penitencjarnych</w:t>
      </w:r>
      <w:r w:rsidR="005A497F" w:rsidRPr="0022499F">
        <w:rPr>
          <w:lang w:val="pl-PL" w:eastAsia="en-US"/>
        </w:rPr>
        <w:t xml:space="preserve"> w celu zapobiegania</w:t>
      </w:r>
      <w:r w:rsidR="00ED20E9" w:rsidRPr="0022499F">
        <w:rPr>
          <w:lang w:val="pl-PL" w:eastAsia="en-US"/>
        </w:rPr>
        <w:t xml:space="preserve"> złe</w:t>
      </w:r>
      <w:r w:rsidR="005A497F" w:rsidRPr="0022499F">
        <w:rPr>
          <w:lang w:val="pl-PL" w:eastAsia="en-US"/>
        </w:rPr>
        <w:t>mu traktowaniu więźniów, którzy</w:t>
      </w:r>
      <w:r w:rsidR="00ED20E9" w:rsidRPr="0022499F">
        <w:rPr>
          <w:lang w:val="pl-PL" w:eastAsia="en-US"/>
        </w:rPr>
        <w:t xml:space="preserve"> ze względu na </w:t>
      </w:r>
      <w:r w:rsidR="005A497F" w:rsidRPr="0022499F">
        <w:rPr>
          <w:lang w:val="pl-PL" w:eastAsia="en-US"/>
        </w:rPr>
        <w:t>to, że w przeszłości byli informatorami policji, stali</w:t>
      </w:r>
      <w:r w:rsidR="00ED20E9" w:rsidRPr="0022499F">
        <w:rPr>
          <w:lang w:val="pl-PL" w:eastAsia="en-US"/>
        </w:rPr>
        <w:t xml:space="preserve"> się szczególnie </w:t>
      </w:r>
      <w:r w:rsidR="005A497F" w:rsidRPr="0022499F">
        <w:rPr>
          <w:lang w:val="pl-PL" w:eastAsia="en-US"/>
        </w:rPr>
        <w:t>narażeni i podatni</w:t>
      </w:r>
      <w:r w:rsidR="00ED20E9" w:rsidRPr="0022499F">
        <w:rPr>
          <w:lang w:val="pl-PL" w:eastAsia="en-US"/>
        </w:rPr>
        <w:t xml:space="preserve"> na atak</w:t>
      </w:r>
      <w:r w:rsidR="005A497F" w:rsidRPr="0022499F">
        <w:rPr>
          <w:lang w:val="pl-PL" w:eastAsia="en-US"/>
        </w:rPr>
        <w:t>i przemocy</w:t>
      </w:r>
      <w:r w:rsidR="005027A7" w:rsidRPr="0022499F">
        <w:rPr>
          <w:lang w:val="pl-PL" w:eastAsia="en-US"/>
        </w:rPr>
        <w:t xml:space="preserve"> w więzieniu</w:t>
      </w:r>
      <w:r w:rsidR="005A497F" w:rsidRPr="0022499F">
        <w:rPr>
          <w:lang w:val="pl-PL" w:eastAsia="en-US"/>
        </w:rPr>
        <w:t xml:space="preserve">. </w:t>
      </w:r>
      <w:r w:rsidR="00ED20E9" w:rsidRPr="0022499F">
        <w:rPr>
          <w:lang w:val="pl-PL" w:eastAsia="en-US"/>
        </w:rPr>
        <w:t xml:space="preserve">Trybunał </w:t>
      </w:r>
      <w:r w:rsidR="005A497F" w:rsidRPr="0022499F">
        <w:rPr>
          <w:lang w:val="pl-PL" w:eastAsia="en-US"/>
        </w:rPr>
        <w:t>już wcześniej zidentyfikował</w:t>
      </w:r>
      <w:r w:rsidR="00ED20E9" w:rsidRPr="0022499F">
        <w:rPr>
          <w:lang w:val="pl-PL" w:eastAsia="en-US"/>
        </w:rPr>
        <w:t xml:space="preserve"> i skrytykował brak systematycznego podejścia do radzenia sobie z trudnościami, jakie napotyka</w:t>
      </w:r>
      <w:r w:rsidR="005A497F" w:rsidRPr="0022499F">
        <w:rPr>
          <w:lang w:val="pl-PL" w:eastAsia="en-US"/>
        </w:rPr>
        <w:t>ją</w:t>
      </w:r>
      <w:r w:rsidR="00ED20E9" w:rsidRPr="0022499F">
        <w:rPr>
          <w:lang w:val="pl-PL" w:eastAsia="en-US"/>
        </w:rPr>
        <w:t xml:space="preserve"> informatorów policji w łotewskich więzieniach (</w:t>
      </w:r>
      <w:r w:rsidR="005A497F" w:rsidRPr="0022499F">
        <w:rPr>
          <w:lang w:val="pl-PL" w:eastAsia="en-US"/>
        </w:rPr>
        <w:t xml:space="preserve">zobacz </w:t>
      </w:r>
      <w:r w:rsidR="00ED20E9" w:rsidRPr="0022499F">
        <w:rPr>
          <w:i/>
          <w:lang w:val="pl-PL" w:eastAsia="en-US"/>
        </w:rPr>
        <w:t>J</w:t>
      </w:r>
      <w:r w:rsidR="005A497F" w:rsidRPr="0022499F">
        <w:rPr>
          <w:i/>
          <w:lang w:val="pl-PL" w:eastAsia="en-US"/>
        </w:rPr>
        <w:t>.</w:t>
      </w:r>
      <w:r w:rsidR="00ED20E9" w:rsidRPr="0022499F">
        <w:rPr>
          <w:i/>
          <w:lang w:val="pl-PL" w:eastAsia="en-US"/>
        </w:rPr>
        <w:t>L</w:t>
      </w:r>
      <w:r w:rsidR="005A497F" w:rsidRPr="0022499F">
        <w:rPr>
          <w:i/>
          <w:lang w:val="pl-PL" w:eastAsia="en-US"/>
        </w:rPr>
        <w:t>. przeciwko Łotwie</w:t>
      </w:r>
      <w:r w:rsidR="00ED20E9" w:rsidRPr="0022499F">
        <w:rPr>
          <w:lang w:val="pl-PL" w:eastAsia="en-US"/>
        </w:rPr>
        <w:t xml:space="preserve">, </w:t>
      </w:r>
      <w:r w:rsidR="005A497F" w:rsidRPr="0022499F">
        <w:rPr>
          <w:lang w:val="pl-PL" w:eastAsia="en-US"/>
        </w:rPr>
        <w:t>przywołany</w:t>
      </w:r>
      <w:r w:rsidR="00ED20E9" w:rsidRPr="0022499F">
        <w:rPr>
          <w:lang w:val="pl-PL" w:eastAsia="en-US"/>
        </w:rPr>
        <w:t xml:space="preserve"> powyżej, § 87).</w:t>
      </w:r>
    </w:p>
    <w:p w:rsidR="00AE0241" w:rsidRPr="0022499F" w:rsidRDefault="00DC3E30" w:rsidP="00AE0241">
      <w:pPr>
        <w:pStyle w:val="JuPara"/>
        <w:rPr>
          <w:i/>
          <w:lang w:val="pl-PL" w:eastAsia="en-US"/>
        </w:rPr>
      </w:pPr>
      <w:r w:rsidRPr="0022499F">
        <w:rPr>
          <w:lang w:val="pl-PL" w:eastAsia="en-US"/>
        </w:rPr>
        <w:fldChar w:fldCharType="begin"/>
      </w:r>
      <w:r w:rsidR="006C1ADC"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93</w:t>
      </w:r>
      <w:r w:rsidRPr="0022499F">
        <w:rPr>
          <w:lang w:val="pl-PL" w:eastAsia="en-US"/>
        </w:rPr>
        <w:fldChar w:fldCharType="end"/>
      </w:r>
      <w:r w:rsidR="006C1ADC" w:rsidRPr="0022499F">
        <w:rPr>
          <w:lang w:val="pl-PL" w:eastAsia="en-US"/>
        </w:rPr>
        <w:t>.  </w:t>
      </w:r>
      <w:r w:rsidR="005A497F" w:rsidRPr="0022499F">
        <w:rPr>
          <w:lang w:val="pl-PL" w:eastAsia="en-US"/>
        </w:rPr>
        <w:t>Trybunał zbadał możliwość wnioskowania do sądów administracyjnych</w:t>
      </w:r>
      <w:r w:rsidR="00686DA5" w:rsidRPr="0022499F">
        <w:rPr>
          <w:lang w:val="pl-PL" w:eastAsia="en-US"/>
        </w:rPr>
        <w:t xml:space="preserve"> o zastosowanie</w:t>
      </w:r>
      <w:r w:rsidR="005A497F" w:rsidRPr="0022499F">
        <w:rPr>
          <w:lang w:val="pl-PL" w:eastAsia="en-US"/>
        </w:rPr>
        <w:t xml:space="preserve"> środków tymczasowych. Oprócz problemów określonych powyżej (zobacz punkt 72 do 74), zauważa, że w danym czasie rozdział 22 Kodeksu Postępowania Administracyjnego nie nakładał żadnych ograniczeń czasowych na sądy rozpatrujące wnioski o zastosowanie środków tymczasowych (zobacz punkt 43 powyżej ). Tak </w:t>
      </w:r>
      <w:r w:rsidR="005A497F" w:rsidRPr="0022499F">
        <w:rPr>
          <w:lang w:val="pl-PL" w:eastAsia="en-US"/>
        </w:rPr>
        <w:lastRenderedPageBreak/>
        <w:t>więc nawet przy założeniu, że taki wniosek mógłby być uznany za dopuszczalny, termin jego rozpatrzenia został pozostawiony całkowicie w gestii sądów</w:t>
      </w:r>
      <w:r w:rsidR="00AE0241" w:rsidRPr="0022499F">
        <w:rPr>
          <w:i/>
          <w:lang w:val="pl-PL" w:eastAsia="en-US"/>
        </w:rPr>
        <w:t>.</w:t>
      </w:r>
    </w:p>
    <w:p w:rsidR="00AE0241" w:rsidRPr="0022499F" w:rsidRDefault="00DC3E30" w:rsidP="00AE0241">
      <w:pPr>
        <w:pStyle w:val="JuPara"/>
        <w:rPr>
          <w:lang w:val="pl-PL" w:eastAsia="en-US"/>
        </w:rPr>
      </w:pPr>
      <w:r w:rsidRPr="0022499F">
        <w:rPr>
          <w:lang w:val="pl-PL" w:eastAsia="en-US"/>
        </w:rPr>
        <w:fldChar w:fldCharType="begin"/>
      </w:r>
      <w:r w:rsidR="00AE0241"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94</w:t>
      </w:r>
      <w:r w:rsidRPr="0022499F">
        <w:rPr>
          <w:lang w:val="pl-PL" w:eastAsia="en-US"/>
        </w:rPr>
        <w:fldChar w:fldCharType="end"/>
      </w:r>
      <w:r w:rsidR="00AE0241" w:rsidRPr="0022499F">
        <w:rPr>
          <w:lang w:val="pl-PL" w:eastAsia="en-US"/>
        </w:rPr>
        <w:t>.  </w:t>
      </w:r>
      <w:r w:rsidR="005A497F" w:rsidRPr="0022499F">
        <w:rPr>
          <w:lang w:val="pl-PL" w:eastAsia="en-US"/>
        </w:rPr>
        <w:t>W związku z powyższym Trybunał nie jest w stanie stwierdzić, że regulacja prawna, obow</w:t>
      </w:r>
      <w:r w:rsidR="00686DA5" w:rsidRPr="0022499F">
        <w:rPr>
          <w:lang w:val="pl-PL" w:eastAsia="en-US"/>
        </w:rPr>
        <w:t>iązująca</w:t>
      </w:r>
      <w:r w:rsidR="005A497F" w:rsidRPr="0022499F">
        <w:rPr>
          <w:lang w:val="pl-PL" w:eastAsia="en-US"/>
        </w:rPr>
        <w:t xml:space="preserve"> w czasie, gdy skarżący domagał się przeniesienia do więzienia </w:t>
      </w:r>
      <w:proofErr w:type="spellStart"/>
      <w:r w:rsidR="005A497F" w:rsidRPr="0022499F">
        <w:rPr>
          <w:lang w:val="pl-PL" w:eastAsia="en-US"/>
        </w:rPr>
        <w:t>Matīsa</w:t>
      </w:r>
      <w:proofErr w:type="spellEnd"/>
      <w:r w:rsidR="005A497F" w:rsidRPr="0022499F">
        <w:rPr>
          <w:lang w:val="pl-PL" w:eastAsia="en-US"/>
        </w:rPr>
        <w:t>, była skuteczna zarówno w teorii, jak i w praktyce.</w:t>
      </w:r>
    </w:p>
    <w:p w:rsidR="003C715F" w:rsidRPr="0022499F" w:rsidRDefault="00DC3E30" w:rsidP="00AE0241">
      <w:pPr>
        <w:pStyle w:val="JuPara"/>
        <w:rPr>
          <w:i/>
          <w:lang w:val="pl-PL" w:eastAsia="en-US"/>
        </w:rPr>
      </w:pPr>
      <w:r w:rsidRPr="0022499F">
        <w:rPr>
          <w:lang w:val="pl-PL" w:eastAsia="en-US"/>
        </w:rPr>
        <w:fldChar w:fldCharType="begin"/>
      </w:r>
      <w:r w:rsidR="003C715F" w:rsidRPr="0022499F">
        <w:rPr>
          <w:lang w:val="pl-PL" w:eastAsia="en-US"/>
        </w:rPr>
        <w:instrText xml:space="preserve"> SEQ level0 \*arabic </w:instrText>
      </w:r>
      <w:r w:rsidRPr="0022499F">
        <w:rPr>
          <w:lang w:val="pl-PL" w:eastAsia="en-US"/>
        </w:rPr>
        <w:fldChar w:fldCharType="separate"/>
      </w:r>
      <w:r w:rsidR="000E0C74" w:rsidRPr="0022499F">
        <w:rPr>
          <w:noProof/>
          <w:lang w:val="pl-PL" w:eastAsia="en-US"/>
        </w:rPr>
        <w:t>95</w:t>
      </w:r>
      <w:r w:rsidRPr="0022499F">
        <w:rPr>
          <w:lang w:val="pl-PL" w:eastAsia="en-US"/>
        </w:rPr>
        <w:fldChar w:fldCharType="end"/>
      </w:r>
      <w:r w:rsidR="003C715F" w:rsidRPr="0022499F">
        <w:rPr>
          <w:lang w:val="pl-PL" w:eastAsia="en-US"/>
        </w:rPr>
        <w:t>.  </w:t>
      </w:r>
      <w:r w:rsidR="005A497F" w:rsidRPr="0022499F">
        <w:rPr>
          <w:lang w:val="pl-PL" w:eastAsia="en-US"/>
        </w:rPr>
        <w:t xml:space="preserve">Biorąc pod uwagę </w:t>
      </w:r>
      <w:r w:rsidR="00686DA5" w:rsidRPr="0022499F">
        <w:rPr>
          <w:lang w:val="pl-PL" w:eastAsia="en-US"/>
        </w:rPr>
        <w:t>przedłużającą</w:t>
      </w:r>
      <w:r w:rsidR="005A497F" w:rsidRPr="0022499F">
        <w:rPr>
          <w:lang w:val="pl-PL" w:eastAsia="en-US"/>
        </w:rPr>
        <w:t xml:space="preserve"> się </w:t>
      </w:r>
      <w:r w:rsidR="009B5F7D" w:rsidRPr="0022499F">
        <w:rPr>
          <w:lang w:val="pl-PL" w:eastAsia="en-US"/>
        </w:rPr>
        <w:t>obawę</w:t>
      </w:r>
      <w:r w:rsidR="005A497F" w:rsidRPr="0022499F">
        <w:rPr>
          <w:lang w:val="pl-PL" w:eastAsia="en-US"/>
        </w:rPr>
        <w:t xml:space="preserve"> i </w:t>
      </w:r>
      <w:r w:rsidR="009B5F7D" w:rsidRPr="0022499F">
        <w:rPr>
          <w:lang w:val="pl-PL" w:eastAsia="en-US"/>
        </w:rPr>
        <w:t>strach przed bezpośrednim ryzykiem</w:t>
      </w:r>
      <w:r w:rsidR="005A497F" w:rsidRPr="0022499F">
        <w:rPr>
          <w:lang w:val="pl-PL" w:eastAsia="en-US"/>
        </w:rPr>
        <w:t xml:space="preserve"> </w:t>
      </w:r>
      <w:r w:rsidR="009B5F7D" w:rsidRPr="0022499F">
        <w:rPr>
          <w:lang w:val="pl-PL" w:eastAsia="en-US"/>
        </w:rPr>
        <w:t>złego traktowania, jakich doświadczył</w:t>
      </w:r>
      <w:r w:rsidR="005A497F" w:rsidRPr="0022499F">
        <w:rPr>
          <w:lang w:val="pl-PL" w:eastAsia="en-US"/>
        </w:rPr>
        <w:t xml:space="preserve"> </w:t>
      </w:r>
      <w:r w:rsidR="009B5F7D" w:rsidRPr="0022499F">
        <w:rPr>
          <w:lang w:val="pl-PL" w:eastAsia="en-US"/>
        </w:rPr>
        <w:t xml:space="preserve">skarżący w okresie dłuższym niż rok spędzony w więzieniu w </w:t>
      </w:r>
      <w:proofErr w:type="spellStart"/>
      <w:r w:rsidR="009B5F7D" w:rsidRPr="0022499F">
        <w:rPr>
          <w:lang w:val="pl-PL" w:eastAsia="en-US"/>
        </w:rPr>
        <w:t>Daugavpils</w:t>
      </w:r>
      <w:proofErr w:type="spellEnd"/>
      <w:r w:rsidR="009B5F7D" w:rsidRPr="0022499F">
        <w:rPr>
          <w:lang w:val="pl-PL" w:eastAsia="en-US"/>
        </w:rPr>
        <w:t>, a także</w:t>
      </w:r>
      <w:r w:rsidR="005A497F" w:rsidRPr="0022499F">
        <w:rPr>
          <w:lang w:val="pl-PL" w:eastAsia="en-US"/>
        </w:rPr>
        <w:t xml:space="preserve"> niedo</w:t>
      </w:r>
      <w:r w:rsidR="009B5F7D" w:rsidRPr="0022499F">
        <w:rPr>
          <w:lang w:val="pl-PL" w:eastAsia="en-US"/>
        </w:rPr>
        <w:t xml:space="preserve">stępność środka krajowego, który pozwoliłoby zaradzić tej sytuacji, </w:t>
      </w:r>
      <w:r w:rsidR="005A497F" w:rsidRPr="0022499F">
        <w:rPr>
          <w:lang w:val="pl-PL" w:eastAsia="en-US"/>
        </w:rPr>
        <w:t>Trybunał dochodzi do wn</w:t>
      </w:r>
      <w:r w:rsidR="009B5F7D" w:rsidRPr="0022499F">
        <w:rPr>
          <w:lang w:val="pl-PL" w:eastAsia="en-US"/>
        </w:rPr>
        <w:t>iosku, że doszło do naruszenia A</w:t>
      </w:r>
      <w:r w:rsidR="005A497F" w:rsidRPr="0022499F">
        <w:rPr>
          <w:lang w:val="pl-PL" w:eastAsia="en-US"/>
        </w:rPr>
        <w:t xml:space="preserve">rtykułu 3 </w:t>
      </w:r>
      <w:proofErr w:type="spellStart"/>
      <w:r w:rsidR="005A497F" w:rsidRPr="0022499F">
        <w:rPr>
          <w:lang w:val="pl-PL" w:eastAsia="en-US"/>
        </w:rPr>
        <w:t>Konwencj</w:t>
      </w:r>
      <w:proofErr w:type="spellEnd"/>
      <w:r w:rsidR="005A497F" w:rsidRPr="0022499F">
        <w:rPr>
          <w:lang w:val="pl-PL" w:eastAsia="en-US"/>
        </w:rPr>
        <w:t>.</w:t>
      </w:r>
    </w:p>
    <w:p w:rsidR="00F71A6A" w:rsidRPr="0022499F" w:rsidRDefault="007479B8">
      <w:pPr>
        <w:pStyle w:val="JuHIRoman"/>
        <w:rPr>
          <w:lang w:val="pl-PL"/>
        </w:rPr>
      </w:pPr>
      <w:r w:rsidRPr="0022499F">
        <w:rPr>
          <w:lang w:val="pl-PL"/>
        </w:rPr>
        <w:t>II</w:t>
      </w:r>
      <w:r w:rsidR="00F71A6A" w:rsidRPr="0022499F">
        <w:rPr>
          <w:lang w:val="pl-PL"/>
        </w:rPr>
        <w:t>.  </w:t>
      </w:r>
      <w:r w:rsidR="005C6B99" w:rsidRPr="0022499F">
        <w:rPr>
          <w:lang w:val="pl-PL"/>
        </w:rPr>
        <w:t>POZOSTAŁE ZARZUTY NARUSZENIA KONWENCJI</w:t>
      </w:r>
    </w:p>
    <w:p w:rsidR="00F71A6A" w:rsidRPr="0022499F" w:rsidRDefault="00DC3E30" w:rsidP="002F4BCF">
      <w:pPr>
        <w:pStyle w:val="JuPara"/>
        <w:rPr>
          <w:i/>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96</w:t>
      </w:r>
      <w:r w:rsidRPr="0022499F">
        <w:rPr>
          <w:lang w:val="pl-PL"/>
        </w:rPr>
        <w:fldChar w:fldCharType="end"/>
      </w:r>
      <w:r w:rsidR="00F71A6A" w:rsidRPr="0022499F">
        <w:rPr>
          <w:lang w:val="pl-PL"/>
        </w:rPr>
        <w:t>.  </w:t>
      </w:r>
      <w:r w:rsidR="005C6B99" w:rsidRPr="0022499F">
        <w:rPr>
          <w:lang w:val="pl-PL"/>
        </w:rPr>
        <w:t xml:space="preserve">Wreszcie, skarżący przedstawił różne zarzuty na podstawie Artykułów 6, 13 i 14 Konwencji. Jednakże w świetle całego materiału znajdującego się w posiadaniu Trybunału, </w:t>
      </w:r>
      <w:r w:rsidR="00D4376E" w:rsidRPr="0022499F">
        <w:rPr>
          <w:lang w:val="pl-PL"/>
        </w:rPr>
        <w:t xml:space="preserve">a także </w:t>
      </w:r>
      <w:r w:rsidR="00A50C94" w:rsidRPr="0022499F">
        <w:rPr>
          <w:lang w:val="pl-PL"/>
        </w:rPr>
        <w:t>w zakresie, w jakim zaskarżone kwestie pozostają w</w:t>
      </w:r>
      <w:r w:rsidR="005C6B99" w:rsidRPr="0022499F">
        <w:rPr>
          <w:lang w:val="pl-PL"/>
        </w:rPr>
        <w:t xml:space="preserve"> jego kompetencji, Trybunał stwierdza, że nie ujawni</w:t>
      </w:r>
      <w:r w:rsidR="00A50C94" w:rsidRPr="0022499F">
        <w:rPr>
          <w:lang w:val="pl-PL"/>
        </w:rPr>
        <w:t>ono żadnego n</w:t>
      </w:r>
      <w:r w:rsidR="005C6B99" w:rsidRPr="0022499F">
        <w:rPr>
          <w:lang w:val="pl-PL"/>
        </w:rPr>
        <w:t>aruszenia praw i wolności o</w:t>
      </w:r>
      <w:r w:rsidR="00A50C94" w:rsidRPr="0022499F">
        <w:rPr>
          <w:lang w:val="pl-PL"/>
        </w:rPr>
        <w:t>kreślonych w Konwencji lub jej Protokołach</w:t>
      </w:r>
      <w:r w:rsidR="005C6B99" w:rsidRPr="0022499F">
        <w:rPr>
          <w:lang w:val="pl-PL"/>
        </w:rPr>
        <w:t>. Wynika z tego, że ta część skargi jest oczywiście bezzasadna i m</w:t>
      </w:r>
      <w:r w:rsidR="00A50C94" w:rsidRPr="0022499F">
        <w:rPr>
          <w:lang w:val="pl-PL"/>
        </w:rPr>
        <w:t>usi zostać odrzucona zgodnie z A</w:t>
      </w:r>
      <w:r w:rsidR="005C6B99" w:rsidRPr="0022499F">
        <w:rPr>
          <w:lang w:val="pl-PL"/>
        </w:rPr>
        <w:t>rtykułem 35 §§ 3 (a) i 4 Konwencji</w:t>
      </w:r>
      <w:r w:rsidR="00BC2C06" w:rsidRPr="0022499F">
        <w:rPr>
          <w:i/>
          <w:lang w:val="pl-PL"/>
        </w:rPr>
        <w:t>.</w:t>
      </w:r>
    </w:p>
    <w:p w:rsidR="00F71A6A" w:rsidRPr="0022499F" w:rsidRDefault="007479B8" w:rsidP="00435D95">
      <w:pPr>
        <w:pStyle w:val="JuHIRoman"/>
        <w:keepNext w:val="0"/>
        <w:keepLines w:val="0"/>
        <w:rPr>
          <w:lang w:val="pl-PL"/>
        </w:rPr>
      </w:pPr>
      <w:r w:rsidRPr="0022499F">
        <w:rPr>
          <w:lang w:val="pl-PL"/>
        </w:rPr>
        <w:t>III</w:t>
      </w:r>
      <w:r w:rsidR="00F71A6A" w:rsidRPr="0022499F">
        <w:rPr>
          <w:lang w:val="pl-PL"/>
        </w:rPr>
        <w:t>.  </w:t>
      </w:r>
      <w:r w:rsidR="004F65C6" w:rsidRPr="0022499F">
        <w:rPr>
          <w:lang w:val="pl-PL"/>
        </w:rPr>
        <w:t>ZASTOSOWANIE ARTYKUŁU 41 KONWENCJI</w:t>
      </w:r>
    </w:p>
    <w:p w:rsidR="00F71A6A" w:rsidRPr="0022499F" w:rsidRDefault="00DC3E30" w:rsidP="00435D95">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97</w:t>
      </w:r>
      <w:r w:rsidRPr="0022499F">
        <w:rPr>
          <w:lang w:val="pl-PL"/>
        </w:rPr>
        <w:fldChar w:fldCharType="end"/>
      </w:r>
      <w:r w:rsidR="00F71A6A" w:rsidRPr="0022499F">
        <w:rPr>
          <w:lang w:val="pl-PL"/>
        </w:rPr>
        <w:t>.  </w:t>
      </w:r>
      <w:r w:rsidR="004F65C6" w:rsidRPr="0022499F">
        <w:rPr>
          <w:lang w:val="pl-PL"/>
        </w:rPr>
        <w:t>Artykuł 41 Konwencji stanowi</w:t>
      </w:r>
      <w:r w:rsidR="00F71A6A" w:rsidRPr="0022499F">
        <w:rPr>
          <w:lang w:val="pl-PL"/>
        </w:rPr>
        <w:t>:</w:t>
      </w:r>
    </w:p>
    <w:p w:rsidR="00F71A6A" w:rsidRPr="0022499F" w:rsidRDefault="00F71A6A" w:rsidP="00435D95">
      <w:pPr>
        <w:pStyle w:val="JuQuot"/>
        <w:rPr>
          <w:lang w:val="pl-PL"/>
        </w:rPr>
      </w:pPr>
      <w:r w:rsidRPr="0022499F">
        <w:rPr>
          <w:lang w:val="pl-PL"/>
        </w:rPr>
        <w:t>“</w:t>
      </w:r>
      <w:r w:rsidR="004F65C6" w:rsidRPr="0022499F">
        <w:rPr>
          <w:lang w:val="pl-PL"/>
        </w:rPr>
        <w:t>Jeśli Trybunał stwierdzi, że nastąpiło naruszenie niniejszej konwencji lub jej protokołów, oraz jeśli prawo wewnętrzne zainteresowanej Wysokiej Układającej się Strony pozwala tylko na częściowe usunięcie konsekwencji tego naruszenia, Trybunał orzeka, gdy zachodzi potrzeba, słuszne zadośćuczynienie pokrzywdzonej stronie</w:t>
      </w:r>
      <w:r w:rsidRPr="0022499F">
        <w:rPr>
          <w:lang w:val="pl-PL"/>
        </w:rPr>
        <w:t>.”</w:t>
      </w:r>
    </w:p>
    <w:p w:rsidR="00F71A6A" w:rsidRPr="0022499F" w:rsidRDefault="00F71A6A" w:rsidP="008824B9">
      <w:pPr>
        <w:pStyle w:val="JuHA"/>
        <w:keepLines w:val="0"/>
        <w:outlineLvl w:val="0"/>
        <w:rPr>
          <w:lang w:val="pl-PL"/>
        </w:rPr>
      </w:pPr>
      <w:r w:rsidRPr="0022499F">
        <w:rPr>
          <w:lang w:val="pl-PL"/>
        </w:rPr>
        <w:t>A.  </w:t>
      </w:r>
      <w:r w:rsidR="004F65C6" w:rsidRPr="0022499F">
        <w:rPr>
          <w:lang w:val="pl-PL"/>
        </w:rPr>
        <w:t>Szkoda</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98</w:t>
      </w:r>
      <w:r w:rsidRPr="0022499F">
        <w:rPr>
          <w:lang w:val="pl-PL"/>
        </w:rPr>
        <w:fldChar w:fldCharType="end"/>
      </w:r>
      <w:r w:rsidR="00F71A6A" w:rsidRPr="0022499F">
        <w:rPr>
          <w:lang w:val="pl-PL"/>
        </w:rPr>
        <w:t>.  </w:t>
      </w:r>
      <w:r w:rsidR="004F65C6" w:rsidRPr="0022499F">
        <w:rPr>
          <w:lang w:val="pl-PL"/>
        </w:rPr>
        <w:t xml:space="preserve">Skarżący zażądał 50 000 </w:t>
      </w:r>
      <w:proofErr w:type="spellStart"/>
      <w:r w:rsidR="004F65C6" w:rsidRPr="0022499F">
        <w:rPr>
          <w:lang w:val="pl-PL"/>
        </w:rPr>
        <w:t>łotweskich</w:t>
      </w:r>
      <w:proofErr w:type="spellEnd"/>
      <w:r w:rsidR="004F65C6" w:rsidRPr="0022499F">
        <w:rPr>
          <w:lang w:val="pl-PL"/>
        </w:rPr>
        <w:t xml:space="preserve"> </w:t>
      </w:r>
      <w:proofErr w:type="spellStart"/>
      <w:r w:rsidR="004F65C6" w:rsidRPr="0022499F">
        <w:rPr>
          <w:lang w:val="pl-PL"/>
        </w:rPr>
        <w:t>lati</w:t>
      </w:r>
      <w:proofErr w:type="spellEnd"/>
      <w:r w:rsidR="004F65C6" w:rsidRPr="0022499F">
        <w:rPr>
          <w:lang w:val="pl-PL"/>
        </w:rPr>
        <w:t xml:space="preserve"> (około 71 360 euro (EUR) jako odszkodowanie z tytułu szkody niemajątkowej</w:t>
      </w:r>
      <w:r w:rsidR="00F71A6A" w:rsidRPr="0022499F">
        <w:rPr>
          <w:lang w:val="pl-PL"/>
        </w:rPr>
        <w:t>.</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99</w:t>
      </w:r>
      <w:r w:rsidRPr="0022499F">
        <w:rPr>
          <w:lang w:val="pl-PL"/>
        </w:rPr>
        <w:fldChar w:fldCharType="end"/>
      </w:r>
      <w:r w:rsidR="00F71A6A" w:rsidRPr="0022499F">
        <w:rPr>
          <w:lang w:val="pl-PL"/>
        </w:rPr>
        <w:t>.  </w:t>
      </w:r>
      <w:r w:rsidR="004F65C6" w:rsidRPr="0022499F">
        <w:rPr>
          <w:lang w:val="pl-PL"/>
        </w:rPr>
        <w:t>Rząd uznał roszczenie skarżącego za nadmierne</w:t>
      </w:r>
      <w:r w:rsidR="00042B9B" w:rsidRPr="0022499F">
        <w:rPr>
          <w:lang w:val="pl-PL"/>
        </w:rPr>
        <w:t>.</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100</w:t>
      </w:r>
      <w:r w:rsidRPr="0022499F">
        <w:rPr>
          <w:lang w:val="pl-PL"/>
        </w:rPr>
        <w:fldChar w:fldCharType="end"/>
      </w:r>
      <w:r w:rsidR="00686DA5" w:rsidRPr="0022499F">
        <w:rPr>
          <w:lang w:val="pl-PL"/>
        </w:rPr>
        <w:t>. </w:t>
      </w:r>
      <w:r w:rsidR="004F65C6" w:rsidRPr="0022499F">
        <w:rPr>
          <w:lang w:val="pl-PL"/>
        </w:rPr>
        <w:t>Trybunał, orzekając na zasadzie słuszności, przyznaje skarżącemu 8 000 euro z tytułu szkody niemajątkowej</w:t>
      </w:r>
      <w:r w:rsidR="00F71A6A" w:rsidRPr="0022499F">
        <w:rPr>
          <w:lang w:val="pl-PL"/>
        </w:rPr>
        <w:t>.</w:t>
      </w:r>
    </w:p>
    <w:p w:rsidR="00F71A6A" w:rsidRPr="0022499F" w:rsidRDefault="00F71A6A" w:rsidP="008824B9">
      <w:pPr>
        <w:pStyle w:val="JuHA"/>
        <w:outlineLvl w:val="0"/>
        <w:rPr>
          <w:lang w:val="pl-PL"/>
        </w:rPr>
      </w:pPr>
      <w:r w:rsidRPr="0022499F">
        <w:rPr>
          <w:lang w:val="pl-PL"/>
        </w:rPr>
        <w:lastRenderedPageBreak/>
        <w:t>B.  </w:t>
      </w:r>
      <w:r w:rsidR="004F65C6" w:rsidRPr="0022499F">
        <w:rPr>
          <w:lang w:val="pl-PL"/>
        </w:rPr>
        <w:t>Koszty i wydatki</w:t>
      </w:r>
    </w:p>
    <w:p w:rsidR="00F71A6A" w:rsidRPr="0022499F" w:rsidRDefault="00DC3E30" w:rsidP="002F4BCF">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101</w:t>
      </w:r>
      <w:r w:rsidRPr="0022499F">
        <w:rPr>
          <w:lang w:val="pl-PL"/>
        </w:rPr>
        <w:fldChar w:fldCharType="end"/>
      </w:r>
      <w:r w:rsidR="00F71A6A" w:rsidRPr="0022499F">
        <w:rPr>
          <w:lang w:val="pl-PL"/>
        </w:rPr>
        <w:t>.  </w:t>
      </w:r>
      <w:r w:rsidR="004F65C6" w:rsidRPr="0022499F">
        <w:rPr>
          <w:lang w:val="pl-PL"/>
        </w:rPr>
        <w:t>Skarżący nie przedstawił żadnych roszczeń w stosunku do poniesionych kosztów i wydatków.</w:t>
      </w:r>
    </w:p>
    <w:p w:rsidR="00F71A6A" w:rsidRPr="0022499F" w:rsidRDefault="00F71A6A" w:rsidP="008824B9">
      <w:pPr>
        <w:pStyle w:val="JuHA"/>
        <w:outlineLvl w:val="0"/>
        <w:rPr>
          <w:lang w:val="pl-PL"/>
        </w:rPr>
      </w:pPr>
      <w:r w:rsidRPr="0022499F">
        <w:rPr>
          <w:lang w:val="pl-PL"/>
        </w:rPr>
        <w:t>C.  </w:t>
      </w:r>
      <w:r w:rsidR="004F65C6" w:rsidRPr="0022499F">
        <w:rPr>
          <w:lang w:val="pl-PL"/>
        </w:rPr>
        <w:t xml:space="preserve">Odsetki za </w:t>
      </w:r>
      <w:proofErr w:type="spellStart"/>
      <w:r w:rsidR="004F65C6" w:rsidRPr="0022499F">
        <w:rPr>
          <w:lang w:val="pl-PL"/>
        </w:rPr>
        <w:t>zwołkę</w:t>
      </w:r>
      <w:proofErr w:type="spellEnd"/>
    </w:p>
    <w:p w:rsidR="00F71A6A" w:rsidRPr="0022499F" w:rsidRDefault="00DC3E30" w:rsidP="00151CCA">
      <w:pPr>
        <w:pStyle w:val="JuPara"/>
        <w:rPr>
          <w:lang w:val="pl-PL"/>
        </w:rPr>
      </w:pPr>
      <w:r w:rsidRPr="0022499F">
        <w:rPr>
          <w:lang w:val="pl-PL"/>
        </w:rPr>
        <w:fldChar w:fldCharType="begin"/>
      </w:r>
      <w:r w:rsidR="00832702" w:rsidRPr="0022499F">
        <w:rPr>
          <w:lang w:val="pl-PL"/>
        </w:rPr>
        <w:instrText xml:space="preserve"> SEQ level0 \*arabic </w:instrText>
      </w:r>
      <w:r w:rsidRPr="0022499F">
        <w:rPr>
          <w:lang w:val="pl-PL"/>
        </w:rPr>
        <w:fldChar w:fldCharType="separate"/>
      </w:r>
      <w:r w:rsidR="000E0C74" w:rsidRPr="0022499F">
        <w:rPr>
          <w:noProof/>
          <w:lang w:val="pl-PL"/>
        </w:rPr>
        <w:t>102</w:t>
      </w:r>
      <w:r w:rsidRPr="0022499F">
        <w:rPr>
          <w:lang w:val="pl-PL"/>
        </w:rPr>
        <w:fldChar w:fldCharType="end"/>
      </w:r>
      <w:r w:rsidR="00F71A6A" w:rsidRPr="0022499F">
        <w:rPr>
          <w:lang w:val="pl-PL"/>
        </w:rPr>
        <w:t>.  </w:t>
      </w:r>
      <w:r w:rsidR="004F65C6" w:rsidRPr="0022499F">
        <w:rPr>
          <w:lang w:val="pl-PL"/>
        </w:rPr>
        <w:t>Trybunał uznaje za właściwe, aby odsetki za zwłokę były oparte na marginalnej stopie procentowej Europejskiego Banku Centralnego, powiększonej o trzy punkty procentowe.</w:t>
      </w:r>
    </w:p>
    <w:p w:rsidR="00F71A6A" w:rsidRPr="0022499F" w:rsidRDefault="004F65C6" w:rsidP="004F65C6">
      <w:pPr>
        <w:pStyle w:val="JuHHead"/>
        <w:keepLines w:val="0"/>
        <w:rPr>
          <w:lang w:val="pl-PL"/>
        </w:rPr>
      </w:pPr>
      <w:r w:rsidRPr="0022499F">
        <w:rPr>
          <w:lang w:val="pl-PL"/>
        </w:rPr>
        <w:t>Z TYCH WZGLĘDÓW TRYBUNAŁ JEDNOGŁOŚNIE</w:t>
      </w:r>
    </w:p>
    <w:p w:rsidR="00F71A6A" w:rsidRPr="0022499F" w:rsidRDefault="00910131">
      <w:pPr>
        <w:pStyle w:val="JuList"/>
        <w:rPr>
          <w:lang w:val="pl-PL"/>
        </w:rPr>
      </w:pPr>
      <w:r w:rsidRPr="0022499F">
        <w:rPr>
          <w:lang w:val="pl-PL"/>
        </w:rPr>
        <w:t>1</w:t>
      </w:r>
      <w:r w:rsidR="009F07CC" w:rsidRPr="0022499F">
        <w:rPr>
          <w:lang w:val="pl-PL"/>
        </w:rPr>
        <w:t>.  </w:t>
      </w:r>
      <w:r w:rsidR="006B3CAC" w:rsidRPr="0022499F">
        <w:rPr>
          <w:i/>
          <w:lang w:val="pl-PL"/>
        </w:rPr>
        <w:t>Uznaje</w:t>
      </w:r>
      <w:r w:rsidR="006B3CAC" w:rsidRPr="0022499F">
        <w:rPr>
          <w:lang w:val="pl-PL"/>
        </w:rPr>
        <w:t xml:space="preserve"> skargę w części dotyczącej opóźnienia w zarządzeniu przeniesienia skarżącego do więzienia </w:t>
      </w:r>
      <w:proofErr w:type="spellStart"/>
      <w:r w:rsidR="006B3CAC" w:rsidRPr="0022499F">
        <w:rPr>
          <w:lang w:val="pl-PL"/>
        </w:rPr>
        <w:t>Matīsa</w:t>
      </w:r>
      <w:proofErr w:type="spellEnd"/>
      <w:r w:rsidR="006B3CAC" w:rsidRPr="0022499F">
        <w:rPr>
          <w:lang w:val="pl-PL"/>
        </w:rPr>
        <w:t xml:space="preserve"> i rzekomej niedostępności skutecznego środka odwoławczego za dopuszczalną, a pozostałą część skargi za niedopuszczalną</w:t>
      </w:r>
      <w:r w:rsidR="0011665B" w:rsidRPr="0022499F">
        <w:rPr>
          <w:lang w:val="pl-PL"/>
        </w:rPr>
        <w:t>;</w:t>
      </w:r>
    </w:p>
    <w:p w:rsidR="00F71A6A" w:rsidRPr="0022499F" w:rsidRDefault="00F71A6A">
      <w:pPr>
        <w:pStyle w:val="JuList"/>
        <w:rPr>
          <w:lang w:val="pl-PL"/>
        </w:rPr>
      </w:pPr>
    </w:p>
    <w:p w:rsidR="009F07CC" w:rsidRPr="0022499F" w:rsidRDefault="00910131" w:rsidP="009F07CC">
      <w:pPr>
        <w:pStyle w:val="JuList"/>
        <w:rPr>
          <w:lang w:val="pl-PL"/>
        </w:rPr>
      </w:pPr>
      <w:r w:rsidRPr="0022499F">
        <w:rPr>
          <w:lang w:val="pl-PL"/>
        </w:rPr>
        <w:t>2</w:t>
      </w:r>
      <w:r w:rsidR="009F07CC" w:rsidRPr="0022499F">
        <w:rPr>
          <w:lang w:val="pl-PL"/>
        </w:rPr>
        <w:t>.</w:t>
      </w:r>
      <w:r w:rsidR="00F71A6A" w:rsidRPr="0022499F">
        <w:rPr>
          <w:lang w:val="pl-PL"/>
        </w:rPr>
        <w:t>  </w:t>
      </w:r>
      <w:r w:rsidR="006B3CAC" w:rsidRPr="0022499F">
        <w:rPr>
          <w:i/>
          <w:lang w:val="pl-PL"/>
        </w:rPr>
        <w:t xml:space="preserve">Stwierdza, </w:t>
      </w:r>
      <w:r w:rsidR="006B3CAC" w:rsidRPr="0022499F">
        <w:rPr>
          <w:lang w:val="pl-PL"/>
        </w:rPr>
        <w:t>iż doszło do naruszenia</w:t>
      </w:r>
      <w:r w:rsidR="006B3CAC" w:rsidRPr="0022499F">
        <w:rPr>
          <w:i/>
          <w:lang w:val="pl-PL"/>
        </w:rPr>
        <w:t xml:space="preserve"> </w:t>
      </w:r>
      <w:r w:rsidR="006B3CAC" w:rsidRPr="0022499F">
        <w:rPr>
          <w:lang w:val="pl-PL"/>
        </w:rPr>
        <w:t>Artykułu 3 Konwencji</w:t>
      </w:r>
      <w:r w:rsidR="00F71A6A" w:rsidRPr="0022499F">
        <w:rPr>
          <w:lang w:val="pl-PL"/>
        </w:rPr>
        <w:t>;</w:t>
      </w:r>
    </w:p>
    <w:p w:rsidR="00F71A6A" w:rsidRPr="0022499F" w:rsidRDefault="00F71A6A">
      <w:pPr>
        <w:pStyle w:val="JuList"/>
        <w:rPr>
          <w:lang w:val="pl-PL"/>
        </w:rPr>
      </w:pPr>
    </w:p>
    <w:p w:rsidR="00D870DC" w:rsidRPr="0022499F" w:rsidRDefault="00AB647F" w:rsidP="00901475">
      <w:pPr>
        <w:pStyle w:val="JuList"/>
        <w:rPr>
          <w:lang w:val="pl-PL"/>
        </w:rPr>
      </w:pPr>
      <w:r w:rsidRPr="0022499F">
        <w:rPr>
          <w:lang w:val="pl-PL"/>
        </w:rPr>
        <w:t>3</w:t>
      </w:r>
      <w:r w:rsidR="00F71A6A" w:rsidRPr="0022499F">
        <w:rPr>
          <w:lang w:val="pl-PL"/>
        </w:rPr>
        <w:t>.  </w:t>
      </w:r>
      <w:r w:rsidR="006B3CAC" w:rsidRPr="0022499F">
        <w:rPr>
          <w:i/>
          <w:lang w:val="pl-PL"/>
        </w:rPr>
        <w:t>Stwierdza</w:t>
      </w:r>
    </w:p>
    <w:p w:rsidR="00AB647F" w:rsidRPr="0022499F" w:rsidRDefault="00AB647F" w:rsidP="006B3CAC">
      <w:pPr>
        <w:pStyle w:val="JuLista"/>
        <w:rPr>
          <w:i/>
          <w:lang w:val="pl-PL"/>
        </w:rPr>
      </w:pPr>
      <w:r w:rsidRPr="0022499F">
        <w:rPr>
          <w:lang w:val="pl-PL"/>
        </w:rPr>
        <w:t>(a)  </w:t>
      </w:r>
      <w:r w:rsidR="006B3CAC" w:rsidRPr="0022499F">
        <w:rPr>
          <w:lang w:val="pl-PL"/>
        </w:rPr>
        <w:t>że pozwane Państwo ma zapłacić skarżącemu w terminie trzech miesięcy od dnia, w którym wyrok stanie się ostateczny zgodnie z Artykułem 44 § 2 Konwencji, kwotę 8 000 EUR (osiem tysięcy euro) wraz z wszelkimi podatkami, jakie mogą podlegać naliczeniu, z tytułu szkody niemajątkowej;</w:t>
      </w:r>
    </w:p>
    <w:p w:rsidR="003104E9" w:rsidRPr="0022499F" w:rsidRDefault="00AB647F" w:rsidP="00AB647F">
      <w:pPr>
        <w:pStyle w:val="JuLista"/>
        <w:rPr>
          <w:lang w:val="pl-PL"/>
        </w:rPr>
      </w:pPr>
      <w:r w:rsidRPr="0022499F">
        <w:rPr>
          <w:lang w:val="pl-PL"/>
        </w:rPr>
        <w:t>(b)  </w:t>
      </w:r>
      <w:r w:rsidR="006B3CAC" w:rsidRPr="0022499F">
        <w:rPr>
          <w:lang w:val="pl-PL"/>
        </w:rPr>
        <w:t>że po upływie powyższego trzymiesięcznego terminu do momentu zapłaty, winny zostać naliczone od powyższych kwot odsetki zwykłe według marginalnej stopy procentowej Europejskiego Banku Centralnego, powiększonej o trzy punkty procentowe;</w:t>
      </w:r>
    </w:p>
    <w:p w:rsidR="00F71A6A" w:rsidRPr="0022499F" w:rsidRDefault="00F71A6A">
      <w:pPr>
        <w:pStyle w:val="JuList"/>
        <w:rPr>
          <w:lang w:val="pl-PL"/>
        </w:rPr>
      </w:pPr>
    </w:p>
    <w:p w:rsidR="00F71A6A" w:rsidRPr="0022499F" w:rsidRDefault="00435D95" w:rsidP="00435D95">
      <w:pPr>
        <w:pStyle w:val="JuList"/>
        <w:keepNext/>
        <w:keepLines/>
        <w:rPr>
          <w:lang w:val="pl-PL"/>
        </w:rPr>
      </w:pPr>
      <w:r w:rsidRPr="0022499F">
        <w:rPr>
          <w:lang w:val="pl-PL"/>
        </w:rPr>
        <w:t>4</w:t>
      </w:r>
      <w:r w:rsidR="00F71A6A" w:rsidRPr="0022499F">
        <w:rPr>
          <w:lang w:val="pl-PL"/>
        </w:rPr>
        <w:t>.  </w:t>
      </w:r>
      <w:r w:rsidR="006B3CAC" w:rsidRPr="0022499F">
        <w:rPr>
          <w:i/>
          <w:lang w:val="pl-PL"/>
        </w:rPr>
        <w:t>Oddala</w:t>
      </w:r>
      <w:r w:rsidR="006B3CAC" w:rsidRPr="0022499F">
        <w:rPr>
          <w:lang w:val="pl-PL"/>
        </w:rPr>
        <w:t xml:space="preserve"> pozostałą </w:t>
      </w:r>
      <w:r w:rsidR="006B3CAC" w:rsidRPr="0022499F">
        <w:rPr>
          <w:color w:val="000000"/>
          <w:lang w:val="pl-PL"/>
        </w:rPr>
        <w:t>część żądania skarżącego o słuszne zadośćuczynienie</w:t>
      </w:r>
      <w:r w:rsidR="00F71A6A" w:rsidRPr="0022499F">
        <w:rPr>
          <w:lang w:val="pl-PL"/>
        </w:rPr>
        <w:t>.</w:t>
      </w:r>
    </w:p>
    <w:p w:rsidR="00325C2B" w:rsidRPr="0022499F" w:rsidRDefault="006B3CAC" w:rsidP="006B3CAC">
      <w:pPr>
        <w:pStyle w:val="JuParaLast"/>
        <w:rPr>
          <w:lang w:val="pl-PL"/>
        </w:rPr>
      </w:pPr>
      <w:r w:rsidRPr="0022499F">
        <w:rPr>
          <w:lang w:val="pl-PL"/>
        </w:rPr>
        <w:t xml:space="preserve">Sporządzono w języku angielskim i notyfikowano na piśmie </w:t>
      </w:r>
      <w:r w:rsidRPr="0022499F">
        <w:rPr>
          <w:lang w:val="pl-PL"/>
        </w:rPr>
        <w:br/>
        <w:t>w dniu 29 października 2013 roku, zgodnie z Regułą 77 §§ 2 i 3 Regulaminu Trybunału.</w:t>
      </w:r>
    </w:p>
    <w:p w:rsidR="0079187F" w:rsidRPr="0022499F" w:rsidRDefault="00325C2B" w:rsidP="00C01E1C">
      <w:pPr>
        <w:pStyle w:val="JuSigned"/>
        <w:keepNext/>
        <w:keepLines/>
        <w:rPr>
          <w:lang w:val="pl-PL"/>
        </w:rPr>
      </w:pPr>
      <w:r w:rsidRPr="0022499F">
        <w:rPr>
          <w:lang w:val="pl-PL"/>
        </w:rPr>
        <w:tab/>
      </w:r>
      <w:proofErr w:type="spellStart"/>
      <w:r w:rsidR="00983540" w:rsidRPr="0022499F">
        <w:rPr>
          <w:lang w:val="pl-PL"/>
        </w:rPr>
        <w:t>Françoise</w:t>
      </w:r>
      <w:proofErr w:type="spellEnd"/>
      <w:r w:rsidR="00983540" w:rsidRPr="0022499F">
        <w:rPr>
          <w:lang w:val="pl-PL"/>
        </w:rPr>
        <w:t xml:space="preserve"> </w:t>
      </w:r>
      <w:proofErr w:type="spellStart"/>
      <w:r w:rsidR="00983540" w:rsidRPr="0022499F">
        <w:rPr>
          <w:lang w:val="pl-PL"/>
        </w:rPr>
        <w:t>Elens</w:t>
      </w:r>
      <w:proofErr w:type="spellEnd"/>
      <w:r w:rsidR="00983540" w:rsidRPr="0022499F">
        <w:rPr>
          <w:lang w:val="pl-PL"/>
        </w:rPr>
        <w:t>-Passos</w:t>
      </w:r>
      <w:r w:rsidR="00A8381C" w:rsidRPr="0022499F">
        <w:rPr>
          <w:lang w:val="pl-PL"/>
        </w:rPr>
        <w:tab/>
      </w:r>
      <w:r w:rsidR="00832702" w:rsidRPr="0022499F">
        <w:rPr>
          <w:szCs w:val="24"/>
          <w:lang w:val="pl-PL"/>
        </w:rPr>
        <w:t xml:space="preserve">David </w:t>
      </w:r>
      <w:proofErr w:type="spellStart"/>
      <w:r w:rsidR="00832702" w:rsidRPr="0022499F">
        <w:rPr>
          <w:szCs w:val="24"/>
          <w:lang w:val="pl-PL"/>
        </w:rPr>
        <w:t>Thór</w:t>
      </w:r>
      <w:proofErr w:type="spellEnd"/>
      <w:r w:rsidR="00832702" w:rsidRPr="0022499F">
        <w:rPr>
          <w:szCs w:val="24"/>
          <w:lang w:val="pl-PL"/>
        </w:rPr>
        <w:t xml:space="preserve"> </w:t>
      </w:r>
      <w:proofErr w:type="spellStart"/>
      <w:r w:rsidR="00832702" w:rsidRPr="0022499F">
        <w:rPr>
          <w:szCs w:val="24"/>
          <w:lang w:val="pl-PL"/>
        </w:rPr>
        <w:t>Björgvinsson</w:t>
      </w:r>
      <w:proofErr w:type="spellEnd"/>
      <w:r w:rsidR="00D870DC" w:rsidRPr="0022499F">
        <w:rPr>
          <w:szCs w:val="24"/>
          <w:lang w:val="pl-PL"/>
        </w:rPr>
        <w:br/>
      </w:r>
      <w:r w:rsidR="00A8381C" w:rsidRPr="0022499F">
        <w:rPr>
          <w:lang w:val="pl-PL"/>
        </w:rPr>
        <w:tab/>
      </w:r>
      <w:r w:rsidR="006B3CAC" w:rsidRPr="0022499F">
        <w:rPr>
          <w:iCs/>
          <w:lang w:val="pl-PL"/>
        </w:rPr>
        <w:t>Kanclerz</w:t>
      </w:r>
      <w:r w:rsidR="00A8381C" w:rsidRPr="0022499F">
        <w:rPr>
          <w:lang w:val="pl-PL"/>
        </w:rPr>
        <w:tab/>
        <w:t>Pr</w:t>
      </w:r>
      <w:r w:rsidR="006B3CAC" w:rsidRPr="0022499F">
        <w:rPr>
          <w:lang w:val="pl-PL"/>
        </w:rPr>
        <w:t>zewodniczący</w:t>
      </w:r>
    </w:p>
    <w:p w:rsidR="00D870DC" w:rsidRPr="0022499F" w:rsidRDefault="00D870DC" w:rsidP="00D870DC">
      <w:pPr>
        <w:pStyle w:val="JuParaLast"/>
        <w:rPr>
          <w:lang w:val="pl-PL"/>
        </w:rPr>
      </w:pPr>
    </w:p>
    <w:sectPr w:rsidR="00D870DC" w:rsidRPr="0022499F" w:rsidSect="00683DCB">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42" w:rsidRDefault="00AE2642">
      <w:r>
        <w:separator/>
      </w:r>
    </w:p>
  </w:endnote>
  <w:endnote w:type="continuationSeparator" w:id="0">
    <w:p w:rsidR="00AE2642" w:rsidRDefault="00AE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F0" w:rsidRPr="00150BFA" w:rsidRDefault="000809F0" w:rsidP="00943058">
    <w:pPr>
      <w:jc w:val="center"/>
    </w:pPr>
    <w:r>
      <w:rPr>
        <w:noProof/>
        <w:lang w:val="pl-PL" w:eastAsia="pl-PL"/>
      </w:rPr>
      <w:drawing>
        <wp:inline distT="0" distB="0" distL="0" distR="0" wp14:anchorId="65CF2344" wp14:editId="5688D060">
          <wp:extent cx="762000" cy="609600"/>
          <wp:effectExtent l="0" t="0" r="0" b="0"/>
          <wp:docPr id="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p w:rsidR="000809F0" w:rsidRDefault="000809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42" w:rsidRDefault="00AE2642">
      <w:r>
        <w:separator/>
      </w:r>
    </w:p>
  </w:footnote>
  <w:footnote w:type="continuationSeparator" w:id="0">
    <w:p w:rsidR="00AE2642" w:rsidRDefault="00AE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F0" w:rsidRPr="00683DCB" w:rsidRDefault="000809F0" w:rsidP="00683DCB">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F0" w:rsidRPr="00A45145" w:rsidRDefault="000809F0" w:rsidP="00943058">
    <w:pPr>
      <w:jc w:val="center"/>
    </w:pPr>
    <w:r>
      <w:rPr>
        <w:noProof/>
        <w:lang w:val="pl-PL" w:eastAsia="pl-PL"/>
      </w:rPr>
      <w:drawing>
        <wp:inline distT="0" distB="0" distL="0" distR="0" wp14:anchorId="3383554D" wp14:editId="506C4CE7">
          <wp:extent cx="2944495" cy="1219200"/>
          <wp:effectExtent l="0" t="0" r="8255" b="0"/>
          <wp:docPr id="1" name="Picture 14" descr="R:\1_Graphics&amp;Web\Court_Graphic_Charter\2013\ECHR_Stationery\Documents\Cover_Page\ECHR_CoverpageCS6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1_Graphics&amp;Web\Court_Graphic_Charter\2013\ECHR_Stationery\Documents\Cover_Page\ECHR_CoverpageCS6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495" cy="1219200"/>
                  </a:xfrm>
                  <a:prstGeom prst="rect">
                    <a:avLst/>
                  </a:prstGeom>
                  <a:noFill/>
                  <a:ln>
                    <a:noFill/>
                  </a:ln>
                </pic:spPr>
              </pic:pic>
            </a:graphicData>
          </a:graphic>
        </wp:inline>
      </w:drawing>
    </w:r>
  </w:p>
  <w:p w:rsidR="000809F0" w:rsidRDefault="000809F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F0" w:rsidRDefault="000809F0">
    <w:pPr>
      <w:pStyle w:val="JuHeader"/>
    </w:pPr>
    <w:r>
      <w:rPr>
        <w:rStyle w:val="Numerstrony"/>
      </w:rPr>
      <w:fldChar w:fldCharType="begin"/>
    </w:r>
    <w:r>
      <w:rPr>
        <w:rStyle w:val="Numerstrony"/>
      </w:rPr>
      <w:instrText xml:space="preserve"> PAGE </w:instrText>
    </w:r>
    <w:r>
      <w:rPr>
        <w:rStyle w:val="Numerstrony"/>
      </w:rPr>
      <w:fldChar w:fldCharType="separate"/>
    </w:r>
    <w:r w:rsidR="0022499F">
      <w:rPr>
        <w:rStyle w:val="Numerstrony"/>
        <w:noProof/>
      </w:rPr>
      <w:t>22</w:t>
    </w:r>
    <w:r>
      <w:rPr>
        <w:rStyle w:val="Numerstrony"/>
      </w:rPr>
      <w:fldChar w:fldCharType="end"/>
    </w:r>
    <w:r>
      <w:tab/>
      <w:t>WYROK D.F. p. ŁOTWIE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F0" w:rsidRDefault="000809F0">
    <w:pPr>
      <w:pStyle w:val="JuHeader"/>
    </w:pPr>
    <w:r>
      <w:tab/>
      <w:t>WYROK D.F. p. ŁOTWIE</w:t>
    </w:r>
    <w:r>
      <w:tab/>
    </w:r>
    <w:r>
      <w:rPr>
        <w:rStyle w:val="Numerstrony"/>
      </w:rPr>
      <w:fldChar w:fldCharType="begin"/>
    </w:r>
    <w:r>
      <w:rPr>
        <w:rStyle w:val="Numerstrony"/>
      </w:rPr>
      <w:instrText xml:space="preserve"> PAGE </w:instrText>
    </w:r>
    <w:r>
      <w:rPr>
        <w:rStyle w:val="Numerstrony"/>
      </w:rPr>
      <w:fldChar w:fldCharType="separate"/>
    </w:r>
    <w:r w:rsidR="0022499F">
      <w:rPr>
        <w:rStyle w:val="Numerstrony"/>
        <w:noProof/>
      </w:rPr>
      <w:t>21</w:t>
    </w:r>
    <w:r>
      <w:rPr>
        <w:rStyle w:val="Numerstrony"/>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6C27344"/>
    <w:lvl w:ilvl="0">
      <w:start w:val="1"/>
      <w:numFmt w:val="decimal"/>
      <w:pStyle w:val="Listanumerowana5"/>
      <w:lvlText w:val="%1."/>
      <w:lvlJc w:val="left"/>
      <w:pPr>
        <w:tabs>
          <w:tab w:val="num" w:pos="1492"/>
        </w:tabs>
        <w:ind w:left="1492" w:hanging="360"/>
      </w:pPr>
    </w:lvl>
  </w:abstractNum>
  <w:abstractNum w:abstractNumId="1">
    <w:nsid w:val="FFFFFF7D"/>
    <w:multiLevelType w:val="singleLevel"/>
    <w:tmpl w:val="FEDCD3BE"/>
    <w:lvl w:ilvl="0">
      <w:start w:val="1"/>
      <w:numFmt w:val="decimal"/>
      <w:pStyle w:val="Listanumerowana4"/>
      <w:lvlText w:val="%1."/>
      <w:lvlJc w:val="left"/>
      <w:pPr>
        <w:tabs>
          <w:tab w:val="num" w:pos="1209"/>
        </w:tabs>
        <w:ind w:left="1209" w:hanging="360"/>
      </w:pPr>
    </w:lvl>
  </w:abstractNum>
  <w:abstractNum w:abstractNumId="2">
    <w:nsid w:val="FFFFFF7E"/>
    <w:multiLevelType w:val="singleLevel"/>
    <w:tmpl w:val="21B44A14"/>
    <w:lvl w:ilvl="0">
      <w:start w:val="1"/>
      <w:numFmt w:val="decimal"/>
      <w:pStyle w:val="Listanumerowana3"/>
      <w:lvlText w:val="%1."/>
      <w:lvlJc w:val="left"/>
      <w:pPr>
        <w:tabs>
          <w:tab w:val="num" w:pos="926"/>
        </w:tabs>
        <w:ind w:left="926" w:hanging="360"/>
      </w:pPr>
    </w:lvl>
  </w:abstractNum>
  <w:abstractNum w:abstractNumId="3">
    <w:nsid w:val="FFFFFF7F"/>
    <w:multiLevelType w:val="singleLevel"/>
    <w:tmpl w:val="016CC6A8"/>
    <w:lvl w:ilvl="0">
      <w:start w:val="1"/>
      <w:numFmt w:val="decimal"/>
      <w:pStyle w:val="Listanumerowana2"/>
      <w:lvlText w:val="%1."/>
      <w:lvlJc w:val="left"/>
      <w:pPr>
        <w:tabs>
          <w:tab w:val="num" w:pos="643"/>
        </w:tabs>
        <w:ind w:left="643" w:hanging="360"/>
      </w:pPr>
    </w:lvl>
  </w:abstractNum>
  <w:abstractNum w:abstractNumId="4">
    <w:nsid w:val="FFFFFF80"/>
    <w:multiLevelType w:val="singleLevel"/>
    <w:tmpl w:val="D7B26C5E"/>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nsid w:val="FFFFFF81"/>
    <w:multiLevelType w:val="singleLevel"/>
    <w:tmpl w:val="249265A6"/>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nsid w:val="FFFFFF82"/>
    <w:multiLevelType w:val="singleLevel"/>
    <w:tmpl w:val="EE98D212"/>
    <w:lvl w:ilvl="0">
      <w:start w:val="1"/>
      <w:numFmt w:val="bullet"/>
      <w:pStyle w:val="Listapunktowana3"/>
      <w:lvlText w:val=""/>
      <w:lvlJc w:val="left"/>
      <w:pPr>
        <w:tabs>
          <w:tab w:val="num" w:pos="926"/>
        </w:tabs>
        <w:ind w:left="926" w:hanging="360"/>
      </w:pPr>
      <w:rPr>
        <w:rFonts w:ascii="Symbol" w:hAnsi="Symbol" w:hint="default"/>
      </w:rPr>
    </w:lvl>
  </w:abstractNum>
  <w:abstractNum w:abstractNumId="7">
    <w:nsid w:val="FFFFFF83"/>
    <w:multiLevelType w:val="singleLevel"/>
    <w:tmpl w:val="0A76A496"/>
    <w:lvl w:ilvl="0">
      <w:start w:val="1"/>
      <w:numFmt w:val="bullet"/>
      <w:pStyle w:val="Listapunktowana2"/>
      <w:lvlText w:val=""/>
      <w:lvlJc w:val="left"/>
      <w:pPr>
        <w:tabs>
          <w:tab w:val="num" w:pos="643"/>
        </w:tabs>
        <w:ind w:left="643" w:hanging="360"/>
      </w:pPr>
      <w:rPr>
        <w:rFonts w:ascii="Symbol" w:hAnsi="Symbol" w:hint="default"/>
      </w:rPr>
    </w:lvl>
  </w:abstractNum>
  <w:abstractNum w:abstractNumId="8">
    <w:nsid w:val="FFFFFF88"/>
    <w:multiLevelType w:val="singleLevel"/>
    <w:tmpl w:val="DE8C5388"/>
    <w:lvl w:ilvl="0">
      <w:start w:val="1"/>
      <w:numFmt w:val="decimal"/>
      <w:pStyle w:val="Listanumerowana"/>
      <w:lvlText w:val="%1."/>
      <w:lvlJc w:val="left"/>
      <w:pPr>
        <w:tabs>
          <w:tab w:val="num" w:pos="360"/>
        </w:tabs>
        <w:ind w:left="360" w:hanging="360"/>
      </w:pPr>
    </w:lvl>
  </w:abstractNum>
  <w:abstractNum w:abstractNumId="9">
    <w:nsid w:val="FFFFFF89"/>
    <w:multiLevelType w:val="singleLevel"/>
    <w:tmpl w:val="AEE8A85E"/>
    <w:lvl w:ilvl="0">
      <w:start w:val="1"/>
      <w:numFmt w:val="bullet"/>
      <w:lvlText w:val=""/>
      <w:lvlJc w:val="left"/>
      <w:pPr>
        <w:tabs>
          <w:tab w:val="num" w:pos="360"/>
        </w:tabs>
        <w:ind w:left="360" w:hanging="360"/>
      </w:pPr>
      <w:rPr>
        <w:rFonts w:ascii="Symbol" w:hAnsi="Symbol" w:hint="default"/>
      </w:rPr>
    </w:lvl>
  </w:abstractNum>
  <w:abstractNum w:abstractNumId="10">
    <w:nsid w:val="2974745A"/>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7D768F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A870607"/>
    <w:multiLevelType w:val="hybridMultilevel"/>
    <w:tmpl w:val="885CB958"/>
    <w:lvl w:ilvl="0" w:tplc="4942C1F6">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3">
    <w:nsid w:val="48AB1607"/>
    <w:multiLevelType w:val="hybridMultilevel"/>
    <w:tmpl w:val="399C7DB2"/>
    <w:lvl w:ilvl="0" w:tplc="E3723D12">
      <w:start w:val="3"/>
      <w:numFmt w:val="decimal"/>
      <w:lvlText w:val="%1)"/>
      <w:lvlJc w:val="left"/>
      <w:pPr>
        <w:tabs>
          <w:tab w:val="num" w:pos="791"/>
        </w:tabs>
        <w:ind w:left="791" w:hanging="360"/>
      </w:pPr>
      <w:rPr>
        <w:rFonts w:hint="default"/>
      </w:rPr>
    </w:lvl>
    <w:lvl w:ilvl="1" w:tplc="08090019" w:tentative="1">
      <w:start w:val="1"/>
      <w:numFmt w:val="lowerLetter"/>
      <w:lvlText w:val="%2."/>
      <w:lvlJc w:val="left"/>
      <w:pPr>
        <w:tabs>
          <w:tab w:val="num" w:pos="1511"/>
        </w:tabs>
        <w:ind w:left="1511" w:hanging="360"/>
      </w:pPr>
    </w:lvl>
    <w:lvl w:ilvl="2" w:tplc="0809001B" w:tentative="1">
      <w:start w:val="1"/>
      <w:numFmt w:val="lowerRoman"/>
      <w:lvlText w:val="%3."/>
      <w:lvlJc w:val="right"/>
      <w:pPr>
        <w:tabs>
          <w:tab w:val="num" w:pos="2231"/>
        </w:tabs>
        <w:ind w:left="2231" w:hanging="180"/>
      </w:pPr>
    </w:lvl>
    <w:lvl w:ilvl="3" w:tplc="0809000F" w:tentative="1">
      <w:start w:val="1"/>
      <w:numFmt w:val="decimal"/>
      <w:lvlText w:val="%4."/>
      <w:lvlJc w:val="left"/>
      <w:pPr>
        <w:tabs>
          <w:tab w:val="num" w:pos="2951"/>
        </w:tabs>
        <w:ind w:left="2951" w:hanging="360"/>
      </w:pPr>
    </w:lvl>
    <w:lvl w:ilvl="4" w:tplc="08090019" w:tentative="1">
      <w:start w:val="1"/>
      <w:numFmt w:val="lowerLetter"/>
      <w:lvlText w:val="%5."/>
      <w:lvlJc w:val="left"/>
      <w:pPr>
        <w:tabs>
          <w:tab w:val="num" w:pos="3671"/>
        </w:tabs>
        <w:ind w:left="3671" w:hanging="360"/>
      </w:pPr>
    </w:lvl>
    <w:lvl w:ilvl="5" w:tplc="0809001B" w:tentative="1">
      <w:start w:val="1"/>
      <w:numFmt w:val="lowerRoman"/>
      <w:lvlText w:val="%6."/>
      <w:lvlJc w:val="right"/>
      <w:pPr>
        <w:tabs>
          <w:tab w:val="num" w:pos="4391"/>
        </w:tabs>
        <w:ind w:left="4391" w:hanging="180"/>
      </w:pPr>
    </w:lvl>
    <w:lvl w:ilvl="6" w:tplc="0809000F" w:tentative="1">
      <w:start w:val="1"/>
      <w:numFmt w:val="decimal"/>
      <w:lvlText w:val="%7."/>
      <w:lvlJc w:val="left"/>
      <w:pPr>
        <w:tabs>
          <w:tab w:val="num" w:pos="5111"/>
        </w:tabs>
        <w:ind w:left="5111" w:hanging="360"/>
      </w:pPr>
    </w:lvl>
    <w:lvl w:ilvl="7" w:tplc="08090019" w:tentative="1">
      <w:start w:val="1"/>
      <w:numFmt w:val="lowerLetter"/>
      <w:lvlText w:val="%8."/>
      <w:lvlJc w:val="left"/>
      <w:pPr>
        <w:tabs>
          <w:tab w:val="num" w:pos="5831"/>
        </w:tabs>
        <w:ind w:left="5831" w:hanging="360"/>
      </w:pPr>
    </w:lvl>
    <w:lvl w:ilvl="8" w:tplc="0809001B" w:tentative="1">
      <w:start w:val="1"/>
      <w:numFmt w:val="lowerRoman"/>
      <w:lvlText w:val="%9."/>
      <w:lvlJc w:val="right"/>
      <w:pPr>
        <w:tabs>
          <w:tab w:val="num" w:pos="6551"/>
        </w:tabs>
        <w:ind w:left="6551" w:hanging="180"/>
      </w:pPr>
    </w:lvl>
  </w:abstractNum>
  <w:abstractNum w:abstractNumId="14">
    <w:nsid w:val="67FD1241"/>
    <w:multiLevelType w:val="hybridMultilevel"/>
    <w:tmpl w:val="F6D86CC2"/>
    <w:lvl w:ilvl="0" w:tplc="E4205412">
      <w:start w:val="1"/>
      <w:numFmt w:val="bullet"/>
      <w:pStyle w:val="Listapunktowana"/>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5">
    <w:nsid w:val="6F4445CA"/>
    <w:multiLevelType w:val="multilevel"/>
    <w:tmpl w:val="08090023"/>
    <w:styleLink w:val="Artykusekcja"/>
    <w:lvl w:ilvl="0">
      <w:start w:val="1"/>
      <w:numFmt w:val="upperRoman"/>
      <w:pStyle w:val="Nagwek1"/>
      <w:lvlText w:val="Article %1."/>
      <w:lvlJc w:val="left"/>
      <w:pPr>
        <w:tabs>
          <w:tab w:val="num" w:pos="1440"/>
        </w:tabs>
        <w:ind w:left="0" w:firstLine="0"/>
      </w:pPr>
    </w:lvl>
    <w:lvl w:ilvl="1">
      <w:start w:val="1"/>
      <w:numFmt w:val="decimalZero"/>
      <w:pStyle w:val="Nagwek2"/>
      <w:isLgl/>
      <w:lvlText w:val="Section %1.%2"/>
      <w:lvlJc w:val="left"/>
      <w:pPr>
        <w:tabs>
          <w:tab w:val="num" w:pos="144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pStyle w:val="Nagwek9"/>
      <w:lvlText w:val="%9."/>
      <w:lvlJc w:val="right"/>
      <w:pPr>
        <w:tabs>
          <w:tab w:val="num" w:pos="1584"/>
        </w:tabs>
        <w:ind w:left="1584" w:hanging="144"/>
      </w:pPr>
    </w:lvl>
  </w:abstractNum>
  <w:abstractNum w:abstractNumId="16">
    <w:nsid w:val="77B366C7"/>
    <w:multiLevelType w:val="hybridMultilevel"/>
    <w:tmpl w:val="A7285E46"/>
    <w:lvl w:ilvl="0" w:tplc="5582EF72">
      <w:start w:val="2"/>
      <w:numFmt w:val="upp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17">
    <w:nsid w:val="7BBE6CBD"/>
    <w:multiLevelType w:val="hybridMultilevel"/>
    <w:tmpl w:val="5B122094"/>
    <w:lvl w:ilvl="0" w:tplc="4FDAD2AA">
      <w:start w:val="1"/>
      <w:numFmt w:val="decimal"/>
      <w:pStyle w:val="JuAppQuestion"/>
      <w:lvlText w:val="%1."/>
      <w:lvlJc w:val="left"/>
      <w:pPr>
        <w:tabs>
          <w:tab w:val="num" w:pos="720"/>
        </w:tabs>
        <w:ind w:left="720" w:hanging="360"/>
      </w:pPr>
      <w:rPr>
        <w:rFonts w:ascii="Cambria" w:hAnsi="Cambria"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9"/>
  </w:num>
  <w:num w:numId="2">
    <w:abstractNumId w:val="14"/>
  </w:num>
  <w:num w:numId="3">
    <w:abstractNumId w:val="17"/>
  </w:num>
  <w:num w:numId="4">
    <w:abstractNumId w:val="17"/>
  </w:num>
  <w:num w:numId="5">
    <w:abstractNumId w:val="17"/>
  </w:num>
  <w:num w:numId="6">
    <w:abstractNumId w:val="17"/>
  </w:num>
  <w:num w:numId="7">
    <w:abstractNumId w:val="16"/>
  </w:num>
  <w:num w:numId="8">
    <w:abstractNumId w:val="12"/>
  </w:num>
  <w:num w:numId="9">
    <w:abstractNumId w:val="13"/>
  </w:num>
  <w:num w:numId="10">
    <w:abstractNumId w:val="11"/>
  </w:num>
  <w:num w:numId="11">
    <w:abstractNumId w:val="10"/>
  </w:num>
  <w:num w:numId="12">
    <w:abstractNumId w:val="15"/>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removePersonalInformation/>
  <w:hideSpelling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6"/>
  <w:hyphenationZone w:val="425"/>
  <w:evenAndOddHeader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832702"/>
    <w:rsid w:val="000016A6"/>
    <w:rsid w:val="00001CC5"/>
    <w:rsid w:val="00002DD1"/>
    <w:rsid w:val="000042D1"/>
    <w:rsid w:val="00007B38"/>
    <w:rsid w:val="00010728"/>
    <w:rsid w:val="00011B05"/>
    <w:rsid w:val="000125DB"/>
    <w:rsid w:val="00013894"/>
    <w:rsid w:val="00017115"/>
    <w:rsid w:val="00020080"/>
    <w:rsid w:val="0002121D"/>
    <w:rsid w:val="0002283C"/>
    <w:rsid w:val="00033160"/>
    <w:rsid w:val="00033FD2"/>
    <w:rsid w:val="00035637"/>
    <w:rsid w:val="0003679E"/>
    <w:rsid w:val="00042867"/>
    <w:rsid w:val="00042B9B"/>
    <w:rsid w:val="00043D47"/>
    <w:rsid w:val="000462CE"/>
    <w:rsid w:val="00046713"/>
    <w:rsid w:val="000479C2"/>
    <w:rsid w:val="00051746"/>
    <w:rsid w:val="0005212D"/>
    <w:rsid w:val="0005522C"/>
    <w:rsid w:val="00055A5C"/>
    <w:rsid w:val="00055AC1"/>
    <w:rsid w:val="000560FE"/>
    <w:rsid w:val="00062B61"/>
    <w:rsid w:val="00064615"/>
    <w:rsid w:val="000726F6"/>
    <w:rsid w:val="000740D6"/>
    <w:rsid w:val="00076A67"/>
    <w:rsid w:val="000809F0"/>
    <w:rsid w:val="0008516C"/>
    <w:rsid w:val="00085837"/>
    <w:rsid w:val="00085B3A"/>
    <w:rsid w:val="00090C82"/>
    <w:rsid w:val="0009409F"/>
    <w:rsid w:val="0009426C"/>
    <w:rsid w:val="000A1AA3"/>
    <w:rsid w:val="000A34F1"/>
    <w:rsid w:val="000B2A0A"/>
    <w:rsid w:val="000B32D6"/>
    <w:rsid w:val="000C5333"/>
    <w:rsid w:val="000C5C91"/>
    <w:rsid w:val="000C637A"/>
    <w:rsid w:val="000D39BA"/>
    <w:rsid w:val="000D6108"/>
    <w:rsid w:val="000E0C74"/>
    <w:rsid w:val="000E1449"/>
    <w:rsid w:val="000E255E"/>
    <w:rsid w:val="000E687D"/>
    <w:rsid w:val="000F0A8C"/>
    <w:rsid w:val="000F1F48"/>
    <w:rsid w:val="000F2F8F"/>
    <w:rsid w:val="000F699D"/>
    <w:rsid w:val="00102A0F"/>
    <w:rsid w:val="00104AD1"/>
    <w:rsid w:val="00105FFE"/>
    <w:rsid w:val="0010744B"/>
    <w:rsid w:val="00111D99"/>
    <w:rsid w:val="00113C21"/>
    <w:rsid w:val="0011665B"/>
    <w:rsid w:val="00122D7F"/>
    <w:rsid w:val="00126213"/>
    <w:rsid w:val="00127F5D"/>
    <w:rsid w:val="0013290F"/>
    <w:rsid w:val="001420AC"/>
    <w:rsid w:val="0014263A"/>
    <w:rsid w:val="001432ED"/>
    <w:rsid w:val="00150529"/>
    <w:rsid w:val="00151CCA"/>
    <w:rsid w:val="00157BD8"/>
    <w:rsid w:val="00157D01"/>
    <w:rsid w:val="00163652"/>
    <w:rsid w:val="001636D0"/>
    <w:rsid w:val="00174A6F"/>
    <w:rsid w:val="0017710F"/>
    <w:rsid w:val="001812B2"/>
    <w:rsid w:val="00182E38"/>
    <w:rsid w:val="00187281"/>
    <w:rsid w:val="0019388B"/>
    <w:rsid w:val="00195378"/>
    <w:rsid w:val="00195AE2"/>
    <w:rsid w:val="00197C29"/>
    <w:rsid w:val="001A0EBE"/>
    <w:rsid w:val="001A2CB2"/>
    <w:rsid w:val="001B2EFC"/>
    <w:rsid w:val="001B62B1"/>
    <w:rsid w:val="001B74F7"/>
    <w:rsid w:val="001C5C64"/>
    <w:rsid w:val="001C6CF7"/>
    <w:rsid w:val="001D34A0"/>
    <w:rsid w:val="001E45D9"/>
    <w:rsid w:val="001F48FC"/>
    <w:rsid w:val="001F5586"/>
    <w:rsid w:val="00202A7C"/>
    <w:rsid w:val="002041E3"/>
    <w:rsid w:val="00212F95"/>
    <w:rsid w:val="002165B7"/>
    <w:rsid w:val="002215FD"/>
    <w:rsid w:val="0022499F"/>
    <w:rsid w:val="00225BE5"/>
    <w:rsid w:val="002266CD"/>
    <w:rsid w:val="00230A84"/>
    <w:rsid w:val="002320C6"/>
    <w:rsid w:val="00252B31"/>
    <w:rsid w:val="002563F5"/>
    <w:rsid w:val="00262446"/>
    <w:rsid w:val="00265471"/>
    <w:rsid w:val="00265737"/>
    <w:rsid w:val="0026789F"/>
    <w:rsid w:val="00267E01"/>
    <w:rsid w:val="00271A81"/>
    <w:rsid w:val="0027408E"/>
    <w:rsid w:val="0027730F"/>
    <w:rsid w:val="00296B76"/>
    <w:rsid w:val="00297942"/>
    <w:rsid w:val="002A4296"/>
    <w:rsid w:val="002A6EA5"/>
    <w:rsid w:val="002B18B7"/>
    <w:rsid w:val="002C09AF"/>
    <w:rsid w:val="002C141C"/>
    <w:rsid w:val="002C7D3E"/>
    <w:rsid w:val="002E2EAF"/>
    <w:rsid w:val="002E5D95"/>
    <w:rsid w:val="002E6A74"/>
    <w:rsid w:val="002F4BCF"/>
    <w:rsid w:val="002F4D9F"/>
    <w:rsid w:val="002F4F2D"/>
    <w:rsid w:val="002F6FE9"/>
    <w:rsid w:val="0030193C"/>
    <w:rsid w:val="00301F9C"/>
    <w:rsid w:val="00302008"/>
    <w:rsid w:val="00303067"/>
    <w:rsid w:val="003104E9"/>
    <w:rsid w:val="003154F6"/>
    <w:rsid w:val="003155B6"/>
    <w:rsid w:val="0031573C"/>
    <w:rsid w:val="003164C1"/>
    <w:rsid w:val="0032093A"/>
    <w:rsid w:val="00325C2B"/>
    <w:rsid w:val="00325FAC"/>
    <w:rsid w:val="0032604F"/>
    <w:rsid w:val="00326BB9"/>
    <w:rsid w:val="00332547"/>
    <w:rsid w:val="00336887"/>
    <w:rsid w:val="00337600"/>
    <w:rsid w:val="003403BB"/>
    <w:rsid w:val="00343B72"/>
    <w:rsid w:val="00343E24"/>
    <w:rsid w:val="0034580F"/>
    <w:rsid w:val="00345B33"/>
    <w:rsid w:val="00347AC2"/>
    <w:rsid w:val="003506C9"/>
    <w:rsid w:val="00352A0B"/>
    <w:rsid w:val="00355F8F"/>
    <w:rsid w:val="00357624"/>
    <w:rsid w:val="0036516D"/>
    <w:rsid w:val="00366A6D"/>
    <w:rsid w:val="00366B92"/>
    <w:rsid w:val="00371277"/>
    <w:rsid w:val="0037228D"/>
    <w:rsid w:val="00372F84"/>
    <w:rsid w:val="00376B13"/>
    <w:rsid w:val="0038535A"/>
    <w:rsid w:val="003873E2"/>
    <w:rsid w:val="00387BE1"/>
    <w:rsid w:val="003902A5"/>
    <w:rsid w:val="00392242"/>
    <w:rsid w:val="00392D4E"/>
    <w:rsid w:val="00397D51"/>
    <w:rsid w:val="003A64D3"/>
    <w:rsid w:val="003A7633"/>
    <w:rsid w:val="003B1F35"/>
    <w:rsid w:val="003B41C7"/>
    <w:rsid w:val="003B50D7"/>
    <w:rsid w:val="003C715F"/>
    <w:rsid w:val="003C74C7"/>
    <w:rsid w:val="003E03ED"/>
    <w:rsid w:val="003E2006"/>
    <w:rsid w:val="003E319C"/>
    <w:rsid w:val="003E33BD"/>
    <w:rsid w:val="003F3BFD"/>
    <w:rsid w:val="003F417F"/>
    <w:rsid w:val="003F70A1"/>
    <w:rsid w:val="004000F6"/>
    <w:rsid w:val="00400C97"/>
    <w:rsid w:val="00401C5B"/>
    <w:rsid w:val="00412F5F"/>
    <w:rsid w:val="00413EFC"/>
    <w:rsid w:val="00420868"/>
    <w:rsid w:val="00424C76"/>
    <w:rsid w:val="00424DA5"/>
    <w:rsid w:val="004262E9"/>
    <w:rsid w:val="004303A5"/>
    <w:rsid w:val="00431764"/>
    <w:rsid w:val="00433E7F"/>
    <w:rsid w:val="004341B4"/>
    <w:rsid w:val="00435D95"/>
    <w:rsid w:val="004406AA"/>
    <w:rsid w:val="00441477"/>
    <w:rsid w:val="00444081"/>
    <w:rsid w:val="00452CF1"/>
    <w:rsid w:val="004573EF"/>
    <w:rsid w:val="00457A18"/>
    <w:rsid w:val="00460FAD"/>
    <w:rsid w:val="00465A25"/>
    <w:rsid w:val="00465AD7"/>
    <w:rsid w:val="00471505"/>
    <w:rsid w:val="0048299D"/>
    <w:rsid w:val="00485A6F"/>
    <w:rsid w:val="00491786"/>
    <w:rsid w:val="004920B1"/>
    <w:rsid w:val="00497E4C"/>
    <w:rsid w:val="004A064D"/>
    <w:rsid w:val="004C0690"/>
    <w:rsid w:val="004C1E06"/>
    <w:rsid w:val="004C693A"/>
    <w:rsid w:val="004E3216"/>
    <w:rsid w:val="004E5340"/>
    <w:rsid w:val="004E5DFC"/>
    <w:rsid w:val="004F65C6"/>
    <w:rsid w:val="004F7408"/>
    <w:rsid w:val="0050096C"/>
    <w:rsid w:val="0050130D"/>
    <w:rsid w:val="005027A7"/>
    <w:rsid w:val="00510AEA"/>
    <w:rsid w:val="00513446"/>
    <w:rsid w:val="00513EC1"/>
    <w:rsid w:val="005154AE"/>
    <w:rsid w:val="00516C7B"/>
    <w:rsid w:val="00516EBF"/>
    <w:rsid w:val="00522362"/>
    <w:rsid w:val="00524FFC"/>
    <w:rsid w:val="00526342"/>
    <w:rsid w:val="0053535B"/>
    <w:rsid w:val="005419B6"/>
    <w:rsid w:val="00542320"/>
    <w:rsid w:val="00546F49"/>
    <w:rsid w:val="0056771C"/>
    <w:rsid w:val="005777BA"/>
    <w:rsid w:val="00577E02"/>
    <w:rsid w:val="00577E6A"/>
    <w:rsid w:val="00580E6F"/>
    <w:rsid w:val="00582D1B"/>
    <w:rsid w:val="005831B7"/>
    <w:rsid w:val="00584A11"/>
    <w:rsid w:val="00585C82"/>
    <w:rsid w:val="005874FF"/>
    <w:rsid w:val="005944D6"/>
    <w:rsid w:val="00595C5D"/>
    <w:rsid w:val="005A10E0"/>
    <w:rsid w:val="005A3D27"/>
    <w:rsid w:val="005A497F"/>
    <w:rsid w:val="005B16A8"/>
    <w:rsid w:val="005B1907"/>
    <w:rsid w:val="005B4233"/>
    <w:rsid w:val="005B7831"/>
    <w:rsid w:val="005C1929"/>
    <w:rsid w:val="005C1956"/>
    <w:rsid w:val="005C2C88"/>
    <w:rsid w:val="005C39B6"/>
    <w:rsid w:val="005C3F79"/>
    <w:rsid w:val="005C41CB"/>
    <w:rsid w:val="005C6B99"/>
    <w:rsid w:val="005D243F"/>
    <w:rsid w:val="005E04FA"/>
    <w:rsid w:val="005E384F"/>
    <w:rsid w:val="005E5843"/>
    <w:rsid w:val="005F0674"/>
    <w:rsid w:val="005F1C45"/>
    <w:rsid w:val="005F4753"/>
    <w:rsid w:val="005F7A10"/>
    <w:rsid w:val="00600341"/>
    <w:rsid w:val="006053AC"/>
    <w:rsid w:val="006111FF"/>
    <w:rsid w:val="0061251A"/>
    <w:rsid w:val="006138EA"/>
    <w:rsid w:val="00617474"/>
    <w:rsid w:val="00624870"/>
    <w:rsid w:val="00624FB8"/>
    <w:rsid w:val="00625699"/>
    <w:rsid w:val="0062787C"/>
    <w:rsid w:val="00633478"/>
    <w:rsid w:val="0063427B"/>
    <w:rsid w:val="00634F5A"/>
    <w:rsid w:val="00640B82"/>
    <w:rsid w:val="00643048"/>
    <w:rsid w:val="00653AAB"/>
    <w:rsid w:val="0065410B"/>
    <w:rsid w:val="00655126"/>
    <w:rsid w:val="00655E23"/>
    <w:rsid w:val="006639B6"/>
    <w:rsid w:val="00664EA3"/>
    <w:rsid w:val="00673FA4"/>
    <w:rsid w:val="00683DCB"/>
    <w:rsid w:val="00686DA5"/>
    <w:rsid w:val="00697D56"/>
    <w:rsid w:val="00697F14"/>
    <w:rsid w:val="006A23DA"/>
    <w:rsid w:val="006A3D9D"/>
    <w:rsid w:val="006A7C48"/>
    <w:rsid w:val="006B3CAC"/>
    <w:rsid w:val="006B469C"/>
    <w:rsid w:val="006B66C6"/>
    <w:rsid w:val="006B66D7"/>
    <w:rsid w:val="006C1ADC"/>
    <w:rsid w:val="006C1EA2"/>
    <w:rsid w:val="006C2346"/>
    <w:rsid w:val="006C2B52"/>
    <w:rsid w:val="006C2BD3"/>
    <w:rsid w:val="006C35C5"/>
    <w:rsid w:val="006D07E9"/>
    <w:rsid w:val="006D1D78"/>
    <w:rsid w:val="006D71BC"/>
    <w:rsid w:val="006E6D33"/>
    <w:rsid w:val="006F106C"/>
    <w:rsid w:val="006F4751"/>
    <w:rsid w:val="00715151"/>
    <w:rsid w:val="007156E0"/>
    <w:rsid w:val="00723C15"/>
    <w:rsid w:val="0072564E"/>
    <w:rsid w:val="00725E3D"/>
    <w:rsid w:val="00730053"/>
    <w:rsid w:val="00730433"/>
    <w:rsid w:val="007352DD"/>
    <w:rsid w:val="00740A51"/>
    <w:rsid w:val="00740E80"/>
    <w:rsid w:val="00742C5D"/>
    <w:rsid w:val="007479B8"/>
    <w:rsid w:val="00750E5E"/>
    <w:rsid w:val="00752E30"/>
    <w:rsid w:val="00754ABE"/>
    <w:rsid w:val="00754AE3"/>
    <w:rsid w:val="00756D5B"/>
    <w:rsid w:val="007603BB"/>
    <w:rsid w:val="00766F2D"/>
    <w:rsid w:val="00776807"/>
    <w:rsid w:val="007769D1"/>
    <w:rsid w:val="0077789B"/>
    <w:rsid w:val="0078062F"/>
    <w:rsid w:val="007827E7"/>
    <w:rsid w:val="0079163D"/>
    <w:rsid w:val="0079187F"/>
    <w:rsid w:val="007A1FFE"/>
    <w:rsid w:val="007A357A"/>
    <w:rsid w:val="007A36A4"/>
    <w:rsid w:val="007A6DBA"/>
    <w:rsid w:val="007A7750"/>
    <w:rsid w:val="007B0896"/>
    <w:rsid w:val="007B2611"/>
    <w:rsid w:val="007B2958"/>
    <w:rsid w:val="007B5291"/>
    <w:rsid w:val="007B752A"/>
    <w:rsid w:val="007C090B"/>
    <w:rsid w:val="007C1014"/>
    <w:rsid w:val="007C1CE3"/>
    <w:rsid w:val="007C2CE8"/>
    <w:rsid w:val="007C739E"/>
    <w:rsid w:val="007C76A5"/>
    <w:rsid w:val="007D0D75"/>
    <w:rsid w:val="007D18DE"/>
    <w:rsid w:val="007D78B7"/>
    <w:rsid w:val="007D7DB1"/>
    <w:rsid w:val="007E0EFD"/>
    <w:rsid w:val="007E11C0"/>
    <w:rsid w:val="007E58A5"/>
    <w:rsid w:val="007E603C"/>
    <w:rsid w:val="007E6129"/>
    <w:rsid w:val="007F735A"/>
    <w:rsid w:val="00806E5F"/>
    <w:rsid w:val="00815CD6"/>
    <w:rsid w:val="00825074"/>
    <w:rsid w:val="008275DD"/>
    <w:rsid w:val="0083265A"/>
    <w:rsid w:val="00832702"/>
    <w:rsid w:val="008462BB"/>
    <w:rsid w:val="00846856"/>
    <w:rsid w:val="00847DEE"/>
    <w:rsid w:val="00853345"/>
    <w:rsid w:val="008601F7"/>
    <w:rsid w:val="00861046"/>
    <w:rsid w:val="00863773"/>
    <w:rsid w:val="00864209"/>
    <w:rsid w:val="00865450"/>
    <w:rsid w:val="008670BB"/>
    <w:rsid w:val="008824B9"/>
    <w:rsid w:val="00882C4C"/>
    <w:rsid w:val="0088315D"/>
    <w:rsid w:val="00884205"/>
    <w:rsid w:val="00886BB5"/>
    <w:rsid w:val="00893782"/>
    <w:rsid w:val="00894BB3"/>
    <w:rsid w:val="008A0AA9"/>
    <w:rsid w:val="008B3527"/>
    <w:rsid w:val="008B5BFB"/>
    <w:rsid w:val="008B78DB"/>
    <w:rsid w:val="008C0816"/>
    <w:rsid w:val="008C38B2"/>
    <w:rsid w:val="008C39B5"/>
    <w:rsid w:val="008C60EE"/>
    <w:rsid w:val="008C6F68"/>
    <w:rsid w:val="008D45A0"/>
    <w:rsid w:val="008D7BF2"/>
    <w:rsid w:val="008E05A3"/>
    <w:rsid w:val="008E3F77"/>
    <w:rsid w:val="008F20D7"/>
    <w:rsid w:val="008F37B7"/>
    <w:rsid w:val="008F5709"/>
    <w:rsid w:val="00900F2B"/>
    <w:rsid w:val="00901475"/>
    <w:rsid w:val="00903D69"/>
    <w:rsid w:val="00906142"/>
    <w:rsid w:val="00906F0E"/>
    <w:rsid w:val="00910131"/>
    <w:rsid w:val="009169BC"/>
    <w:rsid w:val="00927277"/>
    <w:rsid w:val="00930CD7"/>
    <w:rsid w:val="00931775"/>
    <w:rsid w:val="00932C7B"/>
    <w:rsid w:val="00940ADE"/>
    <w:rsid w:val="0094239F"/>
    <w:rsid w:val="00943058"/>
    <w:rsid w:val="00956501"/>
    <w:rsid w:val="00965BD4"/>
    <w:rsid w:val="00980282"/>
    <w:rsid w:val="00983540"/>
    <w:rsid w:val="0098535B"/>
    <w:rsid w:val="0099561C"/>
    <w:rsid w:val="00995F44"/>
    <w:rsid w:val="00997600"/>
    <w:rsid w:val="009A4106"/>
    <w:rsid w:val="009A6925"/>
    <w:rsid w:val="009B039E"/>
    <w:rsid w:val="009B0A6E"/>
    <w:rsid w:val="009B15A1"/>
    <w:rsid w:val="009B5F7D"/>
    <w:rsid w:val="009C5183"/>
    <w:rsid w:val="009C6841"/>
    <w:rsid w:val="009D0DD5"/>
    <w:rsid w:val="009D3C79"/>
    <w:rsid w:val="009D46D7"/>
    <w:rsid w:val="009D4B87"/>
    <w:rsid w:val="009F0055"/>
    <w:rsid w:val="009F07CC"/>
    <w:rsid w:val="009F18CE"/>
    <w:rsid w:val="009F1D27"/>
    <w:rsid w:val="009F3F48"/>
    <w:rsid w:val="009F4730"/>
    <w:rsid w:val="009F5625"/>
    <w:rsid w:val="009F65C4"/>
    <w:rsid w:val="009F7EF4"/>
    <w:rsid w:val="00A00C13"/>
    <w:rsid w:val="00A012A5"/>
    <w:rsid w:val="00A036A3"/>
    <w:rsid w:val="00A04E02"/>
    <w:rsid w:val="00A0545F"/>
    <w:rsid w:val="00A06A89"/>
    <w:rsid w:val="00A10410"/>
    <w:rsid w:val="00A135BE"/>
    <w:rsid w:val="00A1407C"/>
    <w:rsid w:val="00A231BE"/>
    <w:rsid w:val="00A26A55"/>
    <w:rsid w:val="00A315C4"/>
    <w:rsid w:val="00A32B81"/>
    <w:rsid w:val="00A34AD2"/>
    <w:rsid w:val="00A35C98"/>
    <w:rsid w:val="00A36290"/>
    <w:rsid w:val="00A47B9D"/>
    <w:rsid w:val="00A50C94"/>
    <w:rsid w:val="00A5331A"/>
    <w:rsid w:val="00A554DE"/>
    <w:rsid w:val="00A603CD"/>
    <w:rsid w:val="00A62F51"/>
    <w:rsid w:val="00A667B9"/>
    <w:rsid w:val="00A7049C"/>
    <w:rsid w:val="00A80135"/>
    <w:rsid w:val="00A81637"/>
    <w:rsid w:val="00A8381C"/>
    <w:rsid w:val="00A84AFD"/>
    <w:rsid w:val="00A9204D"/>
    <w:rsid w:val="00A950E0"/>
    <w:rsid w:val="00AA08E4"/>
    <w:rsid w:val="00AA0A20"/>
    <w:rsid w:val="00AA288B"/>
    <w:rsid w:val="00AA2B6A"/>
    <w:rsid w:val="00AA373E"/>
    <w:rsid w:val="00AA6087"/>
    <w:rsid w:val="00AA6B55"/>
    <w:rsid w:val="00AA6CAF"/>
    <w:rsid w:val="00AA7CA2"/>
    <w:rsid w:val="00AB0594"/>
    <w:rsid w:val="00AB2166"/>
    <w:rsid w:val="00AB43D9"/>
    <w:rsid w:val="00AB647F"/>
    <w:rsid w:val="00AB6A61"/>
    <w:rsid w:val="00AC134B"/>
    <w:rsid w:val="00AC1382"/>
    <w:rsid w:val="00AC3DEA"/>
    <w:rsid w:val="00AC4995"/>
    <w:rsid w:val="00AC70F6"/>
    <w:rsid w:val="00AD0F55"/>
    <w:rsid w:val="00AD236A"/>
    <w:rsid w:val="00AD281E"/>
    <w:rsid w:val="00AD3249"/>
    <w:rsid w:val="00AD3385"/>
    <w:rsid w:val="00AD57B2"/>
    <w:rsid w:val="00AE0241"/>
    <w:rsid w:val="00AE2642"/>
    <w:rsid w:val="00AE2F4F"/>
    <w:rsid w:val="00AE537E"/>
    <w:rsid w:val="00AF056F"/>
    <w:rsid w:val="00AF3CCF"/>
    <w:rsid w:val="00AF43BD"/>
    <w:rsid w:val="00AF54CB"/>
    <w:rsid w:val="00AF6434"/>
    <w:rsid w:val="00B02FA8"/>
    <w:rsid w:val="00B030BE"/>
    <w:rsid w:val="00B05504"/>
    <w:rsid w:val="00B0594B"/>
    <w:rsid w:val="00B10CFC"/>
    <w:rsid w:val="00B122EA"/>
    <w:rsid w:val="00B17E4C"/>
    <w:rsid w:val="00B2126E"/>
    <w:rsid w:val="00B24177"/>
    <w:rsid w:val="00B271BF"/>
    <w:rsid w:val="00B324A5"/>
    <w:rsid w:val="00B3608A"/>
    <w:rsid w:val="00B368F9"/>
    <w:rsid w:val="00B44801"/>
    <w:rsid w:val="00B4551C"/>
    <w:rsid w:val="00B460AF"/>
    <w:rsid w:val="00B50AC2"/>
    <w:rsid w:val="00B52010"/>
    <w:rsid w:val="00B53B96"/>
    <w:rsid w:val="00B574E7"/>
    <w:rsid w:val="00B6097C"/>
    <w:rsid w:val="00B6108B"/>
    <w:rsid w:val="00B64488"/>
    <w:rsid w:val="00B64EDE"/>
    <w:rsid w:val="00B662B2"/>
    <w:rsid w:val="00B6763B"/>
    <w:rsid w:val="00B67CBD"/>
    <w:rsid w:val="00B702C9"/>
    <w:rsid w:val="00B71187"/>
    <w:rsid w:val="00B743BC"/>
    <w:rsid w:val="00B806C7"/>
    <w:rsid w:val="00B81192"/>
    <w:rsid w:val="00B87FA1"/>
    <w:rsid w:val="00B921A8"/>
    <w:rsid w:val="00BA54D7"/>
    <w:rsid w:val="00BA6401"/>
    <w:rsid w:val="00BA6702"/>
    <w:rsid w:val="00BB13BC"/>
    <w:rsid w:val="00BB3607"/>
    <w:rsid w:val="00BB54FD"/>
    <w:rsid w:val="00BC2C06"/>
    <w:rsid w:val="00BC7EEE"/>
    <w:rsid w:val="00BD19AE"/>
    <w:rsid w:val="00BD38C5"/>
    <w:rsid w:val="00BD64D6"/>
    <w:rsid w:val="00BE50FE"/>
    <w:rsid w:val="00BE5958"/>
    <w:rsid w:val="00BF071D"/>
    <w:rsid w:val="00BF3A56"/>
    <w:rsid w:val="00BF55AF"/>
    <w:rsid w:val="00C00832"/>
    <w:rsid w:val="00C01A79"/>
    <w:rsid w:val="00C01E1C"/>
    <w:rsid w:val="00C02E48"/>
    <w:rsid w:val="00C044A1"/>
    <w:rsid w:val="00C04A4D"/>
    <w:rsid w:val="00C14E5C"/>
    <w:rsid w:val="00C2376E"/>
    <w:rsid w:val="00C26B40"/>
    <w:rsid w:val="00C27EF9"/>
    <w:rsid w:val="00C3018F"/>
    <w:rsid w:val="00C30671"/>
    <w:rsid w:val="00C33556"/>
    <w:rsid w:val="00C33E86"/>
    <w:rsid w:val="00C3552C"/>
    <w:rsid w:val="00C37663"/>
    <w:rsid w:val="00C41FA7"/>
    <w:rsid w:val="00C43075"/>
    <w:rsid w:val="00C432E3"/>
    <w:rsid w:val="00C47696"/>
    <w:rsid w:val="00C53BED"/>
    <w:rsid w:val="00C56888"/>
    <w:rsid w:val="00C577C8"/>
    <w:rsid w:val="00C60BF1"/>
    <w:rsid w:val="00C63E30"/>
    <w:rsid w:val="00C7359D"/>
    <w:rsid w:val="00C73967"/>
    <w:rsid w:val="00C809B7"/>
    <w:rsid w:val="00C82F3E"/>
    <w:rsid w:val="00C84877"/>
    <w:rsid w:val="00C94023"/>
    <w:rsid w:val="00C96EBF"/>
    <w:rsid w:val="00CA16E7"/>
    <w:rsid w:val="00CA70B8"/>
    <w:rsid w:val="00CB10EA"/>
    <w:rsid w:val="00CB63F5"/>
    <w:rsid w:val="00CC2713"/>
    <w:rsid w:val="00CC6369"/>
    <w:rsid w:val="00CC6623"/>
    <w:rsid w:val="00CD31A0"/>
    <w:rsid w:val="00CD4B43"/>
    <w:rsid w:val="00CD5D90"/>
    <w:rsid w:val="00CE1C9D"/>
    <w:rsid w:val="00CE5750"/>
    <w:rsid w:val="00CE6841"/>
    <w:rsid w:val="00CE70D8"/>
    <w:rsid w:val="00CF143C"/>
    <w:rsid w:val="00CF166A"/>
    <w:rsid w:val="00CF7475"/>
    <w:rsid w:val="00D00569"/>
    <w:rsid w:val="00D05799"/>
    <w:rsid w:val="00D066A2"/>
    <w:rsid w:val="00D102A7"/>
    <w:rsid w:val="00D1288A"/>
    <w:rsid w:val="00D15473"/>
    <w:rsid w:val="00D30F97"/>
    <w:rsid w:val="00D33169"/>
    <w:rsid w:val="00D333B8"/>
    <w:rsid w:val="00D353F4"/>
    <w:rsid w:val="00D357B5"/>
    <w:rsid w:val="00D4376E"/>
    <w:rsid w:val="00D44EA3"/>
    <w:rsid w:val="00D46CA9"/>
    <w:rsid w:val="00D50EB3"/>
    <w:rsid w:val="00D56B5D"/>
    <w:rsid w:val="00D63793"/>
    <w:rsid w:val="00D659FE"/>
    <w:rsid w:val="00D66C93"/>
    <w:rsid w:val="00D73611"/>
    <w:rsid w:val="00D76B5D"/>
    <w:rsid w:val="00D774D4"/>
    <w:rsid w:val="00D810DE"/>
    <w:rsid w:val="00D8657E"/>
    <w:rsid w:val="00D870DC"/>
    <w:rsid w:val="00D90810"/>
    <w:rsid w:val="00D9090D"/>
    <w:rsid w:val="00D97FD1"/>
    <w:rsid w:val="00DA3ABA"/>
    <w:rsid w:val="00DB4EEA"/>
    <w:rsid w:val="00DB5B90"/>
    <w:rsid w:val="00DB6D67"/>
    <w:rsid w:val="00DC12EF"/>
    <w:rsid w:val="00DC207D"/>
    <w:rsid w:val="00DC2093"/>
    <w:rsid w:val="00DC2671"/>
    <w:rsid w:val="00DC3E30"/>
    <w:rsid w:val="00DC5C22"/>
    <w:rsid w:val="00DD1ECE"/>
    <w:rsid w:val="00DE5E8F"/>
    <w:rsid w:val="00DF06A0"/>
    <w:rsid w:val="00DF5AFE"/>
    <w:rsid w:val="00E015D9"/>
    <w:rsid w:val="00E127CD"/>
    <w:rsid w:val="00E137AF"/>
    <w:rsid w:val="00E17C05"/>
    <w:rsid w:val="00E26D79"/>
    <w:rsid w:val="00E30DA4"/>
    <w:rsid w:val="00E32625"/>
    <w:rsid w:val="00E32971"/>
    <w:rsid w:val="00E32A32"/>
    <w:rsid w:val="00E33A26"/>
    <w:rsid w:val="00E417E3"/>
    <w:rsid w:val="00E422D1"/>
    <w:rsid w:val="00E42C84"/>
    <w:rsid w:val="00E50968"/>
    <w:rsid w:val="00E526A4"/>
    <w:rsid w:val="00E54E29"/>
    <w:rsid w:val="00E7027C"/>
    <w:rsid w:val="00E718DF"/>
    <w:rsid w:val="00E80614"/>
    <w:rsid w:val="00E8108B"/>
    <w:rsid w:val="00E81663"/>
    <w:rsid w:val="00E8187B"/>
    <w:rsid w:val="00E904B2"/>
    <w:rsid w:val="00E9155E"/>
    <w:rsid w:val="00E973F5"/>
    <w:rsid w:val="00EA1E8A"/>
    <w:rsid w:val="00EA4C31"/>
    <w:rsid w:val="00EA6607"/>
    <w:rsid w:val="00EB0CCC"/>
    <w:rsid w:val="00EB191F"/>
    <w:rsid w:val="00EB2872"/>
    <w:rsid w:val="00EB2A33"/>
    <w:rsid w:val="00EB41E9"/>
    <w:rsid w:val="00EB5EBC"/>
    <w:rsid w:val="00EC1A59"/>
    <w:rsid w:val="00EC2C0C"/>
    <w:rsid w:val="00ED09D8"/>
    <w:rsid w:val="00ED12C3"/>
    <w:rsid w:val="00ED20E9"/>
    <w:rsid w:val="00ED3AC7"/>
    <w:rsid w:val="00ED6239"/>
    <w:rsid w:val="00EE1252"/>
    <w:rsid w:val="00EE2C31"/>
    <w:rsid w:val="00EE47FF"/>
    <w:rsid w:val="00EE7911"/>
    <w:rsid w:val="00EF06C9"/>
    <w:rsid w:val="00EF2384"/>
    <w:rsid w:val="00F02D7A"/>
    <w:rsid w:val="00F046E5"/>
    <w:rsid w:val="00F048D4"/>
    <w:rsid w:val="00F15585"/>
    <w:rsid w:val="00F166A7"/>
    <w:rsid w:val="00F22E8B"/>
    <w:rsid w:val="00F324E0"/>
    <w:rsid w:val="00F42F98"/>
    <w:rsid w:val="00F43FF3"/>
    <w:rsid w:val="00F47343"/>
    <w:rsid w:val="00F5124B"/>
    <w:rsid w:val="00F62FA4"/>
    <w:rsid w:val="00F63092"/>
    <w:rsid w:val="00F71040"/>
    <w:rsid w:val="00F71A6A"/>
    <w:rsid w:val="00F73D18"/>
    <w:rsid w:val="00F81A6E"/>
    <w:rsid w:val="00F8204F"/>
    <w:rsid w:val="00F94742"/>
    <w:rsid w:val="00F948A7"/>
    <w:rsid w:val="00FB271D"/>
    <w:rsid w:val="00FB6259"/>
    <w:rsid w:val="00FC02B4"/>
    <w:rsid w:val="00FD2A5B"/>
    <w:rsid w:val="00FD3E2F"/>
    <w:rsid w:val="00FD586A"/>
    <w:rsid w:val="00FE4996"/>
    <w:rsid w:val="00FE6E31"/>
    <w:rsid w:val="00FE7B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66C93"/>
    <w:pPr>
      <w:suppressAutoHyphens/>
    </w:pPr>
    <w:rPr>
      <w:sz w:val="24"/>
      <w:lang w:val="en-GB" w:eastAsia="fr-FR"/>
    </w:rPr>
  </w:style>
  <w:style w:type="paragraph" w:styleId="Nagwek1">
    <w:name w:val="heading 1"/>
    <w:basedOn w:val="Normalny"/>
    <w:next w:val="Normalny"/>
    <w:qFormat/>
    <w:rsid w:val="00D66C93"/>
    <w:pPr>
      <w:keepNext/>
      <w:numPr>
        <w:numId w:val="12"/>
      </w:numPr>
      <w:spacing w:before="360" w:after="240"/>
      <w:jc w:val="center"/>
      <w:outlineLvl w:val="0"/>
    </w:pPr>
    <w:rPr>
      <w:b/>
      <w:sz w:val="28"/>
    </w:rPr>
  </w:style>
  <w:style w:type="paragraph" w:styleId="Nagwek2">
    <w:name w:val="heading 2"/>
    <w:basedOn w:val="Normalny"/>
    <w:next w:val="Normalny"/>
    <w:qFormat/>
    <w:rsid w:val="00D66C93"/>
    <w:pPr>
      <w:keepNext/>
      <w:numPr>
        <w:ilvl w:val="1"/>
        <w:numId w:val="12"/>
      </w:numPr>
      <w:spacing w:before="240" w:after="120"/>
      <w:outlineLvl w:val="1"/>
    </w:pPr>
    <w:rPr>
      <w:b/>
    </w:rPr>
  </w:style>
  <w:style w:type="paragraph" w:styleId="Nagwek3">
    <w:name w:val="heading 3"/>
    <w:basedOn w:val="Normalny"/>
    <w:next w:val="Normalny"/>
    <w:qFormat/>
    <w:rsid w:val="00D66C93"/>
    <w:pPr>
      <w:keepNext/>
      <w:numPr>
        <w:ilvl w:val="2"/>
        <w:numId w:val="12"/>
      </w:numPr>
      <w:spacing w:before="120" w:after="60"/>
      <w:outlineLvl w:val="2"/>
    </w:pPr>
    <w:rPr>
      <w:i/>
    </w:rPr>
  </w:style>
  <w:style w:type="paragraph" w:styleId="Nagwek4">
    <w:name w:val="heading 4"/>
    <w:basedOn w:val="Normalny"/>
    <w:next w:val="Normalny"/>
    <w:qFormat/>
    <w:rsid w:val="00D66C93"/>
    <w:pPr>
      <w:keepNext/>
      <w:numPr>
        <w:ilvl w:val="3"/>
        <w:numId w:val="12"/>
      </w:numPr>
      <w:spacing w:before="240" w:after="60"/>
      <w:outlineLvl w:val="3"/>
    </w:pPr>
    <w:rPr>
      <w:b/>
      <w:bCs/>
      <w:sz w:val="28"/>
      <w:szCs w:val="28"/>
    </w:rPr>
  </w:style>
  <w:style w:type="paragraph" w:styleId="Nagwek5">
    <w:name w:val="heading 5"/>
    <w:basedOn w:val="Normalny"/>
    <w:next w:val="Normalny"/>
    <w:qFormat/>
    <w:rsid w:val="00D66C93"/>
    <w:pPr>
      <w:numPr>
        <w:ilvl w:val="4"/>
        <w:numId w:val="12"/>
      </w:numPr>
      <w:spacing w:before="240" w:after="60"/>
      <w:outlineLvl w:val="4"/>
    </w:pPr>
    <w:rPr>
      <w:b/>
      <w:bCs/>
      <w:i/>
      <w:iCs/>
      <w:sz w:val="26"/>
      <w:szCs w:val="26"/>
    </w:rPr>
  </w:style>
  <w:style w:type="paragraph" w:styleId="Nagwek6">
    <w:name w:val="heading 6"/>
    <w:basedOn w:val="Normalny"/>
    <w:next w:val="Normalny"/>
    <w:qFormat/>
    <w:rsid w:val="00D66C93"/>
    <w:pPr>
      <w:numPr>
        <w:ilvl w:val="5"/>
        <w:numId w:val="12"/>
      </w:numPr>
      <w:spacing w:before="240" w:after="60"/>
      <w:outlineLvl w:val="5"/>
    </w:pPr>
    <w:rPr>
      <w:b/>
      <w:bCs/>
      <w:sz w:val="22"/>
      <w:szCs w:val="22"/>
    </w:rPr>
  </w:style>
  <w:style w:type="paragraph" w:styleId="Nagwek7">
    <w:name w:val="heading 7"/>
    <w:basedOn w:val="Normalny"/>
    <w:next w:val="Normalny"/>
    <w:qFormat/>
    <w:rsid w:val="00D66C93"/>
    <w:pPr>
      <w:numPr>
        <w:ilvl w:val="6"/>
        <w:numId w:val="12"/>
      </w:numPr>
      <w:spacing w:before="240" w:after="60"/>
      <w:outlineLvl w:val="6"/>
    </w:pPr>
    <w:rPr>
      <w:szCs w:val="24"/>
    </w:rPr>
  </w:style>
  <w:style w:type="paragraph" w:styleId="Nagwek8">
    <w:name w:val="heading 8"/>
    <w:basedOn w:val="Normalny"/>
    <w:next w:val="Normalny"/>
    <w:qFormat/>
    <w:rsid w:val="00D66C93"/>
    <w:pPr>
      <w:numPr>
        <w:ilvl w:val="7"/>
        <w:numId w:val="12"/>
      </w:numPr>
      <w:spacing w:before="240" w:after="60"/>
      <w:outlineLvl w:val="7"/>
    </w:pPr>
    <w:rPr>
      <w:i/>
      <w:iCs/>
      <w:szCs w:val="24"/>
    </w:rPr>
  </w:style>
  <w:style w:type="paragraph" w:styleId="Nagwek9">
    <w:name w:val="heading 9"/>
    <w:basedOn w:val="Normalny"/>
    <w:next w:val="Normalny"/>
    <w:qFormat/>
    <w:rsid w:val="00D66C93"/>
    <w:pPr>
      <w:numPr>
        <w:ilvl w:val="8"/>
        <w:numId w:val="1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piHA">
    <w:name w:val="Opi_H_A"/>
    <w:basedOn w:val="JuHIRoman"/>
    <w:next w:val="OpiPara"/>
    <w:rsid w:val="00D66C93"/>
    <w:pPr>
      <w:tabs>
        <w:tab w:val="clear" w:pos="357"/>
      </w:tabs>
    </w:pPr>
    <w:rPr>
      <w:b/>
    </w:rPr>
  </w:style>
  <w:style w:type="paragraph" w:customStyle="1" w:styleId="JuHIRoman">
    <w:name w:val="Ju_H_I_Roman"/>
    <w:basedOn w:val="JuHHead"/>
    <w:next w:val="JuPara"/>
    <w:rsid w:val="00D66C93"/>
    <w:pPr>
      <w:tabs>
        <w:tab w:val="left" w:pos="357"/>
      </w:tabs>
      <w:spacing w:before="360"/>
      <w:ind w:left="357" w:hanging="357"/>
      <w:outlineLvl w:val="1"/>
    </w:pPr>
    <w:rPr>
      <w:sz w:val="24"/>
    </w:rPr>
  </w:style>
  <w:style w:type="paragraph" w:customStyle="1" w:styleId="JuHHead">
    <w:name w:val="Ju_H_Head"/>
    <w:basedOn w:val="NormalTimesNewRoman"/>
    <w:next w:val="JuPara"/>
    <w:rsid w:val="00D66C93"/>
    <w:pPr>
      <w:keepNext/>
      <w:keepLines/>
      <w:spacing w:before="720" w:after="240"/>
      <w:jc w:val="both"/>
      <w:outlineLvl w:val="0"/>
    </w:pPr>
    <w:rPr>
      <w:sz w:val="28"/>
    </w:rPr>
  </w:style>
  <w:style w:type="character" w:customStyle="1" w:styleId="DefaultTimesNewRoman">
    <w:name w:val="Default_TimesNewRoman"/>
    <w:rsid w:val="00D66C93"/>
    <w:rPr>
      <w:rFonts w:ascii="Times New Roman" w:hAnsi="Times New Roman"/>
    </w:rPr>
  </w:style>
  <w:style w:type="paragraph" w:customStyle="1" w:styleId="JuPara">
    <w:name w:val="Ju_Para"/>
    <w:aliases w:val="Left,First line:  0 cm"/>
    <w:basedOn w:val="NormalTimesNewRoman"/>
    <w:link w:val="JuParaChar"/>
    <w:rsid w:val="00D66C93"/>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D66C93"/>
  </w:style>
  <w:style w:type="paragraph" w:customStyle="1" w:styleId="OpiH1">
    <w:name w:val="Opi_H_1."/>
    <w:basedOn w:val="OpiHA"/>
    <w:next w:val="OpiPara"/>
    <w:rsid w:val="00D66C93"/>
    <w:pPr>
      <w:spacing w:before="240" w:after="120"/>
      <w:ind w:left="635"/>
      <w:outlineLvl w:val="2"/>
    </w:pPr>
    <w:rPr>
      <w:b w:val="0"/>
      <w:i/>
    </w:rPr>
  </w:style>
  <w:style w:type="paragraph" w:customStyle="1" w:styleId="OpiHa0">
    <w:name w:val="Opi_H_a"/>
    <w:basedOn w:val="OpiH1"/>
    <w:next w:val="OpiPara"/>
    <w:rsid w:val="00D66C93"/>
    <w:pPr>
      <w:ind w:left="833"/>
      <w:outlineLvl w:val="3"/>
    </w:pPr>
    <w:rPr>
      <w:b/>
      <w:i w:val="0"/>
      <w:sz w:val="20"/>
    </w:rPr>
  </w:style>
  <w:style w:type="paragraph" w:customStyle="1" w:styleId="OpiHHead">
    <w:name w:val="Opi_H_Head"/>
    <w:basedOn w:val="JuHHead"/>
    <w:next w:val="OpiPara"/>
    <w:rsid w:val="00D66C93"/>
    <w:pPr>
      <w:spacing w:before="0"/>
      <w:jc w:val="center"/>
    </w:pPr>
  </w:style>
  <w:style w:type="paragraph" w:customStyle="1" w:styleId="OpiHi">
    <w:name w:val="Opi_H_i"/>
    <w:basedOn w:val="OpiHa0"/>
    <w:next w:val="OpiPara"/>
    <w:rsid w:val="00D66C93"/>
    <w:pPr>
      <w:ind w:left="1037"/>
      <w:outlineLvl w:val="4"/>
    </w:pPr>
    <w:rPr>
      <w:b w:val="0"/>
      <w:i/>
    </w:rPr>
  </w:style>
  <w:style w:type="paragraph" w:styleId="Stopka">
    <w:name w:val="footer"/>
    <w:basedOn w:val="NormalTimesNewRoman"/>
    <w:rsid w:val="00D66C93"/>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D66C93"/>
    <w:pPr>
      <w:tabs>
        <w:tab w:val="left" w:pos="567"/>
        <w:tab w:val="left" w:pos="1134"/>
      </w:tabs>
    </w:pPr>
  </w:style>
  <w:style w:type="character" w:customStyle="1" w:styleId="JuJudgesChar">
    <w:name w:val="Ju_Judges Char"/>
    <w:link w:val="JuJudges"/>
    <w:uiPriority w:val="11"/>
    <w:locked/>
    <w:rsid w:val="00D15473"/>
    <w:rPr>
      <w:sz w:val="24"/>
      <w:lang w:val="en-GB" w:eastAsia="fr-FR" w:bidi="ar-SA"/>
    </w:rPr>
  </w:style>
  <w:style w:type="paragraph" w:customStyle="1" w:styleId="JuHA">
    <w:name w:val="Ju_H_A"/>
    <w:basedOn w:val="JuHIRoman"/>
    <w:next w:val="JuPara"/>
    <w:rsid w:val="00D66C93"/>
    <w:pPr>
      <w:tabs>
        <w:tab w:val="clear" w:pos="357"/>
        <w:tab w:val="left" w:pos="584"/>
      </w:tabs>
      <w:ind w:left="584" w:hanging="352"/>
      <w:outlineLvl w:val="2"/>
    </w:pPr>
    <w:rPr>
      <w:b/>
    </w:rPr>
  </w:style>
  <w:style w:type="paragraph" w:customStyle="1" w:styleId="JuQuot">
    <w:name w:val="Ju_Quot"/>
    <w:basedOn w:val="JuPara"/>
    <w:rsid w:val="00D66C93"/>
    <w:pPr>
      <w:spacing w:before="120" w:after="120"/>
      <w:ind w:left="425" w:firstLine="142"/>
    </w:pPr>
    <w:rPr>
      <w:sz w:val="20"/>
    </w:rPr>
  </w:style>
  <w:style w:type="paragraph" w:customStyle="1" w:styleId="JuSigned">
    <w:name w:val="Ju_Signed"/>
    <w:basedOn w:val="NormalTimesNewRoman"/>
    <w:next w:val="JuParaLast"/>
    <w:link w:val="JuSignedChar"/>
    <w:rsid w:val="00D66C93"/>
    <w:pPr>
      <w:tabs>
        <w:tab w:val="center" w:pos="851"/>
        <w:tab w:val="center" w:pos="6407"/>
      </w:tabs>
      <w:spacing w:before="720"/>
    </w:pPr>
  </w:style>
  <w:style w:type="paragraph" w:customStyle="1" w:styleId="JuParaLast">
    <w:name w:val="Ju_Para_Last"/>
    <w:basedOn w:val="JuPara"/>
    <w:next w:val="JuPara"/>
    <w:rsid w:val="00D66C93"/>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66C93"/>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66C93"/>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66C93"/>
    <w:pPr>
      <w:ind w:left="0" w:firstLine="0"/>
      <w:jc w:val="center"/>
    </w:pPr>
  </w:style>
  <w:style w:type="paragraph" w:customStyle="1" w:styleId="JuHa0">
    <w:name w:val="Ju_H_a"/>
    <w:basedOn w:val="JuH1"/>
    <w:next w:val="JuPara"/>
    <w:rsid w:val="00D66C93"/>
    <w:pPr>
      <w:tabs>
        <w:tab w:val="clear" w:pos="731"/>
        <w:tab w:val="left" w:pos="975"/>
      </w:tabs>
      <w:ind w:left="975" w:hanging="340"/>
      <w:outlineLvl w:val="4"/>
    </w:pPr>
    <w:rPr>
      <w:b/>
      <w:i w:val="0"/>
      <w:sz w:val="20"/>
    </w:rPr>
  </w:style>
  <w:style w:type="paragraph" w:customStyle="1" w:styleId="JuH1">
    <w:name w:val="Ju_H_1."/>
    <w:basedOn w:val="JuHA"/>
    <w:next w:val="JuPara"/>
    <w:rsid w:val="00D66C93"/>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3F70A1"/>
    <w:pPr>
      <w:tabs>
        <w:tab w:val="left" w:pos="1021"/>
      </w:tabs>
      <w:ind w:left="567" w:firstLine="0"/>
    </w:pPr>
  </w:style>
  <w:style w:type="paragraph" w:customStyle="1" w:styleId="JuCourt">
    <w:name w:val="Ju_Court"/>
    <w:basedOn w:val="JuJudges"/>
    <w:rsid w:val="00D66C9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D66C93"/>
  </w:style>
  <w:style w:type="paragraph" w:customStyle="1" w:styleId="OpiTranslation">
    <w:name w:val="Opi_Translation"/>
    <w:basedOn w:val="OpiHHead"/>
    <w:next w:val="OpiPara"/>
    <w:rsid w:val="00D66C93"/>
    <w:rPr>
      <w:i/>
      <w:sz w:val="24"/>
    </w:rPr>
  </w:style>
  <w:style w:type="paragraph" w:styleId="Tekstprzypisudolnego">
    <w:name w:val="footnote text"/>
    <w:basedOn w:val="Normalny"/>
    <w:semiHidden/>
    <w:rsid w:val="00D66C93"/>
    <w:pPr>
      <w:jc w:val="both"/>
    </w:pPr>
    <w:rPr>
      <w:sz w:val="20"/>
    </w:rPr>
  </w:style>
  <w:style w:type="character" w:styleId="Odwoanieprzypisudolnego">
    <w:name w:val="footnote reference"/>
    <w:semiHidden/>
    <w:rsid w:val="00D66C93"/>
    <w:rPr>
      <w:vertAlign w:val="superscript"/>
    </w:rPr>
  </w:style>
  <w:style w:type="paragraph" w:customStyle="1" w:styleId="JuHi">
    <w:name w:val="Ju_H_i"/>
    <w:basedOn w:val="JuHa0"/>
    <w:next w:val="JuPara"/>
    <w:rsid w:val="00D66C93"/>
    <w:pPr>
      <w:tabs>
        <w:tab w:val="clear" w:pos="975"/>
        <w:tab w:val="left" w:pos="1191"/>
      </w:tabs>
      <w:ind w:left="1190" w:hanging="357"/>
      <w:outlineLvl w:val="5"/>
    </w:pPr>
    <w:rPr>
      <w:b w:val="0"/>
      <w:i/>
    </w:rPr>
  </w:style>
  <w:style w:type="paragraph" w:styleId="Nagwek">
    <w:name w:val="header"/>
    <w:basedOn w:val="NormalTimesNewRoman"/>
    <w:rsid w:val="00D66C93"/>
    <w:pPr>
      <w:tabs>
        <w:tab w:val="center" w:pos="3686"/>
        <w:tab w:val="right" w:pos="7371"/>
      </w:tabs>
    </w:pPr>
    <w:rPr>
      <w:sz w:val="18"/>
    </w:rPr>
  </w:style>
  <w:style w:type="character" w:styleId="Numerstrony">
    <w:name w:val="page number"/>
    <w:rsid w:val="00D66C93"/>
    <w:rPr>
      <w:sz w:val="18"/>
    </w:rPr>
  </w:style>
  <w:style w:type="paragraph" w:customStyle="1" w:styleId="JuH">
    <w:name w:val="Ju_H_–"/>
    <w:basedOn w:val="JuHalpha"/>
    <w:next w:val="JuPara"/>
    <w:rsid w:val="00D66C93"/>
    <w:pPr>
      <w:tabs>
        <w:tab w:val="clear" w:pos="1372"/>
      </w:tabs>
      <w:ind w:left="1236" w:firstLine="0"/>
    </w:pPr>
    <w:rPr>
      <w:i/>
    </w:rPr>
  </w:style>
  <w:style w:type="paragraph" w:customStyle="1" w:styleId="JuHalpha">
    <w:name w:val="Ju_H_alpha"/>
    <w:basedOn w:val="JuHi"/>
    <w:next w:val="JuPara"/>
    <w:rsid w:val="00D66C93"/>
    <w:pPr>
      <w:tabs>
        <w:tab w:val="clear" w:pos="1191"/>
        <w:tab w:val="left" w:pos="1372"/>
      </w:tabs>
      <w:ind w:left="1373" w:hanging="335"/>
    </w:pPr>
    <w:rPr>
      <w:i w:val="0"/>
    </w:rPr>
  </w:style>
  <w:style w:type="paragraph" w:customStyle="1" w:styleId="JuLista">
    <w:name w:val="Ju_List_a"/>
    <w:basedOn w:val="JuList"/>
    <w:rsid w:val="00D66C93"/>
    <w:pPr>
      <w:ind w:left="346" w:firstLine="0"/>
    </w:pPr>
  </w:style>
  <w:style w:type="paragraph" w:customStyle="1" w:styleId="JuListi">
    <w:name w:val="Ju_List_i"/>
    <w:basedOn w:val="JuLista"/>
    <w:rsid w:val="00D66C93"/>
    <w:pPr>
      <w:ind w:left="794"/>
    </w:pPr>
  </w:style>
  <w:style w:type="character" w:styleId="Odwoaniedokomentarza">
    <w:name w:val="annotation reference"/>
    <w:semiHidden/>
    <w:rsid w:val="00D66C93"/>
    <w:rPr>
      <w:sz w:val="16"/>
      <w:szCs w:val="16"/>
    </w:rPr>
  </w:style>
  <w:style w:type="paragraph" w:styleId="Tekstkomentarza">
    <w:name w:val="annotation text"/>
    <w:basedOn w:val="Normalny"/>
    <w:semiHidden/>
    <w:rsid w:val="00D66C93"/>
    <w:rPr>
      <w:sz w:val="20"/>
    </w:rPr>
  </w:style>
  <w:style w:type="paragraph" w:customStyle="1" w:styleId="JuInitialled">
    <w:name w:val="Ju_Initialled"/>
    <w:basedOn w:val="JuSigned"/>
    <w:rsid w:val="00D66C93"/>
    <w:pPr>
      <w:tabs>
        <w:tab w:val="clear" w:pos="851"/>
      </w:tabs>
      <w:jc w:val="right"/>
    </w:pPr>
  </w:style>
  <w:style w:type="paragraph" w:customStyle="1" w:styleId="JuHeader">
    <w:name w:val="Ju_Header"/>
    <w:basedOn w:val="Nagwek"/>
    <w:rsid w:val="00D66C93"/>
  </w:style>
  <w:style w:type="paragraph" w:customStyle="1" w:styleId="DecHTitle">
    <w:name w:val="Dec_H_Title"/>
    <w:basedOn w:val="NormalTimesNewRoman"/>
    <w:rsid w:val="00D66C93"/>
    <w:pPr>
      <w:spacing w:after="240"/>
      <w:jc w:val="center"/>
      <w:outlineLvl w:val="0"/>
    </w:pPr>
    <w:rPr>
      <w:sz w:val="28"/>
    </w:rPr>
  </w:style>
  <w:style w:type="paragraph" w:customStyle="1" w:styleId="DecHCase">
    <w:name w:val="Dec_H_Case"/>
    <w:basedOn w:val="DecHTitle"/>
    <w:next w:val="JuPara"/>
    <w:rsid w:val="00D66C93"/>
    <w:rPr>
      <w:sz w:val="24"/>
    </w:rPr>
  </w:style>
  <w:style w:type="paragraph" w:customStyle="1" w:styleId="DecList">
    <w:name w:val="Dec_List"/>
    <w:basedOn w:val="NormalTimesNewRoman"/>
    <w:rsid w:val="00D66C93"/>
    <w:pPr>
      <w:spacing w:before="240"/>
      <w:ind w:left="284"/>
      <w:jc w:val="both"/>
    </w:pPr>
  </w:style>
  <w:style w:type="paragraph" w:customStyle="1" w:styleId="JuParaSub">
    <w:name w:val="Ju_Para_Sub"/>
    <w:basedOn w:val="JuPara"/>
    <w:rsid w:val="00D66C93"/>
    <w:pPr>
      <w:ind w:left="284"/>
    </w:pPr>
    <w:rPr>
      <w:szCs w:val="24"/>
    </w:rPr>
  </w:style>
  <w:style w:type="paragraph" w:customStyle="1" w:styleId="JuQuotSub">
    <w:name w:val="Ju_Quot_Sub"/>
    <w:basedOn w:val="JuQuot"/>
    <w:rsid w:val="00D66C93"/>
    <w:pPr>
      <w:ind w:left="567"/>
    </w:pPr>
  </w:style>
  <w:style w:type="paragraph" w:styleId="Tekstdymka">
    <w:name w:val="Balloon Text"/>
    <w:basedOn w:val="Normalny"/>
    <w:semiHidden/>
    <w:rsid w:val="00D66C93"/>
    <w:rPr>
      <w:rFonts w:ascii="Tahoma" w:hAnsi="Tahoma" w:cs="Tahoma"/>
      <w:sz w:val="16"/>
      <w:szCs w:val="16"/>
    </w:rPr>
  </w:style>
  <w:style w:type="paragraph" w:styleId="Tematkomentarza">
    <w:name w:val="annotation subject"/>
    <w:basedOn w:val="Tekstkomentarza"/>
    <w:next w:val="Tekstkomentarza"/>
    <w:semiHidden/>
    <w:rsid w:val="00D66C93"/>
    <w:rPr>
      <w:b/>
      <w:bCs/>
    </w:rPr>
  </w:style>
  <w:style w:type="character" w:styleId="Odwoanieprzypisukocowego">
    <w:name w:val="endnote reference"/>
    <w:semiHidden/>
    <w:rsid w:val="00D66C93"/>
    <w:rPr>
      <w:vertAlign w:val="superscript"/>
    </w:rPr>
  </w:style>
  <w:style w:type="paragraph" w:styleId="Tekstprzypisukocowego">
    <w:name w:val="endnote text"/>
    <w:basedOn w:val="Normalny"/>
    <w:semiHidden/>
    <w:rsid w:val="00D66C93"/>
    <w:rPr>
      <w:sz w:val="20"/>
    </w:rPr>
  </w:style>
  <w:style w:type="character" w:styleId="UyteHipercze">
    <w:name w:val="FollowedHyperlink"/>
    <w:rsid w:val="00D66C93"/>
    <w:rPr>
      <w:color w:val="800080"/>
      <w:u w:val="single"/>
    </w:rPr>
  </w:style>
  <w:style w:type="paragraph" w:customStyle="1" w:styleId="SuCoverTitle1">
    <w:name w:val="Su_Cover_Title1"/>
    <w:basedOn w:val="NormalTimesNewRoman"/>
    <w:next w:val="SuCoverTitle2"/>
    <w:rsid w:val="00D66C93"/>
    <w:pPr>
      <w:spacing w:before="2500"/>
      <w:jc w:val="center"/>
    </w:pPr>
    <w:rPr>
      <w:sz w:val="22"/>
    </w:rPr>
  </w:style>
  <w:style w:type="paragraph" w:customStyle="1" w:styleId="SuCoverTitle2">
    <w:name w:val="Su_Cover_Title2"/>
    <w:basedOn w:val="SuCoverTitle1"/>
    <w:next w:val="Normalny"/>
    <w:rsid w:val="00D66C93"/>
    <w:pPr>
      <w:spacing w:before="240"/>
    </w:pPr>
    <w:rPr>
      <w:sz w:val="18"/>
    </w:rPr>
  </w:style>
  <w:style w:type="paragraph" w:customStyle="1" w:styleId="SuPara">
    <w:name w:val="Su_Para"/>
    <w:basedOn w:val="SuKeywords"/>
    <w:rsid w:val="00D66C93"/>
    <w:pPr>
      <w:spacing w:before="0" w:after="0"/>
    </w:pPr>
    <w:rPr>
      <w:i w:val="0"/>
    </w:rPr>
  </w:style>
  <w:style w:type="paragraph" w:customStyle="1" w:styleId="SuKeywords">
    <w:name w:val="Su_Keywords"/>
    <w:basedOn w:val="SuHHead"/>
    <w:rsid w:val="00D66C93"/>
    <w:pPr>
      <w:spacing w:before="120"/>
    </w:pPr>
    <w:rPr>
      <w:b w:val="0"/>
      <w:i/>
    </w:rPr>
  </w:style>
  <w:style w:type="paragraph" w:customStyle="1" w:styleId="SuHHead">
    <w:name w:val="Su_H_Head"/>
    <w:basedOn w:val="SuSubject"/>
    <w:rsid w:val="00D66C93"/>
    <w:pPr>
      <w:spacing w:after="120"/>
    </w:pPr>
  </w:style>
  <w:style w:type="paragraph" w:customStyle="1" w:styleId="SuSubject">
    <w:name w:val="Su_Subject"/>
    <w:basedOn w:val="SuSummary"/>
    <w:rsid w:val="00D66C93"/>
    <w:pPr>
      <w:spacing w:before="360"/>
      <w:jc w:val="both"/>
    </w:pPr>
    <w:rPr>
      <w:b/>
      <w:sz w:val="22"/>
    </w:rPr>
  </w:style>
  <w:style w:type="paragraph" w:customStyle="1" w:styleId="SuSummary">
    <w:name w:val="Su_Summary"/>
    <w:basedOn w:val="NormalTimesNewRoman"/>
    <w:next w:val="SuSubject"/>
    <w:rsid w:val="00D66C93"/>
    <w:pPr>
      <w:spacing w:after="240"/>
      <w:jc w:val="center"/>
    </w:pPr>
  </w:style>
  <w:style w:type="paragraph" w:customStyle="1" w:styleId="OpiParaSub">
    <w:name w:val="Opi_Para_Sub"/>
    <w:basedOn w:val="JuParaSub"/>
    <w:rsid w:val="00D66C93"/>
  </w:style>
  <w:style w:type="paragraph" w:customStyle="1" w:styleId="OpiQuotSub">
    <w:name w:val="Opi_Quot_Sub"/>
    <w:basedOn w:val="JuQuotSub"/>
    <w:rsid w:val="00D66C93"/>
  </w:style>
  <w:style w:type="character" w:styleId="Hipercze">
    <w:name w:val="Hyperlink"/>
    <w:rsid w:val="00D66C93"/>
    <w:rPr>
      <w:color w:val="0000FF"/>
      <w:u w:val="single"/>
    </w:rPr>
  </w:style>
  <w:style w:type="character" w:styleId="Pogrubienie">
    <w:name w:val="Strong"/>
    <w:qFormat/>
    <w:rsid w:val="00D66C93"/>
    <w:rPr>
      <w:b/>
      <w:bCs/>
    </w:rPr>
  </w:style>
  <w:style w:type="paragraph" w:styleId="Mapadokumentu">
    <w:name w:val="Document Map"/>
    <w:basedOn w:val="Normalny"/>
    <w:semiHidden/>
    <w:rsid w:val="00D66C93"/>
    <w:pPr>
      <w:shd w:val="clear" w:color="auto" w:fill="000080"/>
    </w:pPr>
    <w:rPr>
      <w:rFonts w:ascii="Tahoma" w:hAnsi="Tahoma" w:cs="Tahoma"/>
      <w:sz w:val="20"/>
    </w:rPr>
  </w:style>
  <w:style w:type="character" w:customStyle="1" w:styleId="JuNames">
    <w:name w:val="Ju_Names"/>
    <w:rsid w:val="00D66C93"/>
    <w:rPr>
      <w:smallCaps/>
    </w:rPr>
  </w:style>
  <w:style w:type="paragraph" w:customStyle="1" w:styleId="NormalJustified">
    <w:name w:val="Normal_Justified"/>
    <w:basedOn w:val="NormalTimesNewRoman"/>
    <w:rsid w:val="00D66C93"/>
    <w:pPr>
      <w:jc w:val="both"/>
    </w:pPr>
  </w:style>
  <w:style w:type="paragraph" w:customStyle="1" w:styleId="JuAppQuestion">
    <w:name w:val="Ju_App_Question"/>
    <w:basedOn w:val="Listapunktowana"/>
    <w:rsid w:val="00D66C93"/>
    <w:pPr>
      <w:numPr>
        <w:numId w:val="3"/>
      </w:numPr>
    </w:pPr>
    <w:rPr>
      <w:b/>
      <w:color w:val="333333"/>
    </w:rPr>
  </w:style>
  <w:style w:type="paragraph" w:styleId="Listapunktowana">
    <w:name w:val="List Bullet"/>
    <w:basedOn w:val="NormalTimesNewRoman"/>
    <w:rsid w:val="00D66C93"/>
    <w:pPr>
      <w:numPr>
        <w:numId w:val="2"/>
      </w:numPr>
    </w:pPr>
  </w:style>
  <w:style w:type="paragraph" w:customStyle="1" w:styleId="NormalTimesNewRoman">
    <w:name w:val="Normal_TimesNewRoman"/>
    <w:rsid w:val="00D66C93"/>
    <w:rPr>
      <w:sz w:val="24"/>
      <w:lang w:val="en-GB" w:eastAsia="fr-FR"/>
    </w:rPr>
  </w:style>
  <w:style w:type="character" w:customStyle="1" w:styleId="JuITMark">
    <w:name w:val="Ju_ITMark"/>
    <w:rsid w:val="00D66C93"/>
    <w:rPr>
      <w:rFonts w:ascii="Times New Roman" w:hAnsi="Times New Roman"/>
      <w:b w:val="0"/>
      <w:i w:val="0"/>
      <w:caps w:val="0"/>
      <w:smallCaps w:val="0"/>
      <w:strike w:val="0"/>
      <w:dstrike w:val="0"/>
      <w:vanish/>
      <w:color w:val="339966"/>
      <w:sz w:val="16"/>
      <w:szCs w:val="16"/>
      <w:u w:val="none"/>
      <w:vertAlign w:val="baseline"/>
      <w:lang w:val="en-GB"/>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c">
    <w:name w:val="naisc"/>
    <w:basedOn w:val="Normalny"/>
    <w:rsid w:val="00424C76"/>
    <w:pPr>
      <w:suppressAutoHyphens w:val="0"/>
      <w:spacing w:before="100" w:beforeAutospacing="1" w:after="100" w:afterAutospacing="1"/>
    </w:pPr>
    <w:rPr>
      <w:szCs w:val="24"/>
      <w:lang w:eastAsia="en-GB"/>
    </w:rPr>
  </w:style>
  <w:style w:type="paragraph" w:customStyle="1" w:styleId="naispant">
    <w:name w:val="naispant"/>
    <w:basedOn w:val="Normalny"/>
    <w:rsid w:val="00424C76"/>
    <w:pPr>
      <w:suppressAutoHyphens w:val="0"/>
      <w:spacing w:before="100" w:beforeAutospacing="1" w:after="100" w:afterAutospacing="1"/>
    </w:pPr>
    <w:rPr>
      <w:szCs w:val="24"/>
      <w:lang w:eastAsia="en-GB"/>
    </w:rPr>
  </w:style>
  <w:style w:type="paragraph" w:customStyle="1" w:styleId="naisf">
    <w:name w:val="naisf"/>
    <w:basedOn w:val="Normalny"/>
    <w:rsid w:val="00424C76"/>
    <w:pPr>
      <w:suppressAutoHyphens w:val="0"/>
      <w:spacing w:before="100" w:beforeAutospacing="1" w:after="100" w:afterAutospacing="1"/>
    </w:pPr>
    <w:rPr>
      <w:szCs w:val="24"/>
      <w:lang w:eastAsia="en-GB"/>
    </w:rPr>
  </w:style>
  <w:style w:type="table" w:styleId="Tabela-Siatka">
    <w:name w:val="Table Grid"/>
    <w:basedOn w:val="Standardowy"/>
    <w:rsid w:val="00D66C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b621b36">
    <w:name w:val="s6b621b36"/>
    <w:basedOn w:val="Domylnaczcionkaakapitu"/>
    <w:rsid w:val="00C37663"/>
  </w:style>
  <w:style w:type="character" w:customStyle="1" w:styleId="wordhighlightedcurrentterm">
    <w:name w:val="wordhighlighted currentterm"/>
    <w:basedOn w:val="Domylnaczcionkaakapitu"/>
    <w:rsid w:val="00C37663"/>
  </w:style>
  <w:style w:type="character" w:customStyle="1" w:styleId="sb8d990e2">
    <w:name w:val="sb8d990e2"/>
    <w:basedOn w:val="Domylnaczcionkaakapitu"/>
    <w:rsid w:val="00C37663"/>
  </w:style>
  <w:style w:type="paragraph" w:customStyle="1" w:styleId="s30eec3f8">
    <w:name w:val="s30eec3f8"/>
    <w:basedOn w:val="Normalny"/>
    <w:rsid w:val="003E33BD"/>
    <w:pPr>
      <w:suppressAutoHyphens w:val="0"/>
      <w:spacing w:before="100" w:beforeAutospacing="1" w:after="100" w:afterAutospacing="1"/>
    </w:pPr>
    <w:rPr>
      <w:szCs w:val="24"/>
      <w:lang w:eastAsia="en-GB"/>
    </w:rPr>
  </w:style>
  <w:style w:type="paragraph" w:customStyle="1" w:styleId="s70227c73">
    <w:name w:val="s70227c73"/>
    <w:basedOn w:val="Normalny"/>
    <w:rsid w:val="009F7EF4"/>
    <w:pPr>
      <w:suppressAutoHyphens w:val="0"/>
      <w:spacing w:before="100" w:beforeAutospacing="1" w:after="100" w:afterAutospacing="1"/>
    </w:pPr>
    <w:rPr>
      <w:szCs w:val="24"/>
      <w:lang w:eastAsia="en-GB"/>
    </w:rPr>
  </w:style>
  <w:style w:type="paragraph" w:customStyle="1" w:styleId="CharCharCharChar">
    <w:name w:val="Char Char Char Char"/>
    <w:basedOn w:val="Normalny"/>
    <w:rsid w:val="00FC02B4"/>
    <w:pPr>
      <w:suppressAutoHyphens w:val="0"/>
      <w:spacing w:after="160" w:line="240" w:lineRule="exact"/>
    </w:pPr>
    <w:rPr>
      <w:rFonts w:ascii="Tahoma" w:hAnsi="Tahoma"/>
      <w:sz w:val="20"/>
      <w:lang w:val="en-US" w:eastAsia="en-US"/>
    </w:rPr>
  </w:style>
  <w:style w:type="paragraph" w:customStyle="1" w:styleId="s1adbd37c">
    <w:name w:val="s1adbd37c"/>
    <w:basedOn w:val="Normalny"/>
    <w:rsid w:val="00303067"/>
    <w:pPr>
      <w:suppressAutoHyphens w:val="0"/>
      <w:spacing w:before="100" w:beforeAutospacing="1" w:after="100" w:afterAutospacing="1"/>
    </w:pPr>
    <w:rPr>
      <w:szCs w:val="24"/>
      <w:lang w:eastAsia="en-GB"/>
    </w:rPr>
  </w:style>
  <w:style w:type="paragraph" w:customStyle="1" w:styleId="PubJuPara">
    <w:name w:val="Pub_Ju_Para"/>
    <w:basedOn w:val="NormalTimesNewRoman"/>
    <w:rsid w:val="00D66C93"/>
    <w:pPr>
      <w:ind w:firstLine="284"/>
      <w:jc w:val="both"/>
    </w:pPr>
  </w:style>
  <w:style w:type="paragraph" w:customStyle="1" w:styleId="PubJuQuot">
    <w:name w:val="Pub_Ju_Quot"/>
    <w:basedOn w:val="NormalTimesNewRoman"/>
    <w:rsid w:val="00D66C93"/>
    <w:pPr>
      <w:spacing w:before="120" w:after="120"/>
      <w:ind w:left="403" w:firstLine="176"/>
      <w:jc w:val="both"/>
    </w:pPr>
    <w:rPr>
      <w:sz w:val="20"/>
    </w:rPr>
  </w:style>
  <w:style w:type="paragraph" w:customStyle="1" w:styleId="PubListArticleSubject">
    <w:name w:val="Pub_List_ArticleSubject"/>
    <w:basedOn w:val="NormalTimesNewRoman"/>
    <w:rsid w:val="00D66C93"/>
    <w:pPr>
      <w:tabs>
        <w:tab w:val="left" w:pos="2977"/>
      </w:tabs>
      <w:ind w:left="2977" w:hanging="2977"/>
    </w:pPr>
  </w:style>
  <w:style w:type="paragraph" w:customStyle="1" w:styleId="PubListCaseNo">
    <w:name w:val="Pub_List_CaseNo"/>
    <w:basedOn w:val="NormalTimesNewRoman"/>
    <w:rsid w:val="00D66C93"/>
    <w:pPr>
      <w:tabs>
        <w:tab w:val="left" w:pos="1276"/>
      </w:tabs>
      <w:spacing w:line="288" w:lineRule="auto"/>
      <w:ind w:left="1276" w:hanging="1276"/>
    </w:pPr>
  </w:style>
  <w:style w:type="paragraph" w:customStyle="1" w:styleId="PubListCases">
    <w:name w:val="Pub_List_Cases"/>
    <w:basedOn w:val="NormalTimesNewRoman"/>
    <w:rsid w:val="00D66C93"/>
    <w:pPr>
      <w:spacing w:line="288" w:lineRule="auto"/>
    </w:pPr>
  </w:style>
  <w:style w:type="paragraph" w:customStyle="1" w:styleId="PubTextIntro">
    <w:name w:val="Pub_Text_Intro"/>
    <w:basedOn w:val="NormalTimesNewRoman"/>
    <w:rsid w:val="00D66C93"/>
    <w:pPr>
      <w:jc w:val="both"/>
    </w:pPr>
    <w:rPr>
      <w:i/>
      <w:sz w:val="20"/>
    </w:rPr>
  </w:style>
  <w:style w:type="paragraph" w:customStyle="1" w:styleId="PubTitleCover">
    <w:name w:val="Pub_Title_Cover"/>
    <w:basedOn w:val="NormalTimesNewRoman"/>
    <w:rsid w:val="00D66C93"/>
    <w:pPr>
      <w:spacing w:before="2500"/>
      <w:jc w:val="center"/>
    </w:pPr>
    <w:rPr>
      <w:b/>
      <w:smallCaps/>
      <w:sz w:val="30"/>
    </w:rPr>
  </w:style>
  <w:style w:type="paragraph" w:customStyle="1" w:styleId="PubTitle1Alpha">
    <w:name w:val="Pub_Title1_Alpha"/>
    <w:basedOn w:val="NormalTimesNewRoman"/>
    <w:next w:val="Normalny"/>
    <w:rsid w:val="00D66C93"/>
    <w:pPr>
      <w:spacing w:after="120"/>
      <w:jc w:val="center"/>
    </w:pPr>
    <w:rPr>
      <w:b/>
      <w:smallCaps/>
      <w:sz w:val="30"/>
    </w:rPr>
  </w:style>
  <w:style w:type="paragraph" w:customStyle="1" w:styleId="PubTitle1IndexArticle">
    <w:name w:val="Pub_Title1_IndexArticle"/>
    <w:basedOn w:val="NormalTimesNewRoman"/>
    <w:rsid w:val="00D66C93"/>
    <w:pPr>
      <w:spacing w:after="120"/>
      <w:jc w:val="center"/>
    </w:pPr>
    <w:rPr>
      <w:b/>
      <w:smallCaps/>
      <w:sz w:val="30"/>
    </w:rPr>
  </w:style>
  <w:style w:type="paragraph" w:customStyle="1" w:styleId="PubTitle1IndexKey">
    <w:name w:val="Pub_Title1_IndexKey"/>
    <w:basedOn w:val="NormalTimesNewRoman"/>
    <w:rsid w:val="00D66C93"/>
    <w:pPr>
      <w:spacing w:after="600"/>
      <w:jc w:val="center"/>
    </w:pPr>
    <w:rPr>
      <w:b/>
      <w:smallCaps/>
      <w:sz w:val="30"/>
    </w:rPr>
  </w:style>
  <w:style w:type="paragraph" w:customStyle="1" w:styleId="PubTitle1Num">
    <w:name w:val="Pub_Title1_Num"/>
    <w:basedOn w:val="NormalTimesNewRoman"/>
    <w:next w:val="PubListCaseNo"/>
    <w:rsid w:val="00D66C93"/>
    <w:pPr>
      <w:spacing w:after="720"/>
      <w:jc w:val="center"/>
    </w:pPr>
    <w:rPr>
      <w:b/>
      <w:smallCaps/>
      <w:sz w:val="30"/>
    </w:rPr>
  </w:style>
  <w:style w:type="paragraph" w:customStyle="1" w:styleId="PubTitle2Country">
    <w:name w:val="Pub_Title2_Country"/>
    <w:basedOn w:val="NormalTimesNewRoman"/>
    <w:next w:val="PubListCases"/>
    <w:rsid w:val="00D66C93"/>
    <w:pPr>
      <w:keepNext/>
      <w:keepLines/>
      <w:spacing w:before="600" w:after="360"/>
    </w:pPr>
    <w:rPr>
      <w:b/>
    </w:rPr>
  </w:style>
  <w:style w:type="paragraph" w:customStyle="1" w:styleId="PubTitle2Letters">
    <w:name w:val="Pub_Title2_Letters"/>
    <w:basedOn w:val="NormalTimesNewRoman"/>
    <w:next w:val="PubListCases"/>
    <w:rsid w:val="00D66C93"/>
    <w:pPr>
      <w:keepNext/>
      <w:keepLines/>
      <w:spacing w:before="600" w:after="360"/>
    </w:pPr>
    <w:rPr>
      <w:b/>
      <w:sz w:val="28"/>
    </w:rPr>
  </w:style>
  <w:style w:type="paragraph" w:customStyle="1" w:styleId="PubTitle2Part">
    <w:name w:val="Pub_Title2_Part"/>
    <w:basedOn w:val="NormalTimesNewRoman"/>
    <w:rsid w:val="00D66C93"/>
    <w:pPr>
      <w:keepNext/>
      <w:keepLines/>
      <w:spacing w:before="600" w:after="240"/>
      <w:jc w:val="center"/>
    </w:pPr>
    <w:rPr>
      <w:b/>
      <w:caps/>
    </w:rPr>
  </w:style>
  <w:style w:type="paragraph" w:customStyle="1" w:styleId="PubTitle3Article">
    <w:name w:val="Pub_Title3_Article"/>
    <w:basedOn w:val="NormalTimesNewRoman"/>
    <w:rsid w:val="00D66C93"/>
    <w:pPr>
      <w:keepNext/>
      <w:keepLines/>
      <w:spacing w:before="360" w:after="120"/>
      <w:jc w:val="center"/>
    </w:pPr>
    <w:rPr>
      <w:b/>
      <w:smallCaps/>
      <w:sz w:val="22"/>
    </w:rPr>
  </w:style>
  <w:style w:type="paragraph" w:customStyle="1" w:styleId="PubTitle4ArticleSub">
    <w:name w:val="Pub_Title4_Article_Sub"/>
    <w:basedOn w:val="PubTitle3Article"/>
    <w:rsid w:val="00D66C93"/>
    <w:pPr>
      <w:spacing w:before="240"/>
    </w:pPr>
    <w:rPr>
      <w:smallCaps w:val="0"/>
      <w:sz w:val="20"/>
    </w:rPr>
  </w:style>
  <w:style w:type="paragraph" w:customStyle="1" w:styleId="PubTitle5Subject">
    <w:name w:val="Pub_Title5_Subject"/>
    <w:basedOn w:val="NormalTimesNewRoman"/>
    <w:rsid w:val="00D66C93"/>
    <w:pPr>
      <w:keepNext/>
      <w:keepLines/>
      <w:spacing w:before="240" w:after="120"/>
      <w:jc w:val="both"/>
    </w:pPr>
    <w:rPr>
      <w:b/>
      <w:i/>
    </w:rPr>
  </w:style>
  <w:style w:type="paragraph" w:customStyle="1" w:styleId="PubTitle6SubjectSub">
    <w:name w:val="Pub_Title6_Subject_Sub"/>
    <w:basedOn w:val="NormalTimesNewRoman"/>
    <w:rsid w:val="00D66C93"/>
    <w:pPr>
      <w:keepNext/>
      <w:keepLines/>
      <w:spacing w:before="240" w:after="120"/>
      <w:ind w:left="284"/>
      <w:jc w:val="both"/>
    </w:pPr>
    <w:rPr>
      <w:b/>
      <w:sz w:val="20"/>
    </w:rPr>
  </w:style>
  <w:style w:type="paragraph" w:customStyle="1" w:styleId="PubTitle7CaseName">
    <w:name w:val="Pub_Title7_CaseName"/>
    <w:basedOn w:val="NormalTimesNewRoman"/>
    <w:rsid w:val="00D66C93"/>
    <w:pPr>
      <w:keepLines/>
      <w:spacing w:after="240"/>
      <w:jc w:val="right"/>
    </w:pPr>
    <w:rPr>
      <w:sz w:val="22"/>
    </w:rPr>
  </w:style>
  <w:style w:type="numbering" w:styleId="111111">
    <w:name w:val="Outline List 2"/>
    <w:basedOn w:val="Bezlisty"/>
    <w:rsid w:val="00D66C93"/>
    <w:pPr>
      <w:numPr>
        <w:numId w:val="10"/>
      </w:numPr>
    </w:pPr>
  </w:style>
  <w:style w:type="numbering" w:styleId="1ai">
    <w:name w:val="Outline List 1"/>
    <w:basedOn w:val="Bezlisty"/>
    <w:rsid w:val="00D66C93"/>
    <w:pPr>
      <w:numPr>
        <w:numId w:val="11"/>
      </w:numPr>
    </w:pPr>
  </w:style>
  <w:style w:type="numbering" w:styleId="Artykusekcja">
    <w:name w:val="Outline List 3"/>
    <w:basedOn w:val="Bezlisty"/>
    <w:rsid w:val="00D66C93"/>
    <w:pPr>
      <w:numPr>
        <w:numId w:val="12"/>
      </w:numPr>
    </w:pPr>
  </w:style>
  <w:style w:type="paragraph" w:styleId="Tekstblokowy">
    <w:name w:val="Block Text"/>
    <w:basedOn w:val="Normalny"/>
    <w:rsid w:val="00D66C93"/>
    <w:pPr>
      <w:spacing w:after="120"/>
      <w:ind w:left="1440" w:right="1440"/>
    </w:pPr>
  </w:style>
  <w:style w:type="paragraph" w:styleId="Tekstpodstawowy">
    <w:name w:val="Body Text"/>
    <w:basedOn w:val="Normalny"/>
    <w:rsid w:val="00D66C93"/>
    <w:pPr>
      <w:spacing w:after="120"/>
    </w:pPr>
  </w:style>
  <w:style w:type="paragraph" w:styleId="Tekstpodstawowy2">
    <w:name w:val="Body Text 2"/>
    <w:basedOn w:val="Normalny"/>
    <w:rsid w:val="00D66C93"/>
    <w:pPr>
      <w:spacing w:after="120" w:line="480" w:lineRule="auto"/>
    </w:pPr>
  </w:style>
  <w:style w:type="paragraph" w:styleId="Tekstpodstawowy3">
    <w:name w:val="Body Text 3"/>
    <w:basedOn w:val="Normalny"/>
    <w:rsid w:val="00D66C93"/>
    <w:pPr>
      <w:spacing w:after="120"/>
    </w:pPr>
    <w:rPr>
      <w:sz w:val="16"/>
      <w:szCs w:val="16"/>
    </w:rPr>
  </w:style>
  <w:style w:type="paragraph" w:styleId="Tekstpodstawowyzwciciem">
    <w:name w:val="Body Text First Indent"/>
    <w:basedOn w:val="Tekstpodstawowy"/>
    <w:rsid w:val="00D66C93"/>
    <w:pPr>
      <w:ind w:firstLine="210"/>
    </w:pPr>
  </w:style>
  <w:style w:type="paragraph" w:styleId="Tekstpodstawowywcity">
    <w:name w:val="Body Text Indent"/>
    <w:basedOn w:val="Normalny"/>
    <w:rsid w:val="00D66C93"/>
    <w:pPr>
      <w:spacing w:after="120"/>
      <w:ind w:left="283"/>
    </w:pPr>
  </w:style>
  <w:style w:type="paragraph" w:styleId="Tekstpodstawowyzwciciem2">
    <w:name w:val="Body Text First Indent 2"/>
    <w:basedOn w:val="Tekstpodstawowywcity"/>
    <w:rsid w:val="00D66C93"/>
    <w:pPr>
      <w:ind w:firstLine="210"/>
    </w:pPr>
  </w:style>
  <w:style w:type="paragraph" w:styleId="Tekstpodstawowywcity2">
    <w:name w:val="Body Text Indent 2"/>
    <w:basedOn w:val="Normalny"/>
    <w:rsid w:val="00D66C93"/>
    <w:pPr>
      <w:spacing w:after="120" w:line="480" w:lineRule="auto"/>
      <w:ind w:left="283"/>
    </w:pPr>
  </w:style>
  <w:style w:type="paragraph" w:styleId="Tekstpodstawowywcity3">
    <w:name w:val="Body Text Indent 3"/>
    <w:basedOn w:val="Normalny"/>
    <w:rsid w:val="00D66C93"/>
    <w:pPr>
      <w:spacing w:after="120"/>
      <w:ind w:left="283"/>
    </w:pPr>
    <w:rPr>
      <w:sz w:val="16"/>
      <w:szCs w:val="16"/>
    </w:rPr>
  </w:style>
  <w:style w:type="paragraph" w:styleId="Legenda">
    <w:name w:val="caption"/>
    <w:basedOn w:val="Normalny"/>
    <w:next w:val="Normalny"/>
    <w:qFormat/>
    <w:rsid w:val="00D66C93"/>
    <w:rPr>
      <w:b/>
      <w:bCs/>
      <w:sz w:val="20"/>
    </w:rPr>
  </w:style>
  <w:style w:type="paragraph" w:styleId="Zwrotpoegnalny">
    <w:name w:val="Closing"/>
    <w:basedOn w:val="Normalny"/>
    <w:rsid w:val="00D66C93"/>
    <w:pPr>
      <w:ind w:left="4252"/>
    </w:pPr>
  </w:style>
  <w:style w:type="paragraph" w:styleId="Data">
    <w:name w:val="Date"/>
    <w:basedOn w:val="Normalny"/>
    <w:next w:val="Normalny"/>
    <w:rsid w:val="00D66C93"/>
  </w:style>
  <w:style w:type="paragraph" w:styleId="Podpise-mail">
    <w:name w:val="E-mail Signature"/>
    <w:basedOn w:val="Normalny"/>
    <w:rsid w:val="00D66C93"/>
  </w:style>
  <w:style w:type="character" w:styleId="Uwydatnienie">
    <w:name w:val="Emphasis"/>
    <w:uiPriority w:val="20"/>
    <w:qFormat/>
    <w:rsid w:val="00D66C93"/>
    <w:rPr>
      <w:i/>
      <w:iCs/>
    </w:rPr>
  </w:style>
  <w:style w:type="paragraph" w:styleId="Adresnakopercie">
    <w:name w:val="envelope address"/>
    <w:basedOn w:val="Normalny"/>
    <w:rsid w:val="00D66C93"/>
    <w:pPr>
      <w:framePr w:w="7920" w:h="1980" w:hRule="exact" w:hSpace="180" w:wrap="auto" w:hAnchor="page" w:xAlign="center" w:yAlign="bottom"/>
      <w:ind w:left="2880"/>
    </w:pPr>
    <w:rPr>
      <w:rFonts w:ascii="Arial" w:hAnsi="Arial" w:cs="Arial"/>
      <w:szCs w:val="24"/>
    </w:rPr>
  </w:style>
  <w:style w:type="paragraph" w:styleId="Adreszwrotnynakopercie">
    <w:name w:val="envelope return"/>
    <w:basedOn w:val="Normalny"/>
    <w:rsid w:val="00D66C93"/>
    <w:rPr>
      <w:rFonts w:ascii="Arial" w:hAnsi="Arial" w:cs="Arial"/>
      <w:sz w:val="20"/>
    </w:rPr>
  </w:style>
  <w:style w:type="character" w:styleId="HTML-akronim">
    <w:name w:val="HTML Acronym"/>
    <w:basedOn w:val="Domylnaczcionkaakapitu"/>
    <w:rsid w:val="00D66C93"/>
  </w:style>
  <w:style w:type="paragraph" w:styleId="HTML-adres">
    <w:name w:val="HTML Address"/>
    <w:basedOn w:val="Normalny"/>
    <w:rsid w:val="00D66C93"/>
    <w:rPr>
      <w:i/>
      <w:iCs/>
    </w:rPr>
  </w:style>
  <w:style w:type="character" w:styleId="HTML-cytat">
    <w:name w:val="HTML Cite"/>
    <w:rsid w:val="00D66C93"/>
    <w:rPr>
      <w:i/>
      <w:iCs/>
    </w:rPr>
  </w:style>
  <w:style w:type="character" w:styleId="HTML-kod">
    <w:name w:val="HTML Code"/>
    <w:rsid w:val="00D66C93"/>
    <w:rPr>
      <w:rFonts w:ascii="Courier New" w:hAnsi="Courier New" w:cs="Courier New"/>
      <w:sz w:val="20"/>
      <w:szCs w:val="20"/>
    </w:rPr>
  </w:style>
  <w:style w:type="character" w:styleId="HTML-definicja">
    <w:name w:val="HTML Definition"/>
    <w:rsid w:val="00D66C93"/>
    <w:rPr>
      <w:i/>
      <w:iCs/>
    </w:rPr>
  </w:style>
  <w:style w:type="character" w:styleId="HTML-klawiatura">
    <w:name w:val="HTML Keyboard"/>
    <w:rsid w:val="00D66C93"/>
    <w:rPr>
      <w:rFonts w:ascii="Courier New" w:hAnsi="Courier New" w:cs="Courier New"/>
      <w:sz w:val="20"/>
      <w:szCs w:val="20"/>
    </w:rPr>
  </w:style>
  <w:style w:type="paragraph" w:styleId="HTML-wstpniesformatowany">
    <w:name w:val="HTML Preformatted"/>
    <w:basedOn w:val="Normalny"/>
    <w:rsid w:val="00D66C93"/>
    <w:rPr>
      <w:rFonts w:ascii="Courier New" w:hAnsi="Courier New" w:cs="Courier New"/>
      <w:sz w:val="20"/>
    </w:rPr>
  </w:style>
  <w:style w:type="character" w:styleId="HTML-przykad">
    <w:name w:val="HTML Sample"/>
    <w:rsid w:val="00D66C93"/>
    <w:rPr>
      <w:rFonts w:ascii="Courier New" w:hAnsi="Courier New" w:cs="Courier New"/>
    </w:rPr>
  </w:style>
  <w:style w:type="character" w:styleId="HTML-staaszeroko">
    <w:name w:val="HTML Typewriter"/>
    <w:rsid w:val="00D66C93"/>
    <w:rPr>
      <w:rFonts w:ascii="Courier New" w:hAnsi="Courier New" w:cs="Courier New"/>
      <w:sz w:val="20"/>
      <w:szCs w:val="20"/>
    </w:rPr>
  </w:style>
  <w:style w:type="character" w:styleId="HTML-zmienna">
    <w:name w:val="HTML Variable"/>
    <w:rsid w:val="00D66C93"/>
    <w:rPr>
      <w:i/>
      <w:iCs/>
    </w:rPr>
  </w:style>
  <w:style w:type="paragraph" w:styleId="Indeks1">
    <w:name w:val="index 1"/>
    <w:basedOn w:val="Normalny"/>
    <w:next w:val="Normalny"/>
    <w:autoRedefine/>
    <w:semiHidden/>
    <w:rsid w:val="00D66C93"/>
    <w:pPr>
      <w:ind w:left="240" w:hanging="240"/>
    </w:pPr>
  </w:style>
  <w:style w:type="paragraph" w:styleId="Indeks2">
    <w:name w:val="index 2"/>
    <w:basedOn w:val="Normalny"/>
    <w:next w:val="Normalny"/>
    <w:autoRedefine/>
    <w:semiHidden/>
    <w:rsid w:val="00D66C93"/>
    <w:pPr>
      <w:ind w:left="480" w:hanging="240"/>
    </w:pPr>
  </w:style>
  <w:style w:type="paragraph" w:styleId="Indeks3">
    <w:name w:val="index 3"/>
    <w:basedOn w:val="Normalny"/>
    <w:next w:val="Normalny"/>
    <w:autoRedefine/>
    <w:semiHidden/>
    <w:rsid w:val="00D66C93"/>
    <w:pPr>
      <w:ind w:left="720" w:hanging="240"/>
    </w:pPr>
  </w:style>
  <w:style w:type="paragraph" w:styleId="Indeks4">
    <w:name w:val="index 4"/>
    <w:basedOn w:val="Normalny"/>
    <w:next w:val="Normalny"/>
    <w:autoRedefine/>
    <w:semiHidden/>
    <w:rsid w:val="00D66C93"/>
    <w:pPr>
      <w:ind w:left="960" w:hanging="240"/>
    </w:pPr>
  </w:style>
  <w:style w:type="paragraph" w:styleId="Indeks5">
    <w:name w:val="index 5"/>
    <w:basedOn w:val="Normalny"/>
    <w:next w:val="Normalny"/>
    <w:autoRedefine/>
    <w:semiHidden/>
    <w:rsid w:val="00D66C93"/>
    <w:pPr>
      <w:ind w:left="1200" w:hanging="240"/>
    </w:pPr>
  </w:style>
  <w:style w:type="paragraph" w:styleId="Indeks6">
    <w:name w:val="index 6"/>
    <w:basedOn w:val="Normalny"/>
    <w:next w:val="Normalny"/>
    <w:autoRedefine/>
    <w:semiHidden/>
    <w:rsid w:val="00D66C93"/>
    <w:pPr>
      <w:ind w:left="1440" w:hanging="240"/>
    </w:pPr>
  </w:style>
  <w:style w:type="paragraph" w:styleId="Indeks7">
    <w:name w:val="index 7"/>
    <w:basedOn w:val="Normalny"/>
    <w:next w:val="Normalny"/>
    <w:autoRedefine/>
    <w:semiHidden/>
    <w:rsid w:val="00D66C93"/>
    <w:pPr>
      <w:ind w:left="1680" w:hanging="240"/>
    </w:pPr>
  </w:style>
  <w:style w:type="paragraph" w:styleId="Indeks8">
    <w:name w:val="index 8"/>
    <w:basedOn w:val="Normalny"/>
    <w:next w:val="Normalny"/>
    <w:autoRedefine/>
    <w:semiHidden/>
    <w:rsid w:val="00D66C93"/>
    <w:pPr>
      <w:ind w:left="1920" w:hanging="240"/>
    </w:pPr>
  </w:style>
  <w:style w:type="paragraph" w:styleId="Indeks9">
    <w:name w:val="index 9"/>
    <w:basedOn w:val="Normalny"/>
    <w:next w:val="Normalny"/>
    <w:autoRedefine/>
    <w:semiHidden/>
    <w:rsid w:val="00D66C93"/>
    <w:pPr>
      <w:ind w:left="2160" w:hanging="240"/>
    </w:pPr>
  </w:style>
  <w:style w:type="paragraph" w:styleId="Nagwekindeksu">
    <w:name w:val="index heading"/>
    <w:basedOn w:val="Normalny"/>
    <w:next w:val="Indeks1"/>
    <w:semiHidden/>
    <w:rsid w:val="00D66C93"/>
    <w:rPr>
      <w:rFonts w:ascii="Arial" w:hAnsi="Arial" w:cs="Arial"/>
      <w:b/>
      <w:bCs/>
    </w:rPr>
  </w:style>
  <w:style w:type="character" w:styleId="Numerwiersza">
    <w:name w:val="line number"/>
    <w:basedOn w:val="Domylnaczcionkaakapitu"/>
    <w:rsid w:val="00D66C93"/>
  </w:style>
  <w:style w:type="paragraph" w:styleId="Lista">
    <w:name w:val="List"/>
    <w:basedOn w:val="Normalny"/>
    <w:rsid w:val="00D66C93"/>
    <w:pPr>
      <w:ind w:left="283" w:hanging="283"/>
    </w:pPr>
  </w:style>
  <w:style w:type="paragraph" w:styleId="Lista2">
    <w:name w:val="List 2"/>
    <w:basedOn w:val="Normalny"/>
    <w:rsid w:val="00D66C93"/>
    <w:pPr>
      <w:ind w:left="566" w:hanging="283"/>
    </w:pPr>
  </w:style>
  <w:style w:type="paragraph" w:styleId="Lista3">
    <w:name w:val="List 3"/>
    <w:basedOn w:val="Normalny"/>
    <w:rsid w:val="00D66C93"/>
    <w:pPr>
      <w:ind w:left="849" w:hanging="283"/>
    </w:pPr>
  </w:style>
  <w:style w:type="paragraph" w:styleId="Lista4">
    <w:name w:val="List 4"/>
    <w:basedOn w:val="Normalny"/>
    <w:rsid w:val="00D66C93"/>
    <w:pPr>
      <w:ind w:left="1132" w:hanging="283"/>
    </w:pPr>
  </w:style>
  <w:style w:type="paragraph" w:styleId="Lista5">
    <w:name w:val="List 5"/>
    <w:basedOn w:val="Normalny"/>
    <w:rsid w:val="00D66C93"/>
    <w:pPr>
      <w:ind w:left="1415" w:hanging="283"/>
    </w:pPr>
  </w:style>
  <w:style w:type="paragraph" w:styleId="Listapunktowana2">
    <w:name w:val="List Bullet 2"/>
    <w:basedOn w:val="Normalny"/>
    <w:rsid w:val="00D66C93"/>
    <w:pPr>
      <w:numPr>
        <w:numId w:val="13"/>
      </w:numPr>
    </w:pPr>
  </w:style>
  <w:style w:type="paragraph" w:styleId="Listapunktowana3">
    <w:name w:val="List Bullet 3"/>
    <w:basedOn w:val="Normalny"/>
    <w:rsid w:val="00D66C93"/>
    <w:pPr>
      <w:numPr>
        <w:numId w:val="14"/>
      </w:numPr>
    </w:pPr>
  </w:style>
  <w:style w:type="paragraph" w:styleId="Listapunktowana4">
    <w:name w:val="List Bullet 4"/>
    <w:basedOn w:val="Normalny"/>
    <w:rsid w:val="00D66C93"/>
    <w:pPr>
      <w:numPr>
        <w:numId w:val="15"/>
      </w:numPr>
    </w:pPr>
  </w:style>
  <w:style w:type="paragraph" w:styleId="Listapunktowana5">
    <w:name w:val="List Bullet 5"/>
    <w:basedOn w:val="Normalny"/>
    <w:rsid w:val="00D66C93"/>
    <w:pPr>
      <w:numPr>
        <w:numId w:val="16"/>
      </w:numPr>
    </w:pPr>
  </w:style>
  <w:style w:type="paragraph" w:styleId="Lista-kontynuacja">
    <w:name w:val="List Continue"/>
    <w:basedOn w:val="Normalny"/>
    <w:rsid w:val="00D66C93"/>
    <w:pPr>
      <w:spacing w:after="120"/>
      <w:ind w:left="283"/>
    </w:pPr>
  </w:style>
  <w:style w:type="paragraph" w:styleId="Lista-kontynuacja2">
    <w:name w:val="List Continue 2"/>
    <w:basedOn w:val="Normalny"/>
    <w:rsid w:val="00D66C93"/>
    <w:pPr>
      <w:spacing w:after="120"/>
      <w:ind w:left="566"/>
    </w:pPr>
  </w:style>
  <w:style w:type="paragraph" w:styleId="Lista-kontynuacja3">
    <w:name w:val="List Continue 3"/>
    <w:basedOn w:val="Normalny"/>
    <w:rsid w:val="00D66C93"/>
    <w:pPr>
      <w:spacing w:after="120"/>
      <w:ind w:left="849"/>
    </w:pPr>
  </w:style>
  <w:style w:type="paragraph" w:styleId="Lista-kontynuacja4">
    <w:name w:val="List Continue 4"/>
    <w:basedOn w:val="Normalny"/>
    <w:rsid w:val="00D66C93"/>
    <w:pPr>
      <w:spacing w:after="120"/>
      <w:ind w:left="1132"/>
    </w:pPr>
  </w:style>
  <w:style w:type="paragraph" w:styleId="Lista-kontynuacja5">
    <w:name w:val="List Continue 5"/>
    <w:basedOn w:val="Normalny"/>
    <w:rsid w:val="00D66C93"/>
    <w:pPr>
      <w:spacing w:after="120"/>
      <w:ind w:left="1415"/>
    </w:pPr>
  </w:style>
  <w:style w:type="paragraph" w:styleId="Listanumerowana">
    <w:name w:val="List Number"/>
    <w:basedOn w:val="Normalny"/>
    <w:rsid w:val="00D66C93"/>
    <w:pPr>
      <w:numPr>
        <w:numId w:val="17"/>
      </w:numPr>
    </w:pPr>
  </w:style>
  <w:style w:type="paragraph" w:styleId="Listanumerowana2">
    <w:name w:val="List Number 2"/>
    <w:basedOn w:val="Normalny"/>
    <w:rsid w:val="00D66C93"/>
    <w:pPr>
      <w:numPr>
        <w:numId w:val="18"/>
      </w:numPr>
    </w:pPr>
  </w:style>
  <w:style w:type="paragraph" w:styleId="Listanumerowana3">
    <w:name w:val="List Number 3"/>
    <w:basedOn w:val="Normalny"/>
    <w:rsid w:val="00D66C93"/>
    <w:pPr>
      <w:numPr>
        <w:numId w:val="19"/>
      </w:numPr>
    </w:pPr>
  </w:style>
  <w:style w:type="paragraph" w:styleId="Listanumerowana4">
    <w:name w:val="List Number 4"/>
    <w:basedOn w:val="Normalny"/>
    <w:rsid w:val="00D66C93"/>
    <w:pPr>
      <w:numPr>
        <w:numId w:val="20"/>
      </w:numPr>
    </w:pPr>
  </w:style>
  <w:style w:type="paragraph" w:styleId="Listanumerowana5">
    <w:name w:val="List Number 5"/>
    <w:basedOn w:val="Normalny"/>
    <w:rsid w:val="00D66C93"/>
    <w:pPr>
      <w:numPr>
        <w:numId w:val="21"/>
      </w:numPr>
    </w:pPr>
  </w:style>
  <w:style w:type="paragraph" w:styleId="Tekstmakra">
    <w:name w:val="macro"/>
    <w:semiHidden/>
    <w:rsid w:val="00D66C93"/>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Nagwekwiadomoci">
    <w:name w:val="Message Header"/>
    <w:basedOn w:val="Normalny"/>
    <w:rsid w:val="00D66C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nyWeb">
    <w:name w:val="Normal (Web)"/>
    <w:basedOn w:val="Normalny"/>
    <w:rsid w:val="00D66C93"/>
    <w:rPr>
      <w:szCs w:val="24"/>
    </w:rPr>
  </w:style>
  <w:style w:type="paragraph" w:styleId="Wcicienormalne">
    <w:name w:val="Normal Indent"/>
    <w:basedOn w:val="Normalny"/>
    <w:rsid w:val="00D66C93"/>
    <w:pPr>
      <w:ind w:left="720"/>
    </w:pPr>
  </w:style>
  <w:style w:type="paragraph" w:styleId="Nagweknotatki">
    <w:name w:val="Note Heading"/>
    <w:basedOn w:val="Normalny"/>
    <w:next w:val="Normalny"/>
    <w:rsid w:val="00D66C93"/>
  </w:style>
  <w:style w:type="paragraph" w:styleId="Zwykytekst">
    <w:name w:val="Plain Text"/>
    <w:basedOn w:val="Normalny"/>
    <w:rsid w:val="00D66C93"/>
    <w:rPr>
      <w:rFonts w:ascii="Courier New" w:hAnsi="Courier New" w:cs="Courier New"/>
      <w:sz w:val="20"/>
    </w:rPr>
  </w:style>
  <w:style w:type="paragraph" w:styleId="Zwrotgrzecznociowy">
    <w:name w:val="Salutation"/>
    <w:basedOn w:val="Normalny"/>
    <w:next w:val="Normalny"/>
    <w:rsid w:val="00D66C93"/>
  </w:style>
  <w:style w:type="paragraph" w:styleId="Podpis">
    <w:name w:val="Signature"/>
    <w:basedOn w:val="Normalny"/>
    <w:rsid w:val="00D66C93"/>
    <w:pPr>
      <w:ind w:left="4252"/>
    </w:pPr>
  </w:style>
  <w:style w:type="paragraph" w:styleId="Podtytu">
    <w:name w:val="Subtitle"/>
    <w:basedOn w:val="Normalny"/>
    <w:qFormat/>
    <w:rsid w:val="00D66C93"/>
    <w:pPr>
      <w:spacing w:after="60"/>
      <w:jc w:val="center"/>
      <w:outlineLvl w:val="1"/>
    </w:pPr>
    <w:rPr>
      <w:rFonts w:ascii="Arial" w:hAnsi="Arial" w:cs="Arial"/>
      <w:szCs w:val="24"/>
    </w:rPr>
  </w:style>
  <w:style w:type="table" w:styleId="Tabela-Efekty3W1">
    <w:name w:val="Table 3D effects 1"/>
    <w:basedOn w:val="Standardowy"/>
    <w:rsid w:val="00D66C93"/>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rsid w:val="00D66C93"/>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D66C93"/>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D66C93"/>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D66C93"/>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D66C93"/>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D66C93"/>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D66C93"/>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D66C93"/>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D66C93"/>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D66C93"/>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D66C93"/>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D66C93"/>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D66C93"/>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D66C93"/>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D66C93"/>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D66C9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D66C93"/>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D66C93"/>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D66C93"/>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D66C93"/>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D66C93"/>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D66C93"/>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D66C93"/>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D66C93"/>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D66C93"/>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D66C93"/>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rsid w:val="00D66C93"/>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semiHidden/>
    <w:rsid w:val="00D66C93"/>
    <w:pPr>
      <w:ind w:left="240" w:hanging="240"/>
    </w:pPr>
  </w:style>
  <w:style w:type="paragraph" w:styleId="Spisilustracji">
    <w:name w:val="table of figures"/>
    <w:basedOn w:val="Normalny"/>
    <w:next w:val="Normalny"/>
    <w:semiHidden/>
    <w:rsid w:val="00D66C93"/>
  </w:style>
  <w:style w:type="table" w:styleId="Tabela-Profesjonalny">
    <w:name w:val="Table Professional"/>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rsid w:val="00D66C93"/>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rsid w:val="00D66C93"/>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D66C93"/>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D66C93"/>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D66C93"/>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D66C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rsid w:val="00D66C93"/>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D66C93"/>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D66C93"/>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ytu">
    <w:name w:val="Title"/>
    <w:basedOn w:val="Normalny"/>
    <w:qFormat/>
    <w:rsid w:val="00D66C93"/>
    <w:pPr>
      <w:spacing w:before="240" w:after="60"/>
      <w:jc w:val="center"/>
      <w:outlineLvl w:val="0"/>
    </w:pPr>
    <w:rPr>
      <w:rFonts w:ascii="Arial" w:hAnsi="Arial" w:cs="Arial"/>
      <w:b/>
      <w:bCs/>
      <w:kern w:val="28"/>
      <w:sz w:val="32"/>
      <w:szCs w:val="32"/>
    </w:rPr>
  </w:style>
  <w:style w:type="paragraph" w:styleId="Nagwekwykazurde">
    <w:name w:val="toa heading"/>
    <w:basedOn w:val="Normalny"/>
    <w:next w:val="Normalny"/>
    <w:semiHidden/>
    <w:rsid w:val="00D66C93"/>
    <w:pPr>
      <w:spacing w:before="120"/>
    </w:pPr>
    <w:rPr>
      <w:rFonts w:ascii="Arial" w:hAnsi="Arial" w:cs="Arial"/>
      <w:b/>
      <w:bCs/>
      <w:szCs w:val="24"/>
    </w:rPr>
  </w:style>
  <w:style w:type="paragraph" w:styleId="Spistreci1">
    <w:name w:val="toc 1"/>
    <w:basedOn w:val="Normalny"/>
    <w:next w:val="Normalny"/>
    <w:autoRedefine/>
    <w:semiHidden/>
    <w:rsid w:val="00D66C93"/>
  </w:style>
  <w:style w:type="paragraph" w:styleId="Spistreci2">
    <w:name w:val="toc 2"/>
    <w:basedOn w:val="Normalny"/>
    <w:next w:val="Normalny"/>
    <w:autoRedefine/>
    <w:semiHidden/>
    <w:rsid w:val="00D66C93"/>
    <w:pPr>
      <w:ind w:left="240"/>
    </w:pPr>
  </w:style>
  <w:style w:type="paragraph" w:styleId="Spistreci3">
    <w:name w:val="toc 3"/>
    <w:basedOn w:val="Normalny"/>
    <w:next w:val="Normalny"/>
    <w:autoRedefine/>
    <w:semiHidden/>
    <w:rsid w:val="00D66C93"/>
    <w:pPr>
      <w:ind w:left="480"/>
    </w:pPr>
  </w:style>
  <w:style w:type="paragraph" w:styleId="Spistreci4">
    <w:name w:val="toc 4"/>
    <w:basedOn w:val="Normalny"/>
    <w:next w:val="Normalny"/>
    <w:autoRedefine/>
    <w:semiHidden/>
    <w:rsid w:val="00D66C93"/>
    <w:pPr>
      <w:ind w:left="720"/>
    </w:pPr>
  </w:style>
  <w:style w:type="paragraph" w:styleId="Spistreci5">
    <w:name w:val="toc 5"/>
    <w:basedOn w:val="Normalny"/>
    <w:next w:val="Normalny"/>
    <w:autoRedefine/>
    <w:semiHidden/>
    <w:rsid w:val="00D66C93"/>
    <w:pPr>
      <w:ind w:left="960"/>
    </w:pPr>
  </w:style>
  <w:style w:type="paragraph" w:styleId="Spistreci6">
    <w:name w:val="toc 6"/>
    <w:basedOn w:val="Normalny"/>
    <w:next w:val="Normalny"/>
    <w:autoRedefine/>
    <w:semiHidden/>
    <w:rsid w:val="00D66C93"/>
    <w:pPr>
      <w:ind w:left="1200"/>
    </w:pPr>
  </w:style>
  <w:style w:type="paragraph" w:styleId="Spistreci7">
    <w:name w:val="toc 7"/>
    <w:basedOn w:val="Normalny"/>
    <w:next w:val="Normalny"/>
    <w:autoRedefine/>
    <w:semiHidden/>
    <w:rsid w:val="00D66C93"/>
    <w:pPr>
      <w:ind w:left="1440"/>
    </w:pPr>
  </w:style>
  <w:style w:type="paragraph" w:styleId="Spistreci8">
    <w:name w:val="toc 8"/>
    <w:basedOn w:val="Normalny"/>
    <w:next w:val="Normalny"/>
    <w:autoRedefine/>
    <w:semiHidden/>
    <w:rsid w:val="00D66C93"/>
    <w:pPr>
      <w:ind w:left="1680"/>
    </w:pPr>
  </w:style>
  <w:style w:type="paragraph" w:styleId="Spistreci9">
    <w:name w:val="toc 9"/>
    <w:basedOn w:val="Normalny"/>
    <w:next w:val="Normalny"/>
    <w:autoRedefine/>
    <w:semiHidden/>
    <w:rsid w:val="00D66C93"/>
    <w:pPr>
      <w:ind w:left="1920"/>
    </w:pPr>
  </w:style>
  <w:style w:type="table" w:customStyle="1" w:styleId="ECHRHeaderTable">
    <w:name w:val="ECHR_Header_Table"/>
    <w:basedOn w:val="Tabela-Siatka"/>
    <w:rsid w:val="00D66C93"/>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ju-005fpara--char">
    <w:name w:val="ju-005fpara--char"/>
    <w:basedOn w:val="Domylnaczcionkaakapitu"/>
    <w:rsid w:val="0061251A"/>
  </w:style>
  <w:style w:type="paragraph" w:customStyle="1" w:styleId="s647bbbdb">
    <w:name w:val="s647bbbdb"/>
    <w:basedOn w:val="Normalny"/>
    <w:rsid w:val="00D50EB3"/>
    <w:pPr>
      <w:suppressAutoHyphens w:val="0"/>
      <w:spacing w:before="100" w:beforeAutospacing="1" w:after="100" w:afterAutospacing="1"/>
    </w:pPr>
    <w:rPr>
      <w:szCs w:val="24"/>
      <w:lang w:val="en-US" w:eastAsia="en-US"/>
    </w:rPr>
  </w:style>
  <w:style w:type="paragraph" w:customStyle="1" w:styleId="s9e9b0cd7">
    <w:name w:val="s9e9b0cd7"/>
    <w:basedOn w:val="Normalny"/>
    <w:rsid w:val="00D50EB3"/>
    <w:pPr>
      <w:suppressAutoHyphens w:val="0"/>
      <w:spacing w:before="100" w:beforeAutospacing="1" w:after="100" w:afterAutospacing="1"/>
    </w:pPr>
    <w:rPr>
      <w:szCs w:val="24"/>
      <w:lang w:val="en-US" w:eastAsia="en-US"/>
    </w:rPr>
  </w:style>
  <w:style w:type="character" w:customStyle="1" w:styleId="sfbbfee58">
    <w:name w:val="sfbbfee58"/>
    <w:rsid w:val="00D50EB3"/>
  </w:style>
  <w:style w:type="paragraph" w:customStyle="1" w:styleId="s8653dbd7">
    <w:name w:val="s8653dbd7"/>
    <w:basedOn w:val="Normalny"/>
    <w:rsid w:val="00D50EB3"/>
    <w:pPr>
      <w:suppressAutoHyphens w:val="0"/>
      <w:spacing w:before="100" w:beforeAutospacing="1" w:after="100" w:afterAutospacing="1"/>
    </w:pPr>
    <w:rPr>
      <w:szCs w:val="24"/>
      <w:lang w:val="en-US" w:eastAsia="en-US"/>
    </w:rPr>
  </w:style>
  <w:style w:type="paragraph" w:customStyle="1" w:styleId="jupara0">
    <w:name w:val="jupara"/>
    <w:basedOn w:val="Normalny"/>
    <w:rsid w:val="00F15585"/>
    <w:pPr>
      <w:suppressAutoHyphens w:val="0"/>
      <w:ind w:firstLine="284"/>
      <w:jc w:val="both"/>
    </w:pPr>
    <w:rPr>
      <w:szCs w:val="24"/>
      <w:lang w:eastAsia="en-GB"/>
    </w:rPr>
  </w:style>
  <w:style w:type="paragraph" w:customStyle="1" w:styleId="jucase0">
    <w:name w:val="jucase"/>
    <w:basedOn w:val="Normalny"/>
    <w:rsid w:val="00F15585"/>
    <w:pPr>
      <w:suppressAutoHyphens w:val="0"/>
      <w:ind w:firstLine="284"/>
      <w:jc w:val="both"/>
    </w:pPr>
    <w:rPr>
      <w:b/>
      <w:bCs/>
      <w:szCs w:val="24"/>
      <w:lang w:eastAsia="en-GB"/>
    </w:rPr>
  </w:style>
  <w:style w:type="character" w:customStyle="1" w:styleId="apple-converted-space">
    <w:name w:val="apple-converted-space"/>
    <w:basedOn w:val="Domylnaczcionkaakapitu"/>
    <w:rsid w:val="00A140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D66C93"/>
    <w:pPr>
      <w:suppressAutoHyphens/>
    </w:pPr>
    <w:rPr>
      <w:sz w:val="24"/>
      <w:lang w:val="en-GB" w:eastAsia="fr-FR"/>
    </w:rPr>
  </w:style>
  <w:style w:type="paragraph" w:styleId="Nagwek1">
    <w:name w:val="heading 1"/>
    <w:basedOn w:val="Normalny"/>
    <w:next w:val="Normalny"/>
    <w:qFormat/>
    <w:rsid w:val="00D66C93"/>
    <w:pPr>
      <w:keepNext/>
      <w:numPr>
        <w:numId w:val="12"/>
      </w:numPr>
      <w:spacing w:before="360" w:after="240"/>
      <w:jc w:val="center"/>
      <w:outlineLvl w:val="0"/>
    </w:pPr>
    <w:rPr>
      <w:b/>
      <w:sz w:val="28"/>
    </w:rPr>
  </w:style>
  <w:style w:type="paragraph" w:styleId="Nagwek2">
    <w:name w:val="heading 2"/>
    <w:basedOn w:val="Normalny"/>
    <w:next w:val="Normalny"/>
    <w:qFormat/>
    <w:rsid w:val="00D66C93"/>
    <w:pPr>
      <w:keepNext/>
      <w:numPr>
        <w:ilvl w:val="1"/>
        <w:numId w:val="12"/>
      </w:numPr>
      <w:spacing w:before="240" w:after="120"/>
      <w:outlineLvl w:val="1"/>
    </w:pPr>
    <w:rPr>
      <w:b/>
    </w:rPr>
  </w:style>
  <w:style w:type="paragraph" w:styleId="Nagwek3">
    <w:name w:val="heading 3"/>
    <w:basedOn w:val="Normalny"/>
    <w:next w:val="Normalny"/>
    <w:qFormat/>
    <w:rsid w:val="00D66C93"/>
    <w:pPr>
      <w:keepNext/>
      <w:numPr>
        <w:ilvl w:val="2"/>
        <w:numId w:val="12"/>
      </w:numPr>
      <w:spacing w:before="120" w:after="60"/>
      <w:outlineLvl w:val="2"/>
    </w:pPr>
    <w:rPr>
      <w:i/>
    </w:rPr>
  </w:style>
  <w:style w:type="paragraph" w:styleId="Nagwek4">
    <w:name w:val="heading 4"/>
    <w:basedOn w:val="Normalny"/>
    <w:next w:val="Normalny"/>
    <w:qFormat/>
    <w:rsid w:val="00D66C93"/>
    <w:pPr>
      <w:keepNext/>
      <w:numPr>
        <w:ilvl w:val="3"/>
        <w:numId w:val="12"/>
      </w:numPr>
      <w:spacing w:before="240" w:after="60"/>
      <w:outlineLvl w:val="3"/>
    </w:pPr>
    <w:rPr>
      <w:b/>
      <w:bCs/>
      <w:sz w:val="28"/>
      <w:szCs w:val="28"/>
    </w:rPr>
  </w:style>
  <w:style w:type="paragraph" w:styleId="Nagwek5">
    <w:name w:val="heading 5"/>
    <w:basedOn w:val="Normalny"/>
    <w:next w:val="Normalny"/>
    <w:qFormat/>
    <w:rsid w:val="00D66C93"/>
    <w:pPr>
      <w:numPr>
        <w:ilvl w:val="4"/>
        <w:numId w:val="12"/>
      </w:numPr>
      <w:spacing w:before="240" w:after="60"/>
      <w:outlineLvl w:val="4"/>
    </w:pPr>
    <w:rPr>
      <w:b/>
      <w:bCs/>
      <w:i/>
      <w:iCs/>
      <w:sz w:val="26"/>
      <w:szCs w:val="26"/>
    </w:rPr>
  </w:style>
  <w:style w:type="paragraph" w:styleId="Nagwek6">
    <w:name w:val="heading 6"/>
    <w:basedOn w:val="Normalny"/>
    <w:next w:val="Normalny"/>
    <w:qFormat/>
    <w:rsid w:val="00D66C93"/>
    <w:pPr>
      <w:numPr>
        <w:ilvl w:val="5"/>
        <w:numId w:val="12"/>
      </w:numPr>
      <w:spacing w:before="240" w:after="60"/>
      <w:outlineLvl w:val="5"/>
    </w:pPr>
    <w:rPr>
      <w:b/>
      <w:bCs/>
      <w:sz w:val="22"/>
      <w:szCs w:val="22"/>
    </w:rPr>
  </w:style>
  <w:style w:type="paragraph" w:styleId="Nagwek7">
    <w:name w:val="heading 7"/>
    <w:basedOn w:val="Normalny"/>
    <w:next w:val="Normalny"/>
    <w:qFormat/>
    <w:rsid w:val="00D66C93"/>
    <w:pPr>
      <w:numPr>
        <w:ilvl w:val="6"/>
        <w:numId w:val="12"/>
      </w:numPr>
      <w:spacing w:before="240" w:after="60"/>
      <w:outlineLvl w:val="6"/>
    </w:pPr>
    <w:rPr>
      <w:szCs w:val="24"/>
    </w:rPr>
  </w:style>
  <w:style w:type="paragraph" w:styleId="Nagwek8">
    <w:name w:val="heading 8"/>
    <w:basedOn w:val="Normalny"/>
    <w:next w:val="Normalny"/>
    <w:qFormat/>
    <w:rsid w:val="00D66C93"/>
    <w:pPr>
      <w:numPr>
        <w:ilvl w:val="7"/>
        <w:numId w:val="12"/>
      </w:numPr>
      <w:spacing w:before="240" w:after="60"/>
      <w:outlineLvl w:val="7"/>
    </w:pPr>
    <w:rPr>
      <w:i/>
      <w:iCs/>
      <w:szCs w:val="24"/>
    </w:rPr>
  </w:style>
  <w:style w:type="paragraph" w:styleId="Nagwek9">
    <w:name w:val="heading 9"/>
    <w:basedOn w:val="Normalny"/>
    <w:next w:val="Normalny"/>
    <w:qFormat/>
    <w:rsid w:val="00D66C93"/>
    <w:pPr>
      <w:numPr>
        <w:ilvl w:val="8"/>
        <w:numId w:val="12"/>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OpiHA">
    <w:name w:val="Opi_H_A"/>
    <w:basedOn w:val="JuHIRoman"/>
    <w:next w:val="OpiPara"/>
    <w:rsid w:val="00D66C93"/>
    <w:pPr>
      <w:tabs>
        <w:tab w:val="clear" w:pos="357"/>
      </w:tabs>
    </w:pPr>
    <w:rPr>
      <w:b/>
    </w:rPr>
  </w:style>
  <w:style w:type="paragraph" w:customStyle="1" w:styleId="JuHIRoman">
    <w:name w:val="Ju_H_I_Roman"/>
    <w:basedOn w:val="JuHHead"/>
    <w:next w:val="JuPara"/>
    <w:rsid w:val="00D66C93"/>
    <w:pPr>
      <w:tabs>
        <w:tab w:val="left" w:pos="357"/>
      </w:tabs>
      <w:spacing w:before="360"/>
      <w:ind w:left="357" w:hanging="357"/>
      <w:outlineLvl w:val="1"/>
    </w:pPr>
    <w:rPr>
      <w:sz w:val="24"/>
    </w:rPr>
  </w:style>
  <w:style w:type="paragraph" w:customStyle="1" w:styleId="JuHHead">
    <w:name w:val="Ju_H_Head"/>
    <w:basedOn w:val="NormalTimesNewRoman"/>
    <w:next w:val="JuPara"/>
    <w:rsid w:val="00D66C93"/>
    <w:pPr>
      <w:keepNext/>
      <w:keepLines/>
      <w:spacing w:before="720" w:after="240"/>
      <w:jc w:val="both"/>
      <w:outlineLvl w:val="0"/>
    </w:pPr>
    <w:rPr>
      <w:sz w:val="28"/>
    </w:rPr>
  </w:style>
  <w:style w:type="character" w:customStyle="1" w:styleId="DefaultTimesNewRoman">
    <w:name w:val="Default_TimesNewRoman"/>
    <w:rsid w:val="00D66C93"/>
    <w:rPr>
      <w:rFonts w:ascii="Times New Roman" w:hAnsi="Times New Roman"/>
    </w:rPr>
  </w:style>
  <w:style w:type="paragraph" w:customStyle="1" w:styleId="JuPara">
    <w:name w:val="Ju_Para"/>
    <w:aliases w:val="Left,First line:  0 cm"/>
    <w:basedOn w:val="NormalTimesNewRoman"/>
    <w:link w:val="JuParaChar"/>
    <w:rsid w:val="00D66C93"/>
    <w:pPr>
      <w:ind w:firstLine="284"/>
      <w:jc w:val="both"/>
    </w:pPr>
  </w:style>
  <w:style w:type="character" w:customStyle="1" w:styleId="JuParaChar">
    <w:name w:val="Ju_Para Char"/>
    <w:link w:val="JuPara"/>
    <w:rsid w:val="00B921A8"/>
    <w:rPr>
      <w:sz w:val="24"/>
      <w:lang w:val="en-GB" w:eastAsia="fr-FR" w:bidi="ar-SA"/>
    </w:rPr>
  </w:style>
  <w:style w:type="paragraph" w:customStyle="1" w:styleId="OpiPara">
    <w:name w:val="Opi_Para"/>
    <w:basedOn w:val="JuPara"/>
    <w:rsid w:val="00D66C93"/>
  </w:style>
  <w:style w:type="paragraph" w:customStyle="1" w:styleId="OpiH1">
    <w:name w:val="Opi_H_1."/>
    <w:basedOn w:val="OpiHA"/>
    <w:next w:val="OpiPara"/>
    <w:rsid w:val="00D66C93"/>
    <w:pPr>
      <w:spacing w:before="240" w:after="120"/>
      <w:ind w:left="635"/>
      <w:outlineLvl w:val="2"/>
    </w:pPr>
    <w:rPr>
      <w:b w:val="0"/>
      <w:i/>
    </w:rPr>
  </w:style>
  <w:style w:type="paragraph" w:customStyle="1" w:styleId="OpiHa0">
    <w:name w:val="Opi_H_a"/>
    <w:basedOn w:val="OpiH1"/>
    <w:next w:val="OpiPara"/>
    <w:rsid w:val="00D66C93"/>
    <w:pPr>
      <w:ind w:left="833"/>
      <w:outlineLvl w:val="3"/>
    </w:pPr>
    <w:rPr>
      <w:b/>
      <w:i w:val="0"/>
      <w:sz w:val="20"/>
    </w:rPr>
  </w:style>
  <w:style w:type="paragraph" w:customStyle="1" w:styleId="OpiHHead">
    <w:name w:val="Opi_H_Head"/>
    <w:basedOn w:val="JuHHead"/>
    <w:next w:val="OpiPara"/>
    <w:rsid w:val="00D66C93"/>
    <w:pPr>
      <w:spacing w:before="0"/>
      <w:jc w:val="center"/>
    </w:pPr>
  </w:style>
  <w:style w:type="paragraph" w:customStyle="1" w:styleId="OpiHi">
    <w:name w:val="Opi_H_i"/>
    <w:basedOn w:val="OpiHa0"/>
    <w:next w:val="OpiPara"/>
    <w:rsid w:val="00D66C93"/>
    <w:pPr>
      <w:ind w:left="1037"/>
      <w:outlineLvl w:val="4"/>
    </w:pPr>
    <w:rPr>
      <w:b w:val="0"/>
      <w:i/>
    </w:rPr>
  </w:style>
  <w:style w:type="paragraph" w:styleId="Stopka">
    <w:name w:val="footer"/>
    <w:basedOn w:val="NormalTimesNewRoman"/>
    <w:rsid w:val="00D66C93"/>
    <w:pPr>
      <w:tabs>
        <w:tab w:val="center" w:pos="3686"/>
        <w:tab w:val="right" w:pos="7371"/>
      </w:tabs>
    </w:pPr>
    <w:rPr>
      <w:sz w:val="18"/>
    </w:rPr>
  </w:style>
  <w:style w:type="paragraph" w:customStyle="1" w:styleId="JuJudges">
    <w:name w:val="Ju_Judges"/>
    <w:aliases w:val="ECHR_Decision_Body"/>
    <w:basedOn w:val="NormalTimesNewRoman"/>
    <w:link w:val="JuJudgesChar"/>
    <w:uiPriority w:val="11"/>
    <w:qFormat/>
    <w:rsid w:val="00D66C93"/>
    <w:pPr>
      <w:tabs>
        <w:tab w:val="left" w:pos="567"/>
        <w:tab w:val="left" w:pos="1134"/>
      </w:tabs>
    </w:pPr>
  </w:style>
  <w:style w:type="character" w:customStyle="1" w:styleId="JuJudgesChar">
    <w:name w:val="Ju_Judges Char"/>
    <w:link w:val="JuJudges"/>
    <w:uiPriority w:val="11"/>
    <w:locked/>
    <w:rsid w:val="00D15473"/>
    <w:rPr>
      <w:sz w:val="24"/>
      <w:lang w:val="en-GB" w:eastAsia="fr-FR" w:bidi="ar-SA"/>
    </w:rPr>
  </w:style>
  <w:style w:type="paragraph" w:customStyle="1" w:styleId="JuHA">
    <w:name w:val="Ju_H_A"/>
    <w:basedOn w:val="JuHIRoman"/>
    <w:next w:val="JuPara"/>
    <w:rsid w:val="00D66C93"/>
    <w:pPr>
      <w:tabs>
        <w:tab w:val="clear" w:pos="357"/>
        <w:tab w:val="left" w:pos="584"/>
      </w:tabs>
      <w:ind w:left="584" w:hanging="352"/>
      <w:outlineLvl w:val="2"/>
    </w:pPr>
    <w:rPr>
      <w:b/>
    </w:rPr>
  </w:style>
  <w:style w:type="paragraph" w:customStyle="1" w:styleId="JuQuot">
    <w:name w:val="Ju_Quot"/>
    <w:basedOn w:val="JuPara"/>
    <w:rsid w:val="00D66C93"/>
    <w:pPr>
      <w:spacing w:before="120" w:after="120"/>
      <w:ind w:left="425" w:firstLine="142"/>
    </w:pPr>
    <w:rPr>
      <w:sz w:val="20"/>
    </w:rPr>
  </w:style>
  <w:style w:type="paragraph" w:customStyle="1" w:styleId="JuSigned">
    <w:name w:val="Ju_Signed"/>
    <w:basedOn w:val="NormalTimesNewRoman"/>
    <w:next w:val="JuParaLast"/>
    <w:link w:val="JuSignedChar"/>
    <w:rsid w:val="00D66C93"/>
    <w:pPr>
      <w:tabs>
        <w:tab w:val="center" w:pos="851"/>
        <w:tab w:val="center" w:pos="6407"/>
      </w:tabs>
      <w:spacing w:before="720"/>
    </w:pPr>
  </w:style>
  <w:style w:type="paragraph" w:customStyle="1" w:styleId="JuParaLast">
    <w:name w:val="Ju_Para_Last"/>
    <w:basedOn w:val="JuPara"/>
    <w:next w:val="JuPara"/>
    <w:rsid w:val="00D66C93"/>
    <w:pPr>
      <w:keepNext/>
      <w:keepLines/>
      <w:spacing w:before="240"/>
    </w:pPr>
  </w:style>
  <w:style w:type="character" w:customStyle="1" w:styleId="JuSignedChar">
    <w:name w:val="Ju_Signed Char"/>
    <w:link w:val="JuSigned"/>
    <w:rsid w:val="000726F6"/>
    <w:rPr>
      <w:sz w:val="24"/>
      <w:lang w:val="en-GB" w:eastAsia="fr-FR" w:bidi="ar-SA"/>
    </w:rPr>
  </w:style>
  <w:style w:type="paragraph" w:customStyle="1" w:styleId="JuCase">
    <w:name w:val="Ju_Case"/>
    <w:basedOn w:val="JuPara"/>
    <w:next w:val="JuPara"/>
    <w:link w:val="JuCaseChar"/>
    <w:rsid w:val="00D66C93"/>
    <w:rPr>
      <w:b/>
    </w:rPr>
  </w:style>
  <w:style w:type="character" w:customStyle="1" w:styleId="JuCaseChar">
    <w:name w:val="Ju_Case Char"/>
    <w:link w:val="JuCase"/>
    <w:rsid w:val="00B921A8"/>
    <w:rPr>
      <w:b/>
      <w:sz w:val="24"/>
      <w:lang w:val="en-GB" w:eastAsia="fr-FR" w:bidi="ar-SA"/>
    </w:rPr>
  </w:style>
  <w:style w:type="paragraph" w:customStyle="1" w:styleId="JuList">
    <w:name w:val="Ju_List"/>
    <w:basedOn w:val="JuPara"/>
    <w:link w:val="JuListChar"/>
    <w:rsid w:val="00D66C93"/>
    <w:pPr>
      <w:ind w:left="340" w:hanging="340"/>
    </w:pPr>
  </w:style>
  <w:style w:type="character" w:customStyle="1" w:styleId="JuListChar">
    <w:name w:val="Ju_List Char"/>
    <w:link w:val="JuList"/>
    <w:rsid w:val="00930CD7"/>
    <w:rPr>
      <w:sz w:val="24"/>
      <w:lang w:val="en-GB" w:eastAsia="fr-FR" w:bidi="ar-SA"/>
    </w:rPr>
  </w:style>
  <w:style w:type="paragraph" w:customStyle="1" w:styleId="JuHArticle">
    <w:name w:val="Ju_H_Article"/>
    <w:basedOn w:val="JuHa0"/>
    <w:next w:val="JuQuot"/>
    <w:rsid w:val="00D66C93"/>
    <w:pPr>
      <w:ind w:left="0" w:firstLine="0"/>
      <w:jc w:val="center"/>
    </w:pPr>
  </w:style>
  <w:style w:type="paragraph" w:customStyle="1" w:styleId="JuHa0">
    <w:name w:val="Ju_H_a"/>
    <w:basedOn w:val="JuH1"/>
    <w:next w:val="JuPara"/>
    <w:rsid w:val="00D66C93"/>
    <w:pPr>
      <w:tabs>
        <w:tab w:val="clear" w:pos="731"/>
        <w:tab w:val="left" w:pos="975"/>
      </w:tabs>
      <w:ind w:left="975" w:hanging="340"/>
      <w:outlineLvl w:val="4"/>
    </w:pPr>
    <w:rPr>
      <w:b/>
      <w:i w:val="0"/>
      <w:sz w:val="20"/>
    </w:rPr>
  </w:style>
  <w:style w:type="paragraph" w:customStyle="1" w:styleId="JuH1">
    <w:name w:val="Ju_H_1."/>
    <w:basedOn w:val="JuHA"/>
    <w:next w:val="JuPara"/>
    <w:rsid w:val="00D66C93"/>
    <w:pPr>
      <w:tabs>
        <w:tab w:val="clear" w:pos="584"/>
        <w:tab w:val="left" w:pos="731"/>
      </w:tabs>
      <w:spacing w:before="240" w:after="120"/>
      <w:ind w:left="732" w:hanging="301"/>
      <w:outlineLvl w:val="3"/>
    </w:pPr>
    <w:rPr>
      <w:b w:val="0"/>
      <w:i/>
    </w:rPr>
  </w:style>
  <w:style w:type="paragraph" w:customStyle="1" w:styleId="JuQuotList">
    <w:name w:val="Ju_Quot_List"/>
    <w:basedOn w:val="JuQuot"/>
    <w:rsid w:val="003F70A1"/>
    <w:pPr>
      <w:tabs>
        <w:tab w:val="left" w:pos="1021"/>
      </w:tabs>
      <w:ind w:left="567" w:firstLine="0"/>
    </w:pPr>
  </w:style>
  <w:style w:type="paragraph" w:customStyle="1" w:styleId="JuCourt">
    <w:name w:val="Ju_Court"/>
    <w:basedOn w:val="JuJudges"/>
    <w:rsid w:val="00D66C93"/>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D66C93"/>
  </w:style>
  <w:style w:type="paragraph" w:customStyle="1" w:styleId="OpiTranslation">
    <w:name w:val="Opi_Translation"/>
    <w:basedOn w:val="OpiHHead"/>
    <w:next w:val="OpiPara"/>
    <w:rsid w:val="00D66C93"/>
    <w:rPr>
      <w:i/>
      <w:sz w:val="24"/>
    </w:rPr>
  </w:style>
  <w:style w:type="paragraph" w:styleId="Tekstprzypisudolnego">
    <w:name w:val="footnote text"/>
    <w:basedOn w:val="Normalny"/>
    <w:semiHidden/>
    <w:rsid w:val="00D66C93"/>
    <w:pPr>
      <w:jc w:val="both"/>
    </w:pPr>
    <w:rPr>
      <w:sz w:val="20"/>
    </w:rPr>
  </w:style>
  <w:style w:type="character" w:styleId="Odwoanieprzypisudolnego">
    <w:name w:val="footnote reference"/>
    <w:semiHidden/>
    <w:rsid w:val="00D66C93"/>
    <w:rPr>
      <w:vertAlign w:val="superscript"/>
    </w:rPr>
  </w:style>
  <w:style w:type="paragraph" w:customStyle="1" w:styleId="JuHi">
    <w:name w:val="Ju_H_i"/>
    <w:basedOn w:val="JuHa0"/>
    <w:next w:val="JuPara"/>
    <w:rsid w:val="00D66C93"/>
    <w:pPr>
      <w:tabs>
        <w:tab w:val="clear" w:pos="975"/>
        <w:tab w:val="left" w:pos="1191"/>
      </w:tabs>
      <w:ind w:left="1190" w:hanging="357"/>
      <w:outlineLvl w:val="5"/>
    </w:pPr>
    <w:rPr>
      <w:b w:val="0"/>
      <w:i/>
    </w:rPr>
  </w:style>
  <w:style w:type="paragraph" w:styleId="Nagwek">
    <w:name w:val="header"/>
    <w:basedOn w:val="NormalTimesNewRoman"/>
    <w:rsid w:val="00D66C93"/>
    <w:pPr>
      <w:tabs>
        <w:tab w:val="center" w:pos="3686"/>
        <w:tab w:val="right" w:pos="7371"/>
      </w:tabs>
    </w:pPr>
    <w:rPr>
      <w:sz w:val="18"/>
    </w:rPr>
  </w:style>
  <w:style w:type="character" w:styleId="Numerstrony">
    <w:name w:val="page number"/>
    <w:rsid w:val="00D66C93"/>
    <w:rPr>
      <w:sz w:val="18"/>
    </w:rPr>
  </w:style>
  <w:style w:type="paragraph" w:customStyle="1" w:styleId="JuH">
    <w:name w:val="Ju_H_–"/>
    <w:basedOn w:val="JuHalpha"/>
    <w:next w:val="JuPara"/>
    <w:rsid w:val="00D66C93"/>
    <w:pPr>
      <w:tabs>
        <w:tab w:val="clear" w:pos="1372"/>
      </w:tabs>
      <w:ind w:left="1236" w:firstLine="0"/>
    </w:pPr>
    <w:rPr>
      <w:i/>
    </w:rPr>
  </w:style>
  <w:style w:type="paragraph" w:customStyle="1" w:styleId="JuHalpha">
    <w:name w:val="Ju_H_alpha"/>
    <w:basedOn w:val="JuHi"/>
    <w:next w:val="JuPara"/>
    <w:rsid w:val="00D66C93"/>
    <w:pPr>
      <w:tabs>
        <w:tab w:val="clear" w:pos="1191"/>
        <w:tab w:val="left" w:pos="1372"/>
      </w:tabs>
      <w:ind w:left="1373" w:hanging="335"/>
    </w:pPr>
    <w:rPr>
      <w:i w:val="0"/>
    </w:rPr>
  </w:style>
  <w:style w:type="paragraph" w:customStyle="1" w:styleId="JuLista">
    <w:name w:val="Ju_List_a"/>
    <w:basedOn w:val="JuList"/>
    <w:rsid w:val="00D66C93"/>
    <w:pPr>
      <w:ind w:left="346" w:firstLine="0"/>
    </w:pPr>
  </w:style>
  <w:style w:type="paragraph" w:customStyle="1" w:styleId="JuListi">
    <w:name w:val="Ju_List_i"/>
    <w:basedOn w:val="JuLista"/>
    <w:rsid w:val="00D66C93"/>
    <w:pPr>
      <w:ind w:left="794"/>
    </w:pPr>
  </w:style>
  <w:style w:type="character" w:styleId="Odwoaniedokomentarza">
    <w:name w:val="annotation reference"/>
    <w:semiHidden/>
    <w:rsid w:val="00D66C93"/>
    <w:rPr>
      <w:sz w:val="16"/>
      <w:szCs w:val="16"/>
    </w:rPr>
  </w:style>
  <w:style w:type="paragraph" w:styleId="Tekstkomentarza">
    <w:name w:val="annotation text"/>
    <w:basedOn w:val="Normalny"/>
    <w:semiHidden/>
    <w:rsid w:val="00D66C93"/>
    <w:rPr>
      <w:sz w:val="20"/>
    </w:rPr>
  </w:style>
  <w:style w:type="paragraph" w:customStyle="1" w:styleId="JuInitialled">
    <w:name w:val="Ju_Initialled"/>
    <w:basedOn w:val="JuSigned"/>
    <w:rsid w:val="00D66C93"/>
    <w:pPr>
      <w:tabs>
        <w:tab w:val="clear" w:pos="851"/>
      </w:tabs>
      <w:jc w:val="right"/>
    </w:pPr>
  </w:style>
  <w:style w:type="paragraph" w:customStyle="1" w:styleId="JuHeader">
    <w:name w:val="Ju_Header"/>
    <w:basedOn w:val="Nagwek"/>
    <w:rsid w:val="00D66C93"/>
  </w:style>
  <w:style w:type="paragraph" w:customStyle="1" w:styleId="DecHTitle">
    <w:name w:val="Dec_H_Title"/>
    <w:basedOn w:val="NormalTimesNewRoman"/>
    <w:rsid w:val="00D66C93"/>
    <w:pPr>
      <w:spacing w:after="240"/>
      <w:jc w:val="center"/>
      <w:outlineLvl w:val="0"/>
    </w:pPr>
    <w:rPr>
      <w:sz w:val="28"/>
    </w:rPr>
  </w:style>
  <w:style w:type="paragraph" w:customStyle="1" w:styleId="DecHCase">
    <w:name w:val="Dec_H_Case"/>
    <w:basedOn w:val="DecHTitle"/>
    <w:next w:val="JuPara"/>
    <w:rsid w:val="00D66C93"/>
    <w:rPr>
      <w:sz w:val="24"/>
    </w:rPr>
  </w:style>
  <w:style w:type="paragraph" w:customStyle="1" w:styleId="DecList">
    <w:name w:val="Dec_List"/>
    <w:basedOn w:val="NormalTimesNewRoman"/>
    <w:rsid w:val="00D66C93"/>
    <w:pPr>
      <w:spacing w:before="240"/>
      <w:ind w:left="284"/>
      <w:jc w:val="both"/>
    </w:pPr>
  </w:style>
  <w:style w:type="paragraph" w:customStyle="1" w:styleId="JuParaSub">
    <w:name w:val="Ju_Para_Sub"/>
    <w:basedOn w:val="JuPara"/>
    <w:rsid w:val="00D66C93"/>
    <w:pPr>
      <w:ind w:left="284"/>
    </w:pPr>
    <w:rPr>
      <w:szCs w:val="24"/>
    </w:rPr>
  </w:style>
  <w:style w:type="paragraph" w:customStyle="1" w:styleId="JuQuotSub">
    <w:name w:val="Ju_Quot_Sub"/>
    <w:basedOn w:val="JuQuot"/>
    <w:rsid w:val="00D66C93"/>
    <w:pPr>
      <w:ind w:left="567"/>
    </w:pPr>
  </w:style>
  <w:style w:type="paragraph" w:styleId="Tekstdymka">
    <w:name w:val="Balloon Text"/>
    <w:basedOn w:val="Normalny"/>
    <w:semiHidden/>
    <w:rsid w:val="00D66C93"/>
    <w:rPr>
      <w:rFonts w:ascii="Tahoma" w:hAnsi="Tahoma" w:cs="Tahoma"/>
      <w:sz w:val="16"/>
      <w:szCs w:val="16"/>
    </w:rPr>
  </w:style>
  <w:style w:type="paragraph" w:styleId="Tematkomentarza">
    <w:name w:val="annotation subject"/>
    <w:basedOn w:val="Tekstkomentarza"/>
    <w:next w:val="Tekstkomentarza"/>
    <w:semiHidden/>
    <w:rsid w:val="00D66C93"/>
    <w:rPr>
      <w:b/>
      <w:bCs/>
    </w:rPr>
  </w:style>
  <w:style w:type="character" w:styleId="Odwoanieprzypisukocowego">
    <w:name w:val="endnote reference"/>
    <w:semiHidden/>
    <w:rsid w:val="00D66C93"/>
    <w:rPr>
      <w:vertAlign w:val="superscript"/>
    </w:rPr>
  </w:style>
  <w:style w:type="paragraph" w:styleId="Tekstprzypisukocowego">
    <w:name w:val="endnote text"/>
    <w:basedOn w:val="Normalny"/>
    <w:semiHidden/>
    <w:rsid w:val="00D66C93"/>
    <w:rPr>
      <w:sz w:val="20"/>
    </w:rPr>
  </w:style>
  <w:style w:type="character" w:styleId="UyteHipercze">
    <w:name w:val="FollowedHyperlink"/>
    <w:rsid w:val="00D66C93"/>
    <w:rPr>
      <w:color w:val="800080"/>
      <w:u w:val="single"/>
    </w:rPr>
  </w:style>
  <w:style w:type="paragraph" w:customStyle="1" w:styleId="SuCoverTitle1">
    <w:name w:val="Su_Cover_Title1"/>
    <w:basedOn w:val="NormalTimesNewRoman"/>
    <w:next w:val="SuCoverTitle2"/>
    <w:rsid w:val="00D66C93"/>
    <w:pPr>
      <w:spacing w:before="2500"/>
      <w:jc w:val="center"/>
    </w:pPr>
    <w:rPr>
      <w:sz w:val="22"/>
    </w:rPr>
  </w:style>
  <w:style w:type="paragraph" w:customStyle="1" w:styleId="SuCoverTitle2">
    <w:name w:val="Su_Cover_Title2"/>
    <w:basedOn w:val="SuCoverTitle1"/>
    <w:next w:val="Normalny"/>
    <w:rsid w:val="00D66C93"/>
    <w:pPr>
      <w:spacing w:before="240"/>
    </w:pPr>
    <w:rPr>
      <w:sz w:val="18"/>
    </w:rPr>
  </w:style>
  <w:style w:type="paragraph" w:customStyle="1" w:styleId="SuPara">
    <w:name w:val="Su_Para"/>
    <w:basedOn w:val="SuKeywords"/>
    <w:rsid w:val="00D66C93"/>
    <w:pPr>
      <w:spacing w:before="0" w:after="0"/>
    </w:pPr>
    <w:rPr>
      <w:i w:val="0"/>
    </w:rPr>
  </w:style>
  <w:style w:type="paragraph" w:customStyle="1" w:styleId="SuKeywords">
    <w:name w:val="Su_Keywords"/>
    <w:basedOn w:val="SuHHead"/>
    <w:rsid w:val="00D66C93"/>
    <w:pPr>
      <w:spacing w:before="120"/>
    </w:pPr>
    <w:rPr>
      <w:b w:val="0"/>
      <w:i/>
    </w:rPr>
  </w:style>
  <w:style w:type="paragraph" w:customStyle="1" w:styleId="SuHHead">
    <w:name w:val="Su_H_Head"/>
    <w:basedOn w:val="SuSubject"/>
    <w:rsid w:val="00D66C93"/>
    <w:pPr>
      <w:spacing w:after="120"/>
    </w:pPr>
  </w:style>
  <w:style w:type="paragraph" w:customStyle="1" w:styleId="SuSubject">
    <w:name w:val="Su_Subject"/>
    <w:basedOn w:val="SuSummary"/>
    <w:rsid w:val="00D66C93"/>
    <w:pPr>
      <w:spacing w:before="360"/>
      <w:jc w:val="both"/>
    </w:pPr>
    <w:rPr>
      <w:b/>
      <w:sz w:val="22"/>
    </w:rPr>
  </w:style>
  <w:style w:type="paragraph" w:customStyle="1" w:styleId="SuSummary">
    <w:name w:val="Su_Summary"/>
    <w:basedOn w:val="NormalTimesNewRoman"/>
    <w:next w:val="SuSubject"/>
    <w:rsid w:val="00D66C93"/>
    <w:pPr>
      <w:spacing w:after="240"/>
      <w:jc w:val="center"/>
    </w:pPr>
  </w:style>
  <w:style w:type="paragraph" w:customStyle="1" w:styleId="OpiParaSub">
    <w:name w:val="Opi_Para_Sub"/>
    <w:basedOn w:val="JuParaSub"/>
    <w:rsid w:val="00D66C93"/>
  </w:style>
  <w:style w:type="paragraph" w:customStyle="1" w:styleId="OpiQuotSub">
    <w:name w:val="Opi_Quot_Sub"/>
    <w:basedOn w:val="JuQuotSub"/>
    <w:rsid w:val="00D66C93"/>
  </w:style>
  <w:style w:type="character" w:styleId="Hipercze">
    <w:name w:val="Hyperlink"/>
    <w:rsid w:val="00D66C93"/>
    <w:rPr>
      <w:color w:val="0000FF"/>
      <w:u w:val="single"/>
    </w:rPr>
  </w:style>
  <w:style w:type="character" w:styleId="Pogrubienie">
    <w:name w:val="Strong"/>
    <w:qFormat/>
    <w:rsid w:val="00D66C93"/>
    <w:rPr>
      <w:b/>
      <w:bCs/>
    </w:rPr>
  </w:style>
  <w:style w:type="paragraph" w:styleId="Mapadokumentu">
    <w:name w:val="Document Map"/>
    <w:basedOn w:val="Normalny"/>
    <w:semiHidden/>
    <w:rsid w:val="00D66C93"/>
    <w:pPr>
      <w:shd w:val="clear" w:color="auto" w:fill="000080"/>
    </w:pPr>
    <w:rPr>
      <w:rFonts w:ascii="Tahoma" w:hAnsi="Tahoma" w:cs="Tahoma"/>
      <w:sz w:val="20"/>
    </w:rPr>
  </w:style>
  <w:style w:type="character" w:customStyle="1" w:styleId="JuNames">
    <w:name w:val="Ju_Names"/>
    <w:rsid w:val="00D66C93"/>
    <w:rPr>
      <w:smallCaps/>
    </w:rPr>
  </w:style>
  <w:style w:type="paragraph" w:customStyle="1" w:styleId="NormalJustified">
    <w:name w:val="Normal_Justified"/>
    <w:basedOn w:val="NormalTimesNewRoman"/>
    <w:rsid w:val="00D66C93"/>
    <w:pPr>
      <w:jc w:val="both"/>
    </w:pPr>
  </w:style>
  <w:style w:type="paragraph" w:customStyle="1" w:styleId="JuAppQuestion">
    <w:name w:val="Ju_App_Question"/>
    <w:basedOn w:val="Listapunktowana"/>
    <w:rsid w:val="00D66C93"/>
    <w:pPr>
      <w:numPr>
        <w:numId w:val="3"/>
      </w:numPr>
    </w:pPr>
    <w:rPr>
      <w:b/>
      <w:color w:val="333333"/>
    </w:rPr>
  </w:style>
  <w:style w:type="paragraph" w:styleId="Listapunktowana">
    <w:name w:val="List Bullet"/>
    <w:basedOn w:val="NormalTimesNewRoman"/>
    <w:rsid w:val="00D66C93"/>
    <w:pPr>
      <w:numPr>
        <w:numId w:val="2"/>
      </w:numPr>
    </w:pPr>
  </w:style>
  <w:style w:type="paragraph" w:customStyle="1" w:styleId="NormalTimesNewRoman">
    <w:name w:val="Normal_TimesNewRoman"/>
    <w:rsid w:val="00D66C93"/>
    <w:rPr>
      <w:sz w:val="24"/>
      <w:lang w:val="en-GB" w:eastAsia="fr-FR"/>
    </w:rPr>
  </w:style>
  <w:style w:type="character" w:customStyle="1" w:styleId="JuITMark">
    <w:name w:val="Ju_ITMark"/>
    <w:rsid w:val="00D66C93"/>
    <w:rPr>
      <w:rFonts w:ascii="Times New Roman" w:hAnsi="Times New Roman"/>
      <w:b w:val="0"/>
      <w:i w:val="0"/>
      <w:caps w:val="0"/>
      <w:smallCaps w:val="0"/>
      <w:strike w:val="0"/>
      <w:dstrike w:val="0"/>
      <w:vanish/>
      <w:color w:val="339966"/>
      <w:sz w:val="16"/>
      <w:szCs w:val="16"/>
      <w:u w:val="none"/>
      <w:vertAlign w:val="baseline"/>
      <w:lang w:val="en-GB"/>
    </w:rPr>
  </w:style>
  <w:style w:type="paragraph" w:customStyle="1" w:styleId="JuTitle">
    <w:name w:val="Ju_Title"/>
    <w:basedOn w:val="JuHHead"/>
    <w:next w:val="JuPara"/>
    <w:rsid w:val="00D1288A"/>
    <w:pPr>
      <w:jc w:val="center"/>
    </w:pPr>
    <w:rPr>
      <w:b/>
      <w:caps/>
      <w:sz w:val="24"/>
      <w:szCs w:val="24"/>
      <w:u w:val="single"/>
    </w:rPr>
  </w:style>
  <w:style w:type="character" w:customStyle="1" w:styleId="JuParaCar">
    <w:name w:val="Ju_Para Car"/>
    <w:rsid w:val="00A36290"/>
    <w:rPr>
      <w:sz w:val="24"/>
      <w:lang w:val="en-GB" w:eastAsia="fr-FR" w:bidi="ar-SA"/>
    </w:rPr>
  </w:style>
  <w:style w:type="paragraph" w:customStyle="1" w:styleId="naisc">
    <w:name w:val="naisc"/>
    <w:basedOn w:val="Normalny"/>
    <w:rsid w:val="00424C76"/>
    <w:pPr>
      <w:suppressAutoHyphens w:val="0"/>
      <w:spacing w:before="100" w:beforeAutospacing="1" w:after="100" w:afterAutospacing="1"/>
    </w:pPr>
    <w:rPr>
      <w:szCs w:val="24"/>
      <w:lang w:eastAsia="en-GB"/>
    </w:rPr>
  </w:style>
  <w:style w:type="paragraph" w:customStyle="1" w:styleId="naispant">
    <w:name w:val="naispant"/>
    <w:basedOn w:val="Normalny"/>
    <w:rsid w:val="00424C76"/>
    <w:pPr>
      <w:suppressAutoHyphens w:val="0"/>
      <w:spacing w:before="100" w:beforeAutospacing="1" w:after="100" w:afterAutospacing="1"/>
    </w:pPr>
    <w:rPr>
      <w:szCs w:val="24"/>
      <w:lang w:eastAsia="en-GB"/>
    </w:rPr>
  </w:style>
  <w:style w:type="paragraph" w:customStyle="1" w:styleId="naisf">
    <w:name w:val="naisf"/>
    <w:basedOn w:val="Normalny"/>
    <w:rsid w:val="00424C76"/>
    <w:pPr>
      <w:suppressAutoHyphens w:val="0"/>
      <w:spacing w:before="100" w:beforeAutospacing="1" w:after="100" w:afterAutospacing="1"/>
    </w:pPr>
    <w:rPr>
      <w:szCs w:val="24"/>
      <w:lang w:eastAsia="en-GB"/>
    </w:rPr>
  </w:style>
  <w:style w:type="table" w:styleId="Tabela-Siatka">
    <w:name w:val="Table Grid"/>
    <w:basedOn w:val="Standardowy"/>
    <w:rsid w:val="00D66C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b621b36">
    <w:name w:val="s6b621b36"/>
    <w:basedOn w:val="Domylnaczcionkaakapitu"/>
    <w:rsid w:val="00C37663"/>
  </w:style>
  <w:style w:type="character" w:customStyle="1" w:styleId="wordhighlightedcurrentterm">
    <w:name w:val="wordhighlighted currentterm"/>
    <w:basedOn w:val="Domylnaczcionkaakapitu"/>
    <w:rsid w:val="00C37663"/>
  </w:style>
  <w:style w:type="character" w:customStyle="1" w:styleId="sb8d990e2">
    <w:name w:val="sb8d990e2"/>
    <w:basedOn w:val="Domylnaczcionkaakapitu"/>
    <w:rsid w:val="00C37663"/>
  </w:style>
  <w:style w:type="paragraph" w:customStyle="1" w:styleId="s30eec3f8">
    <w:name w:val="s30eec3f8"/>
    <w:basedOn w:val="Normalny"/>
    <w:rsid w:val="003E33BD"/>
    <w:pPr>
      <w:suppressAutoHyphens w:val="0"/>
      <w:spacing w:before="100" w:beforeAutospacing="1" w:after="100" w:afterAutospacing="1"/>
    </w:pPr>
    <w:rPr>
      <w:szCs w:val="24"/>
      <w:lang w:eastAsia="en-GB"/>
    </w:rPr>
  </w:style>
  <w:style w:type="paragraph" w:customStyle="1" w:styleId="s70227c73">
    <w:name w:val="s70227c73"/>
    <w:basedOn w:val="Normalny"/>
    <w:rsid w:val="009F7EF4"/>
    <w:pPr>
      <w:suppressAutoHyphens w:val="0"/>
      <w:spacing w:before="100" w:beforeAutospacing="1" w:after="100" w:afterAutospacing="1"/>
    </w:pPr>
    <w:rPr>
      <w:szCs w:val="24"/>
      <w:lang w:eastAsia="en-GB"/>
    </w:rPr>
  </w:style>
  <w:style w:type="paragraph" w:customStyle="1" w:styleId="CharCharCharChar">
    <w:name w:val="Char Char Char Char"/>
    <w:basedOn w:val="Normalny"/>
    <w:rsid w:val="00FC02B4"/>
    <w:pPr>
      <w:suppressAutoHyphens w:val="0"/>
      <w:spacing w:after="160" w:line="240" w:lineRule="exact"/>
    </w:pPr>
    <w:rPr>
      <w:rFonts w:ascii="Tahoma" w:hAnsi="Tahoma"/>
      <w:sz w:val="20"/>
      <w:lang w:val="en-US" w:eastAsia="en-US"/>
    </w:rPr>
  </w:style>
  <w:style w:type="paragraph" w:customStyle="1" w:styleId="s1adbd37c">
    <w:name w:val="s1adbd37c"/>
    <w:basedOn w:val="Normalny"/>
    <w:rsid w:val="00303067"/>
    <w:pPr>
      <w:suppressAutoHyphens w:val="0"/>
      <w:spacing w:before="100" w:beforeAutospacing="1" w:after="100" w:afterAutospacing="1"/>
    </w:pPr>
    <w:rPr>
      <w:szCs w:val="24"/>
      <w:lang w:eastAsia="en-GB"/>
    </w:rPr>
  </w:style>
  <w:style w:type="paragraph" w:customStyle="1" w:styleId="PubJuPara">
    <w:name w:val="Pub_Ju_Para"/>
    <w:basedOn w:val="NormalTimesNewRoman"/>
    <w:rsid w:val="00D66C93"/>
    <w:pPr>
      <w:ind w:firstLine="284"/>
      <w:jc w:val="both"/>
    </w:pPr>
  </w:style>
  <w:style w:type="paragraph" w:customStyle="1" w:styleId="PubJuQuot">
    <w:name w:val="Pub_Ju_Quot"/>
    <w:basedOn w:val="NormalTimesNewRoman"/>
    <w:rsid w:val="00D66C93"/>
    <w:pPr>
      <w:spacing w:before="120" w:after="120"/>
      <w:ind w:left="403" w:firstLine="176"/>
      <w:jc w:val="both"/>
    </w:pPr>
    <w:rPr>
      <w:sz w:val="20"/>
    </w:rPr>
  </w:style>
  <w:style w:type="paragraph" w:customStyle="1" w:styleId="PubListArticleSubject">
    <w:name w:val="Pub_List_ArticleSubject"/>
    <w:basedOn w:val="NormalTimesNewRoman"/>
    <w:rsid w:val="00D66C93"/>
    <w:pPr>
      <w:tabs>
        <w:tab w:val="left" w:pos="2977"/>
      </w:tabs>
      <w:ind w:left="2977" w:hanging="2977"/>
    </w:pPr>
  </w:style>
  <w:style w:type="paragraph" w:customStyle="1" w:styleId="PubListCaseNo">
    <w:name w:val="Pub_List_CaseNo"/>
    <w:basedOn w:val="NormalTimesNewRoman"/>
    <w:rsid w:val="00D66C93"/>
    <w:pPr>
      <w:tabs>
        <w:tab w:val="left" w:pos="1276"/>
      </w:tabs>
      <w:spacing w:line="288" w:lineRule="auto"/>
      <w:ind w:left="1276" w:hanging="1276"/>
    </w:pPr>
  </w:style>
  <w:style w:type="paragraph" w:customStyle="1" w:styleId="PubListCases">
    <w:name w:val="Pub_List_Cases"/>
    <w:basedOn w:val="NormalTimesNewRoman"/>
    <w:rsid w:val="00D66C93"/>
    <w:pPr>
      <w:spacing w:line="288" w:lineRule="auto"/>
    </w:pPr>
  </w:style>
  <w:style w:type="paragraph" w:customStyle="1" w:styleId="PubTextIntro">
    <w:name w:val="Pub_Text_Intro"/>
    <w:basedOn w:val="NormalTimesNewRoman"/>
    <w:rsid w:val="00D66C93"/>
    <w:pPr>
      <w:jc w:val="both"/>
    </w:pPr>
    <w:rPr>
      <w:i/>
      <w:sz w:val="20"/>
    </w:rPr>
  </w:style>
  <w:style w:type="paragraph" w:customStyle="1" w:styleId="PubTitleCover">
    <w:name w:val="Pub_Title_Cover"/>
    <w:basedOn w:val="NormalTimesNewRoman"/>
    <w:rsid w:val="00D66C93"/>
    <w:pPr>
      <w:spacing w:before="2500"/>
      <w:jc w:val="center"/>
    </w:pPr>
    <w:rPr>
      <w:b/>
      <w:smallCaps/>
      <w:sz w:val="30"/>
    </w:rPr>
  </w:style>
  <w:style w:type="paragraph" w:customStyle="1" w:styleId="PubTitle1Alpha">
    <w:name w:val="Pub_Title1_Alpha"/>
    <w:basedOn w:val="NormalTimesNewRoman"/>
    <w:next w:val="Normalny"/>
    <w:rsid w:val="00D66C93"/>
    <w:pPr>
      <w:spacing w:after="120"/>
      <w:jc w:val="center"/>
    </w:pPr>
    <w:rPr>
      <w:b/>
      <w:smallCaps/>
      <w:sz w:val="30"/>
    </w:rPr>
  </w:style>
  <w:style w:type="paragraph" w:customStyle="1" w:styleId="PubTitle1IndexArticle">
    <w:name w:val="Pub_Title1_IndexArticle"/>
    <w:basedOn w:val="NormalTimesNewRoman"/>
    <w:rsid w:val="00D66C93"/>
    <w:pPr>
      <w:spacing w:after="120"/>
      <w:jc w:val="center"/>
    </w:pPr>
    <w:rPr>
      <w:b/>
      <w:smallCaps/>
      <w:sz w:val="30"/>
    </w:rPr>
  </w:style>
  <w:style w:type="paragraph" w:customStyle="1" w:styleId="PubTitle1IndexKey">
    <w:name w:val="Pub_Title1_IndexKey"/>
    <w:basedOn w:val="NormalTimesNewRoman"/>
    <w:rsid w:val="00D66C93"/>
    <w:pPr>
      <w:spacing w:after="600"/>
      <w:jc w:val="center"/>
    </w:pPr>
    <w:rPr>
      <w:b/>
      <w:smallCaps/>
      <w:sz w:val="30"/>
    </w:rPr>
  </w:style>
  <w:style w:type="paragraph" w:customStyle="1" w:styleId="PubTitle1Num">
    <w:name w:val="Pub_Title1_Num"/>
    <w:basedOn w:val="NormalTimesNewRoman"/>
    <w:next w:val="PubListCaseNo"/>
    <w:rsid w:val="00D66C93"/>
    <w:pPr>
      <w:spacing w:after="720"/>
      <w:jc w:val="center"/>
    </w:pPr>
    <w:rPr>
      <w:b/>
      <w:smallCaps/>
      <w:sz w:val="30"/>
    </w:rPr>
  </w:style>
  <w:style w:type="paragraph" w:customStyle="1" w:styleId="PubTitle2Country">
    <w:name w:val="Pub_Title2_Country"/>
    <w:basedOn w:val="NormalTimesNewRoman"/>
    <w:next w:val="PubListCases"/>
    <w:rsid w:val="00D66C93"/>
    <w:pPr>
      <w:keepNext/>
      <w:keepLines/>
      <w:spacing w:before="600" w:after="360"/>
    </w:pPr>
    <w:rPr>
      <w:b/>
    </w:rPr>
  </w:style>
  <w:style w:type="paragraph" w:customStyle="1" w:styleId="PubTitle2Letters">
    <w:name w:val="Pub_Title2_Letters"/>
    <w:basedOn w:val="NormalTimesNewRoman"/>
    <w:next w:val="PubListCases"/>
    <w:rsid w:val="00D66C93"/>
    <w:pPr>
      <w:keepNext/>
      <w:keepLines/>
      <w:spacing w:before="600" w:after="360"/>
    </w:pPr>
    <w:rPr>
      <w:b/>
      <w:sz w:val="28"/>
    </w:rPr>
  </w:style>
  <w:style w:type="paragraph" w:customStyle="1" w:styleId="PubTitle2Part">
    <w:name w:val="Pub_Title2_Part"/>
    <w:basedOn w:val="NormalTimesNewRoman"/>
    <w:rsid w:val="00D66C93"/>
    <w:pPr>
      <w:keepNext/>
      <w:keepLines/>
      <w:spacing w:before="600" w:after="240"/>
      <w:jc w:val="center"/>
    </w:pPr>
    <w:rPr>
      <w:b/>
      <w:caps/>
    </w:rPr>
  </w:style>
  <w:style w:type="paragraph" w:customStyle="1" w:styleId="PubTitle3Article">
    <w:name w:val="Pub_Title3_Article"/>
    <w:basedOn w:val="NormalTimesNewRoman"/>
    <w:rsid w:val="00D66C93"/>
    <w:pPr>
      <w:keepNext/>
      <w:keepLines/>
      <w:spacing w:before="360" w:after="120"/>
      <w:jc w:val="center"/>
    </w:pPr>
    <w:rPr>
      <w:b/>
      <w:smallCaps/>
      <w:sz w:val="22"/>
    </w:rPr>
  </w:style>
  <w:style w:type="paragraph" w:customStyle="1" w:styleId="PubTitle4ArticleSub">
    <w:name w:val="Pub_Title4_Article_Sub"/>
    <w:basedOn w:val="PubTitle3Article"/>
    <w:rsid w:val="00D66C93"/>
    <w:pPr>
      <w:spacing w:before="240"/>
    </w:pPr>
    <w:rPr>
      <w:smallCaps w:val="0"/>
      <w:sz w:val="20"/>
    </w:rPr>
  </w:style>
  <w:style w:type="paragraph" w:customStyle="1" w:styleId="PubTitle5Subject">
    <w:name w:val="Pub_Title5_Subject"/>
    <w:basedOn w:val="NormalTimesNewRoman"/>
    <w:rsid w:val="00D66C93"/>
    <w:pPr>
      <w:keepNext/>
      <w:keepLines/>
      <w:spacing w:before="240" w:after="120"/>
      <w:jc w:val="both"/>
    </w:pPr>
    <w:rPr>
      <w:b/>
      <w:i/>
    </w:rPr>
  </w:style>
  <w:style w:type="paragraph" w:customStyle="1" w:styleId="PubTitle6SubjectSub">
    <w:name w:val="Pub_Title6_Subject_Sub"/>
    <w:basedOn w:val="NormalTimesNewRoman"/>
    <w:rsid w:val="00D66C93"/>
    <w:pPr>
      <w:keepNext/>
      <w:keepLines/>
      <w:spacing w:before="240" w:after="120"/>
      <w:ind w:left="284"/>
      <w:jc w:val="both"/>
    </w:pPr>
    <w:rPr>
      <w:b/>
      <w:sz w:val="20"/>
    </w:rPr>
  </w:style>
  <w:style w:type="paragraph" w:customStyle="1" w:styleId="PubTitle7CaseName">
    <w:name w:val="Pub_Title7_CaseName"/>
    <w:basedOn w:val="NormalTimesNewRoman"/>
    <w:rsid w:val="00D66C93"/>
    <w:pPr>
      <w:keepLines/>
      <w:spacing w:after="240"/>
      <w:jc w:val="right"/>
    </w:pPr>
    <w:rPr>
      <w:sz w:val="22"/>
    </w:rPr>
  </w:style>
  <w:style w:type="numbering" w:styleId="111111">
    <w:name w:val="Outline List 2"/>
    <w:basedOn w:val="Bezlisty"/>
    <w:rsid w:val="00D66C93"/>
    <w:pPr>
      <w:numPr>
        <w:numId w:val="10"/>
      </w:numPr>
    </w:pPr>
  </w:style>
  <w:style w:type="numbering" w:styleId="1ai">
    <w:name w:val="Outline List 1"/>
    <w:basedOn w:val="Bezlisty"/>
    <w:rsid w:val="00D66C93"/>
    <w:pPr>
      <w:numPr>
        <w:numId w:val="11"/>
      </w:numPr>
    </w:pPr>
  </w:style>
  <w:style w:type="numbering" w:styleId="Artykusekcja">
    <w:name w:val="Outline List 3"/>
    <w:basedOn w:val="Bezlisty"/>
    <w:rsid w:val="00D66C93"/>
    <w:pPr>
      <w:numPr>
        <w:numId w:val="12"/>
      </w:numPr>
    </w:pPr>
  </w:style>
  <w:style w:type="paragraph" w:styleId="Tekstblokowy">
    <w:name w:val="Block Text"/>
    <w:basedOn w:val="Normalny"/>
    <w:rsid w:val="00D66C93"/>
    <w:pPr>
      <w:spacing w:after="120"/>
      <w:ind w:left="1440" w:right="1440"/>
    </w:pPr>
  </w:style>
  <w:style w:type="paragraph" w:styleId="Tekstpodstawowy">
    <w:name w:val="Body Text"/>
    <w:basedOn w:val="Normalny"/>
    <w:rsid w:val="00D66C93"/>
    <w:pPr>
      <w:spacing w:after="120"/>
    </w:pPr>
  </w:style>
  <w:style w:type="paragraph" w:styleId="Tekstpodstawowy2">
    <w:name w:val="Body Text 2"/>
    <w:basedOn w:val="Normalny"/>
    <w:rsid w:val="00D66C93"/>
    <w:pPr>
      <w:spacing w:after="120" w:line="480" w:lineRule="auto"/>
    </w:pPr>
  </w:style>
  <w:style w:type="paragraph" w:styleId="Tekstpodstawowy3">
    <w:name w:val="Body Text 3"/>
    <w:basedOn w:val="Normalny"/>
    <w:rsid w:val="00D66C93"/>
    <w:pPr>
      <w:spacing w:after="120"/>
    </w:pPr>
    <w:rPr>
      <w:sz w:val="16"/>
      <w:szCs w:val="16"/>
    </w:rPr>
  </w:style>
  <w:style w:type="paragraph" w:styleId="Tekstpodstawowyzwciciem">
    <w:name w:val="Body Text First Indent"/>
    <w:basedOn w:val="Tekstpodstawowy"/>
    <w:rsid w:val="00D66C93"/>
    <w:pPr>
      <w:ind w:firstLine="210"/>
    </w:pPr>
  </w:style>
  <w:style w:type="paragraph" w:styleId="Tekstpodstawowywcity">
    <w:name w:val="Body Text Indent"/>
    <w:basedOn w:val="Normalny"/>
    <w:rsid w:val="00D66C93"/>
    <w:pPr>
      <w:spacing w:after="120"/>
      <w:ind w:left="283"/>
    </w:pPr>
  </w:style>
  <w:style w:type="paragraph" w:styleId="Tekstpodstawowyzwciciem2">
    <w:name w:val="Body Text First Indent 2"/>
    <w:basedOn w:val="Tekstpodstawowywcity"/>
    <w:rsid w:val="00D66C93"/>
    <w:pPr>
      <w:ind w:firstLine="210"/>
    </w:pPr>
  </w:style>
  <w:style w:type="paragraph" w:styleId="Tekstpodstawowywcity2">
    <w:name w:val="Body Text Indent 2"/>
    <w:basedOn w:val="Normalny"/>
    <w:rsid w:val="00D66C93"/>
    <w:pPr>
      <w:spacing w:after="120" w:line="480" w:lineRule="auto"/>
      <w:ind w:left="283"/>
    </w:pPr>
  </w:style>
  <w:style w:type="paragraph" w:styleId="Tekstpodstawowywcity3">
    <w:name w:val="Body Text Indent 3"/>
    <w:basedOn w:val="Normalny"/>
    <w:rsid w:val="00D66C93"/>
    <w:pPr>
      <w:spacing w:after="120"/>
      <w:ind w:left="283"/>
    </w:pPr>
    <w:rPr>
      <w:sz w:val="16"/>
      <w:szCs w:val="16"/>
    </w:rPr>
  </w:style>
  <w:style w:type="paragraph" w:styleId="Legenda">
    <w:name w:val="caption"/>
    <w:basedOn w:val="Normalny"/>
    <w:next w:val="Normalny"/>
    <w:qFormat/>
    <w:rsid w:val="00D66C93"/>
    <w:rPr>
      <w:b/>
      <w:bCs/>
      <w:sz w:val="20"/>
    </w:rPr>
  </w:style>
  <w:style w:type="paragraph" w:styleId="Zwrotpoegnalny">
    <w:name w:val="Closing"/>
    <w:basedOn w:val="Normalny"/>
    <w:rsid w:val="00D66C93"/>
    <w:pPr>
      <w:ind w:left="4252"/>
    </w:pPr>
  </w:style>
  <w:style w:type="paragraph" w:styleId="Data">
    <w:name w:val="Date"/>
    <w:basedOn w:val="Normalny"/>
    <w:next w:val="Normalny"/>
    <w:rsid w:val="00D66C93"/>
  </w:style>
  <w:style w:type="paragraph" w:styleId="Podpise-mail">
    <w:name w:val="E-mail Signature"/>
    <w:basedOn w:val="Normalny"/>
    <w:rsid w:val="00D66C93"/>
  </w:style>
  <w:style w:type="character" w:styleId="Uwydatnienie">
    <w:name w:val="Emphasis"/>
    <w:uiPriority w:val="20"/>
    <w:qFormat/>
    <w:rsid w:val="00D66C93"/>
    <w:rPr>
      <w:i/>
      <w:iCs/>
    </w:rPr>
  </w:style>
  <w:style w:type="paragraph" w:styleId="Adresnakopercie">
    <w:name w:val="envelope address"/>
    <w:basedOn w:val="Normalny"/>
    <w:rsid w:val="00D66C93"/>
    <w:pPr>
      <w:framePr w:w="7920" w:h="1980" w:hRule="exact" w:hSpace="180" w:wrap="auto" w:hAnchor="page" w:xAlign="center" w:yAlign="bottom"/>
      <w:ind w:left="2880"/>
    </w:pPr>
    <w:rPr>
      <w:rFonts w:ascii="Arial" w:hAnsi="Arial" w:cs="Arial"/>
      <w:szCs w:val="24"/>
    </w:rPr>
  </w:style>
  <w:style w:type="paragraph" w:styleId="Adreszwrotnynakopercie">
    <w:name w:val="envelope return"/>
    <w:basedOn w:val="Normalny"/>
    <w:rsid w:val="00D66C93"/>
    <w:rPr>
      <w:rFonts w:ascii="Arial" w:hAnsi="Arial" w:cs="Arial"/>
      <w:sz w:val="20"/>
    </w:rPr>
  </w:style>
  <w:style w:type="character" w:styleId="HTML-akronim">
    <w:name w:val="HTML Acronym"/>
    <w:basedOn w:val="Domylnaczcionkaakapitu"/>
    <w:rsid w:val="00D66C93"/>
  </w:style>
  <w:style w:type="paragraph" w:styleId="HTML-adres">
    <w:name w:val="HTML Address"/>
    <w:basedOn w:val="Normalny"/>
    <w:rsid w:val="00D66C93"/>
    <w:rPr>
      <w:i/>
      <w:iCs/>
    </w:rPr>
  </w:style>
  <w:style w:type="character" w:styleId="HTML-cytat">
    <w:name w:val="HTML Cite"/>
    <w:rsid w:val="00D66C93"/>
    <w:rPr>
      <w:i/>
      <w:iCs/>
    </w:rPr>
  </w:style>
  <w:style w:type="character" w:styleId="HTML-kod">
    <w:name w:val="HTML Code"/>
    <w:rsid w:val="00D66C93"/>
    <w:rPr>
      <w:rFonts w:ascii="Courier New" w:hAnsi="Courier New" w:cs="Courier New"/>
      <w:sz w:val="20"/>
      <w:szCs w:val="20"/>
    </w:rPr>
  </w:style>
  <w:style w:type="character" w:styleId="HTML-definicja">
    <w:name w:val="HTML Definition"/>
    <w:rsid w:val="00D66C93"/>
    <w:rPr>
      <w:i/>
      <w:iCs/>
    </w:rPr>
  </w:style>
  <w:style w:type="character" w:styleId="HTML-klawiatura">
    <w:name w:val="HTML Keyboard"/>
    <w:rsid w:val="00D66C93"/>
    <w:rPr>
      <w:rFonts w:ascii="Courier New" w:hAnsi="Courier New" w:cs="Courier New"/>
      <w:sz w:val="20"/>
      <w:szCs w:val="20"/>
    </w:rPr>
  </w:style>
  <w:style w:type="paragraph" w:styleId="HTML-wstpniesformatowany">
    <w:name w:val="HTML Preformatted"/>
    <w:basedOn w:val="Normalny"/>
    <w:rsid w:val="00D66C93"/>
    <w:rPr>
      <w:rFonts w:ascii="Courier New" w:hAnsi="Courier New" w:cs="Courier New"/>
      <w:sz w:val="20"/>
    </w:rPr>
  </w:style>
  <w:style w:type="character" w:styleId="HTML-przykad">
    <w:name w:val="HTML Sample"/>
    <w:rsid w:val="00D66C93"/>
    <w:rPr>
      <w:rFonts w:ascii="Courier New" w:hAnsi="Courier New" w:cs="Courier New"/>
    </w:rPr>
  </w:style>
  <w:style w:type="character" w:styleId="HTML-staaszeroko">
    <w:name w:val="HTML Typewriter"/>
    <w:rsid w:val="00D66C93"/>
    <w:rPr>
      <w:rFonts w:ascii="Courier New" w:hAnsi="Courier New" w:cs="Courier New"/>
      <w:sz w:val="20"/>
      <w:szCs w:val="20"/>
    </w:rPr>
  </w:style>
  <w:style w:type="character" w:styleId="HTML-zmienna">
    <w:name w:val="HTML Variable"/>
    <w:rsid w:val="00D66C93"/>
    <w:rPr>
      <w:i/>
      <w:iCs/>
    </w:rPr>
  </w:style>
  <w:style w:type="paragraph" w:styleId="Indeks1">
    <w:name w:val="index 1"/>
    <w:basedOn w:val="Normalny"/>
    <w:next w:val="Normalny"/>
    <w:autoRedefine/>
    <w:semiHidden/>
    <w:rsid w:val="00D66C93"/>
    <w:pPr>
      <w:ind w:left="240" w:hanging="240"/>
    </w:pPr>
  </w:style>
  <w:style w:type="paragraph" w:styleId="Indeks2">
    <w:name w:val="index 2"/>
    <w:basedOn w:val="Normalny"/>
    <w:next w:val="Normalny"/>
    <w:autoRedefine/>
    <w:semiHidden/>
    <w:rsid w:val="00D66C93"/>
    <w:pPr>
      <w:ind w:left="480" w:hanging="240"/>
    </w:pPr>
  </w:style>
  <w:style w:type="paragraph" w:styleId="Indeks3">
    <w:name w:val="index 3"/>
    <w:basedOn w:val="Normalny"/>
    <w:next w:val="Normalny"/>
    <w:autoRedefine/>
    <w:semiHidden/>
    <w:rsid w:val="00D66C93"/>
    <w:pPr>
      <w:ind w:left="720" w:hanging="240"/>
    </w:pPr>
  </w:style>
  <w:style w:type="paragraph" w:styleId="Indeks4">
    <w:name w:val="index 4"/>
    <w:basedOn w:val="Normalny"/>
    <w:next w:val="Normalny"/>
    <w:autoRedefine/>
    <w:semiHidden/>
    <w:rsid w:val="00D66C93"/>
    <w:pPr>
      <w:ind w:left="960" w:hanging="240"/>
    </w:pPr>
  </w:style>
  <w:style w:type="paragraph" w:styleId="Indeks5">
    <w:name w:val="index 5"/>
    <w:basedOn w:val="Normalny"/>
    <w:next w:val="Normalny"/>
    <w:autoRedefine/>
    <w:semiHidden/>
    <w:rsid w:val="00D66C93"/>
    <w:pPr>
      <w:ind w:left="1200" w:hanging="240"/>
    </w:pPr>
  </w:style>
  <w:style w:type="paragraph" w:styleId="Indeks6">
    <w:name w:val="index 6"/>
    <w:basedOn w:val="Normalny"/>
    <w:next w:val="Normalny"/>
    <w:autoRedefine/>
    <w:semiHidden/>
    <w:rsid w:val="00D66C93"/>
    <w:pPr>
      <w:ind w:left="1440" w:hanging="240"/>
    </w:pPr>
  </w:style>
  <w:style w:type="paragraph" w:styleId="Indeks7">
    <w:name w:val="index 7"/>
    <w:basedOn w:val="Normalny"/>
    <w:next w:val="Normalny"/>
    <w:autoRedefine/>
    <w:semiHidden/>
    <w:rsid w:val="00D66C93"/>
    <w:pPr>
      <w:ind w:left="1680" w:hanging="240"/>
    </w:pPr>
  </w:style>
  <w:style w:type="paragraph" w:styleId="Indeks8">
    <w:name w:val="index 8"/>
    <w:basedOn w:val="Normalny"/>
    <w:next w:val="Normalny"/>
    <w:autoRedefine/>
    <w:semiHidden/>
    <w:rsid w:val="00D66C93"/>
    <w:pPr>
      <w:ind w:left="1920" w:hanging="240"/>
    </w:pPr>
  </w:style>
  <w:style w:type="paragraph" w:styleId="Indeks9">
    <w:name w:val="index 9"/>
    <w:basedOn w:val="Normalny"/>
    <w:next w:val="Normalny"/>
    <w:autoRedefine/>
    <w:semiHidden/>
    <w:rsid w:val="00D66C93"/>
    <w:pPr>
      <w:ind w:left="2160" w:hanging="240"/>
    </w:pPr>
  </w:style>
  <w:style w:type="paragraph" w:styleId="Nagwekindeksu">
    <w:name w:val="index heading"/>
    <w:basedOn w:val="Normalny"/>
    <w:next w:val="Indeks1"/>
    <w:semiHidden/>
    <w:rsid w:val="00D66C93"/>
    <w:rPr>
      <w:rFonts w:ascii="Arial" w:hAnsi="Arial" w:cs="Arial"/>
      <w:b/>
      <w:bCs/>
    </w:rPr>
  </w:style>
  <w:style w:type="character" w:styleId="Numerwiersza">
    <w:name w:val="line number"/>
    <w:basedOn w:val="Domylnaczcionkaakapitu"/>
    <w:rsid w:val="00D66C93"/>
  </w:style>
  <w:style w:type="paragraph" w:styleId="Lista">
    <w:name w:val="List"/>
    <w:basedOn w:val="Normalny"/>
    <w:rsid w:val="00D66C93"/>
    <w:pPr>
      <w:ind w:left="283" w:hanging="283"/>
    </w:pPr>
  </w:style>
  <w:style w:type="paragraph" w:styleId="Lista2">
    <w:name w:val="List 2"/>
    <w:basedOn w:val="Normalny"/>
    <w:rsid w:val="00D66C93"/>
    <w:pPr>
      <w:ind w:left="566" w:hanging="283"/>
    </w:pPr>
  </w:style>
  <w:style w:type="paragraph" w:styleId="Lista3">
    <w:name w:val="List 3"/>
    <w:basedOn w:val="Normalny"/>
    <w:rsid w:val="00D66C93"/>
    <w:pPr>
      <w:ind w:left="849" w:hanging="283"/>
    </w:pPr>
  </w:style>
  <w:style w:type="paragraph" w:styleId="Lista4">
    <w:name w:val="List 4"/>
    <w:basedOn w:val="Normalny"/>
    <w:rsid w:val="00D66C93"/>
    <w:pPr>
      <w:ind w:left="1132" w:hanging="283"/>
    </w:pPr>
  </w:style>
  <w:style w:type="paragraph" w:styleId="Lista5">
    <w:name w:val="List 5"/>
    <w:basedOn w:val="Normalny"/>
    <w:rsid w:val="00D66C93"/>
    <w:pPr>
      <w:ind w:left="1415" w:hanging="283"/>
    </w:pPr>
  </w:style>
  <w:style w:type="paragraph" w:styleId="Listapunktowana2">
    <w:name w:val="List Bullet 2"/>
    <w:basedOn w:val="Normalny"/>
    <w:rsid w:val="00D66C93"/>
    <w:pPr>
      <w:numPr>
        <w:numId w:val="13"/>
      </w:numPr>
    </w:pPr>
  </w:style>
  <w:style w:type="paragraph" w:styleId="Listapunktowana3">
    <w:name w:val="List Bullet 3"/>
    <w:basedOn w:val="Normalny"/>
    <w:rsid w:val="00D66C93"/>
    <w:pPr>
      <w:numPr>
        <w:numId w:val="14"/>
      </w:numPr>
    </w:pPr>
  </w:style>
  <w:style w:type="paragraph" w:styleId="Listapunktowana4">
    <w:name w:val="List Bullet 4"/>
    <w:basedOn w:val="Normalny"/>
    <w:rsid w:val="00D66C93"/>
    <w:pPr>
      <w:numPr>
        <w:numId w:val="15"/>
      </w:numPr>
    </w:pPr>
  </w:style>
  <w:style w:type="paragraph" w:styleId="Listapunktowana5">
    <w:name w:val="List Bullet 5"/>
    <w:basedOn w:val="Normalny"/>
    <w:rsid w:val="00D66C93"/>
    <w:pPr>
      <w:numPr>
        <w:numId w:val="16"/>
      </w:numPr>
    </w:pPr>
  </w:style>
  <w:style w:type="paragraph" w:styleId="Lista-kontynuacja">
    <w:name w:val="List Continue"/>
    <w:basedOn w:val="Normalny"/>
    <w:rsid w:val="00D66C93"/>
    <w:pPr>
      <w:spacing w:after="120"/>
      <w:ind w:left="283"/>
    </w:pPr>
  </w:style>
  <w:style w:type="paragraph" w:styleId="Lista-kontynuacja2">
    <w:name w:val="List Continue 2"/>
    <w:basedOn w:val="Normalny"/>
    <w:rsid w:val="00D66C93"/>
    <w:pPr>
      <w:spacing w:after="120"/>
      <w:ind w:left="566"/>
    </w:pPr>
  </w:style>
  <w:style w:type="paragraph" w:styleId="Lista-kontynuacja3">
    <w:name w:val="List Continue 3"/>
    <w:basedOn w:val="Normalny"/>
    <w:rsid w:val="00D66C93"/>
    <w:pPr>
      <w:spacing w:after="120"/>
      <w:ind w:left="849"/>
    </w:pPr>
  </w:style>
  <w:style w:type="paragraph" w:styleId="Lista-kontynuacja4">
    <w:name w:val="List Continue 4"/>
    <w:basedOn w:val="Normalny"/>
    <w:rsid w:val="00D66C93"/>
    <w:pPr>
      <w:spacing w:after="120"/>
      <w:ind w:left="1132"/>
    </w:pPr>
  </w:style>
  <w:style w:type="paragraph" w:styleId="Lista-kontynuacja5">
    <w:name w:val="List Continue 5"/>
    <w:basedOn w:val="Normalny"/>
    <w:rsid w:val="00D66C93"/>
    <w:pPr>
      <w:spacing w:after="120"/>
      <w:ind w:left="1415"/>
    </w:pPr>
  </w:style>
  <w:style w:type="paragraph" w:styleId="Listanumerowana">
    <w:name w:val="List Number"/>
    <w:basedOn w:val="Normalny"/>
    <w:rsid w:val="00D66C93"/>
    <w:pPr>
      <w:numPr>
        <w:numId w:val="17"/>
      </w:numPr>
    </w:pPr>
  </w:style>
  <w:style w:type="paragraph" w:styleId="Listanumerowana2">
    <w:name w:val="List Number 2"/>
    <w:basedOn w:val="Normalny"/>
    <w:rsid w:val="00D66C93"/>
    <w:pPr>
      <w:numPr>
        <w:numId w:val="18"/>
      </w:numPr>
    </w:pPr>
  </w:style>
  <w:style w:type="paragraph" w:styleId="Listanumerowana3">
    <w:name w:val="List Number 3"/>
    <w:basedOn w:val="Normalny"/>
    <w:rsid w:val="00D66C93"/>
    <w:pPr>
      <w:numPr>
        <w:numId w:val="19"/>
      </w:numPr>
    </w:pPr>
  </w:style>
  <w:style w:type="paragraph" w:styleId="Listanumerowana4">
    <w:name w:val="List Number 4"/>
    <w:basedOn w:val="Normalny"/>
    <w:rsid w:val="00D66C93"/>
    <w:pPr>
      <w:numPr>
        <w:numId w:val="20"/>
      </w:numPr>
    </w:pPr>
  </w:style>
  <w:style w:type="paragraph" w:styleId="Listanumerowana5">
    <w:name w:val="List Number 5"/>
    <w:basedOn w:val="Normalny"/>
    <w:rsid w:val="00D66C93"/>
    <w:pPr>
      <w:numPr>
        <w:numId w:val="21"/>
      </w:numPr>
    </w:pPr>
  </w:style>
  <w:style w:type="paragraph" w:styleId="Tekstmakra">
    <w:name w:val="macro"/>
    <w:semiHidden/>
    <w:rsid w:val="00D66C93"/>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val="en-GB" w:eastAsia="fr-FR"/>
    </w:rPr>
  </w:style>
  <w:style w:type="paragraph" w:styleId="Nagwekwiadomoci">
    <w:name w:val="Message Header"/>
    <w:basedOn w:val="Normalny"/>
    <w:rsid w:val="00D66C9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nyWeb">
    <w:name w:val="Normal (Web)"/>
    <w:basedOn w:val="Normalny"/>
    <w:rsid w:val="00D66C93"/>
    <w:rPr>
      <w:szCs w:val="24"/>
    </w:rPr>
  </w:style>
  <w:style w:type="paragraph" w:styleId="Wcicienormalne">
    <w:name w:val="Normal Indent"/>
    <w:basedOn w:val="Normalny"/>
    <w:rsid w:val="00D66C93"/>
    <w:pPr>
      <w:ind w:left="720"/>
    </w:pPr>
  </w:style>
  <w:style w:type="paragraph" w:styleId="Nagweknotatki">
    <w:name w:val="Note Heading"/>
    <w:basedOn w:val="Normalny"/>
    <w:next w:val="Normalny"/>
    <w:rsid w:val="00D66C93"/>
  </w:style>
  <w:style w:type="paragraph" w:styleId="Zwykytekst">
    <w:name w:val="Plain Text"/>
    <w:basedOn w:val="Normalny"/>
    <w:rsid w:val="00D66C93"/>
    <w:rPr>
      <w:rFonts w:ascii="Courier New" w:hAnsi="Courier New" w:cs="Courier New"/>
      <w:sz w:val="20"/>
    </w:rPr>
  </w:style>
  <w:style w:type="paragraph" w:styleId="Zwrotgrzecznociowy">
    <w:name w:val="Salutation"/>
    <w:basedOn w:val="Normalny"/>
    <w:next w:val="Normalny"/>
    <w:rsid w:val="00D66C93"/>
  </w:style>
  <w:style w:type="paragraph" w:styleId="Podpis">
    <w:name w:val="Signature"/>
    <w:basedOn w:val="Normalny"/>
    <w:rsid w:val="00D66C93"/>
    <w:pPr>
      <w:ind w:left="4252"/>
    </w:pPr>
  </w:style>
  <w:style w:type="paragraph" w:styleId="Podtytu">
    <w:name w:val="Subtitle"/>
    <w:basedOn w:val="Normalny"/>
    <w:qFormat/>
    <w:rsid w:val="00D66C93"/>
    <w:pPr>
      <w:spacing w:after="60"/>
      <w:jc w:val="center"/>
      <w:outlineLvl w:val="1"/>
    </w:pPr>
    <w:rPr>
      <w:rFonts w:ascii="Arial" w:hAnsi="Arial" w:cs="Arial"/>
      <w:szCs w:val="24"/>
    </w:rPr>
  </w:style>
  <w:style w:type="table" w:styleId="Tabela-Efekty3W1">
    <w:name w:val="Table 3D effects 1"/>
    <w:basedOn w:val="Standardowy"/>
    <w:rsid w:val="00D66C93"/>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Efekty3W2">
    <w:name w:val="Table 3D effects 2"/>
    <w:basedOn w:val="Standardowy"/>
    <w:rsid w:val="00D66C93"/>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fekty3W3">
    <w:name w:val="Table 3D effects 3"/>
    <w:basedOn w:val="Standardowy"/>
    <w:rsid w:val="00D66C93"/>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1">
    <w:name w:val="Table Classic 1"/>
    <w:basedOn w:val="Standardowy"/>
    <w:rsid w:val="00D66C93"/>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yczny2">
    <w:name w:val="Table Classic 2"/>
    <w:basedOn w:val="Standardowy"/>
    <w:rsid w:val="00D66C93"/>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yczny3">
    <w:name w:val="Table Classic 3"/>
    <w:basedOn w:val="Standardowy"/>
    <w:rsid w:val="00D66C93"/>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yczny4">
    <w:name w:val="Table Classic 4"/>
    <w:basedOn w:val="Standardowy"/>
    <w:rsid w:val="00D66C93"/>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Kolorowy1">
    <w:name w:val="Table Colorful 1"/>
    <w:basedOn w:val="Standardowy"/>
    <w:rsid w:val="00D66C93"/>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Kolorowy2">
    <w:name w:val="Table Colorful 2"/>
    <w:basedOn w:val="Standardowy"/>
    <w:rsid w:val="00D66C93"/>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Kolorowy3">
    <w:name w:val="Table Colorful 3"/>
    <w:basedOn w:val="Standardowy"/>
    <w:rsid w:val="00D66C93"/>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Kolumnowy1">
    <w:name w:val="Table Columns 1"/>
    <w:basedOn w:val="Standardowy"/>
    <w:rsid w:val="00D66C93"/>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2">
    <w:name w:val="Table Columns 2"/>
    <w:basedOn w:val="Standardowy"/>
    <w:rsid w:val="00D66C93"/>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olumnowy3">
    <w:name w:val="Table Columns 3"/>
    <w:basedOn w:val="Standardowy"/>
    <w:rsid w:val="00D66C93"/>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Kolumnowy4">
    <w:name w:val="Table Columns 4"/>
    <w:basedOn w:val="Standardowy"/>
    <w:rsid w:val="00D66C93"/>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Kolumnowy5">
    <w:name w:val="Table Columns 5"/>
    <w:basedOn w:val="Standardowy"/>
    <w:rsid w:val="00D66C93"/>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Wspczesny">
    <w:name w:val="Table Contemporary"/>
    <w:basedOn w:val="Standardowy"/>
    <w:rsid w:val="00D66C93"/>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cki">
    <w:name w:val="Table Elegant"/>
    <w:basedOn w:val="Standardowy"/>
    <w:rsid w:val="00D66C93"/>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Siatka1">
    <w:name w:val="Table Grid 1"/>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Siatka2">
    <w:name w:val="Table Grid 2"/>
    <w:basedOn w:val="Standardowy"/>
    <w:rsid w:val="00D66C93"/>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3">
    <w:name w:val="Table Grid 3"/>
    <w:basedOn w:val="Standardowy"/>
    <w:rsid w:val="00D66C93"/>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Siatka4">
    <w:name w:val="Table Grid 4"/>
    <w:basedOn w:val="Standardowy"/>
    <w:rsid w:val="00D66C93"/>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Siatka5">
    <w:name w:val="Table Grid 5"/>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6">
    <w:name w:val="Table Grid 6"/>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7">
    <w:name w:val="Table Grid 7"/>
    <w:basedOn w:val="Standardowy"/>
    <w:rsid w:val="00D66C93"/>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Siatka8">
    <w:name w:val="Table Grid 8"/>
    <w:basedOn w:val="Standardowy"/>
    <w:rsid w:val="00D66C93"/>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Lista1">
    <w:name w:val="Table List 1"/>
    <w:basedOn w:val="Standardowy"/>
    <w:rsid w:val="00D66C93"/>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2">
    <w:name w:val="Table List 2"/>
    <w:basedOn w:val="Standardowy"/>
    <w:rsid w:val="00D66C93"/>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Lista3">
    <w:name w:val="Table List 3"/>
    <w:basedOn w:val="Standardowy"/>
    <w:rsid w:val="00D66C93"/>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Lista4">
    <w:name w:val="Table List 4"/>
    <w:basedOn w:val="Standardowy"/>
    <w:rsid w:val="00D66C93"/>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Lista5">
    <w:name w:val="Table List 5"/>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Lista6">
    <w:name w:val="Table List 6"/>
    <w:basedOn w:val="Standardowy"/>
    <w:rsid w:val="00D66C93"/>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Lista7">
    <w:name w:val="Table List 7"/>
    <w:basedOn w:val="Standardowy"/>
    <w:rsid w:val="00D66C93"/>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Lista8">
    <w:name w:val="Table List 8"/>
    <w:basedOn w:val="Standardowy"/>
    <w:rsid w:val="00D66C93"/>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Wykazrde">
    <w:name w:val="table of authorities"/>
    <w:basedOn w:val="Normalny"/>
    <w:next w:val="Normalny"/>
    <w:semiHidden/>
    <w:rsid w:val="00D66C93"/>
    <w:pPr>
      <w:ind w:left="240" w:hanging="240"/>
    </w:pPr>
  </w:style>
  <w:style w:type="paragraph" w:styleId="Spisilustracji">
    <w:name w:val="table of figures"/>
    <w:basedOn w:val="Normalny"/>
    <w:next w:val="Normalny"/>
    <w:semiHidden/>
    <w:rsid w:val="00D66C93"/>
  </w:style>
  <w:style w:type="table" w:styleId="Tabela-Profesjonalny">
    <w:name w:val="Table Professional"/>
    <w:basedOn w:val="Standardowy"/>
    <w:rsid w:val="00D66C93"/>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osty1">
    <w:name w:val="Table Simple 1"/>
    <w:basedOn w:val="Standardowy"/>
    <w:rsid w:val="00D66C93"/>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osty2">
    <w:name w:val="Table Simple 2"/>
    <w:basedOn w:val="Standardowy"/>
    <w:rsid w:val="00D66C93"/>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D66C93"/>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Delikatny1">
    <w:name w:val="Table Subtle 1"/>
    <w:basedOn w:val="Standardowy"/>
    <w:rsid w:val="00D66C93"/>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Delikatny2">
    <w:name w:val="Table Subtle 2"/>
    <w:basedOn w:val="Standardowy"/>
    <w:rsid w:val="00D66C93"/>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Motyw">
    <w:name w:val="Table Theme"/>
    <w:basedOn w:val="Standardowy"/>
    <w:rsid w:val="00D66C9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eWeb1">
    <w:name w:val="Table Web 1"/>
    <w:basedOn w:val="Standardowy"/>
    <w:rsid w:val="00D66C93"/>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2">
    <w:name w:val="Table Web 2"/>
    <w:basedOn w:val="Standardowy"/>
    <w:rsid w:val="00D66C93"/>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D66C93"/>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ytu">
    <w:name w:val="Title"/>
    <w:basedOn w:val="Normalny"/>
    <w:qFormat/>
    <w:rsid w:val="00D66C93"/>
    <w:pPr>
      <w:spacing w:before="240" w:after="60"/>
      <w:jc w:val="center"/>
      <w:outlineLvl w:val="0"/>
    </w:pPr>
    <w:rPr>
      <w:rFonts w:ascii="Arial" w:hAnsi="Arial" w:cs="Arial"/>
      <w:b/>
      <w:bCs/>
      <w:kern w:val="28"/>
      <w:sz w:val="32"/>
      <w:szCs w:val="32"/>
    </w:rPr>
  </w:style>
  <w:style w:type="paragraph" w:styleId="Nagwekwykazurde">
    <w:name w:val="toa heading"/>
    <w:basedOn w:val="Normalny"/>
    <w:next w:val="Normalny"/>
    <w:semiHidden/>
    <w:rsid w:val="00D66C93"/>
    <w:pPr>
      <w:spacing w:before="120"/>
    </w:pPr>
    <w:rPr>
      <w:rFonts w:ascii="Arial" w:hAnsi="Arial" w:cs="Arial"/>
      <w:b/>
      <w:bCs/>
      <w:szCs w:val="24"/>
    </w:rPr>
  </w:style>
  <w:style w:type="paragraph" w:styleId="Spistreci1">
    <w:name w:val="toc 1"/>
    <w:basedOn w:val="Normalny"/>
    <w:next w:val="Normalny"/>
    <w:autoRedefine/>
    <w:semiHidden/>
    <w:rsid w:val="00D66C93"/>
  </w:style>
  <w:style w:type="paragraph" w:styleId="Spistreci2">
    <w:name w:val="toc 2"/>
    <w:basedOn w:val="Normalny"/>
    <w:next w:val="Normalny"/>
    <w:autoRedefine/>
    <w:semiHidden/>
    <w:rsid w:val="00D66C93"/>
    <w:pPr>
      <w:ind w:left="240"/>
    </w:pPr>
  </w:style>
  <w:style w:type="paragraph" w:styleId="Spistreci3">
    <w:name w:val="toc 3"/>
    <w:basedOn w:val="Normalny"/>
    <w:next w:val="Normalny"/>
    <w:autoRedefine/>
    <w:semiHidden/>
    <w:rsid w:val="00D66C93"/>
    <w:pPr>
      <w:ind w:left="480"/>
    </w:pPr>
  </w:style>
  <w:style w:type="paragraph" w:styleId="Spistreci4">
    <w:name w:val="toc 4"/>
    <w:basedOn w:val="Normalny"/>
    <w:next w:val="Normalny"/>
    <w:autoRedefine/>
    <w:semiHidden/>
    <w:rsid w:val="00D66C93"/>
    <w:pPr>
      <w:ind w:left="720"/>
    </w:pPr>
  </w:style>
  <w:style w:type="paragraph" w:styleId="Spistreci5">
    <w:name w:val="toc 5"/>
    <w:basedOn w:val="Normalny"/>
    <w:next w:val="Normalny"/>
    <w:autoRedefine/>
    <w:semiHidden/>
    <w:rsid w:val="00D66C93"/>
    <w:pPr>
      <w:ind w:left="960"/>
    </w:pPr>
  </w:style>
  <w:style w:type="paragraph" w:styleId="Spistreci6">
    <w:name w:val="toc 6"/>
    <w:basedOn w:val="Normalny"/>
    <w:next w:val="Normalny"/>
    <w:autoRedefine/>
    <w:semiHidden/>
    <w:rsid w:val="00D66C93"/>
    <w:pPr>
      <w:ind w:left="1200"/>
    </w:pPr>
  </w:style>
  <w:style w:type="paragraph" w:styleId="Spistreci7">
    <w:name w:val="toc 7"/>
    <w:basedOn w:val="Normalny"/>
    <w:next w:val="Normalny"/>
    <w:autoRedefine/>
    <w:semiHidden/>
    <w:rsid w:val="00D66C93"/>
    <w:pPr>
      <w:ind w:left="1440"/>
    </w:pPr>
  </w:style>
  <w:style w:type="paragraph" w:styleId="Spistreci8">
    <w:name w:val="toc 8"/>
    <w:basedOn w:val="Normalny"/>
    <w:next w:val="Normalny"/>
    <w:autoRedefine/>
    <w:semiHidden/>
    <w:rsid w:val="00D66C93"/>
    <w:pPr>
      <w:ind w:left="1680"/>
    </w:pPr>
  </w:style>
  <w:style w:type="paragraph" w:styleId="Spistreci9">
    <w:name w:val="toc 9"/>
    <w:basedOn w:val="Normalny"/>
    <w:next w:val="Normalny"/>
    <w:autoRedefine/>
    <w:semiHidden/>
    <w:rsid w:val="00D66C93"/>
    <w:pPr>
      <w:ind w:left="1920"/>
    </w:pPr>
  </w:style>
  <w:style w:type="table" w:customStyle="1" w:styleId="ECHRHeaderTable">
    <w:name w:val="ECHR_Header_Table"/>
    <w:basedOn w:val="Tabela-Siatka"/>
    <w:rsid w:val="00D66C93"/>
    <w:pPr>
      <w:suppressAutoHyphens w:val="0"/>
    </w:pPr>
    <w:rPr>
      <w:rFonts w:ascii="Verdana" w:hAnsi="Verdana"/>
    </w:rPr>
    <w:tblPr>
      <w:tblInd w:w="-624" w:type="dxa"/>
      <w:tblBorders>
        <w:top w:val="single" w:sz="8" w:space="0" w:color="FFFFFF"/>
        <w:left w:val="single" w:sz="8" w:space="0" w:color="FFFFFF"/>
        <w:bottom w:val="single" w:sz="8" w:space="0" w:color="808080"/>
        <w:right w:val="single" w:sz="8" w:space="0" w:color="FFFFFF"/>
        <w:insideH w:val="single" w:sz="8" w:space="0" w:color="FFFFFF"/>
        <w:insideV w:val="single" w:sz="8" w:space="0" w:color="FFFFFF"/>
      </w:tblBorders>
      <w:tblCellMar>
        <w:left w:w="0" w:type="dxa"/>
        <w:bottom w:w="28" w:type="dxa"/>
        <w:right w:w="0" w:type="dxa"/>
      </w:tblCellMar>
    </w:tblPr>
    <w:tcPr>
      <w:noWrap/>
      <w:vAlign w:val="bottom"/>
    </w:tcPr>
  </w:style>
  <w:style w:type="character" w:customStyle="1" w:styleId="ju-005fpara--char">
    <w:name w:val="ju-005fpara--char"/>
    <w:basedOn w:val="Domylnaczcionkaakapitu"/>
    <w:rsid w:val="0061251A"/>
  </w:style>
  <w:style w:type="paragraph" w:customStyle="1" w:styleId="s647bbbdb">
    <w:name w:val="s647bbbdb"/>
    <w:basedOn w:val="Normalny"/>
    <w:rsid w:val="00D50EB3"/>
    <w:pPr>
      <w:suppressAutoHyphens w:val="0"/>
      <w:spacing w:before="100" w:beforeAutospacing="1" w:after="100" w:afterAutospacing="1"/>
    </w:pPr>
    <w:rPr>
      <w:szCs w:val="24"/>
      <w:lang w:val="en-US" w:eastAsia="en-US"/>
    </w:rPr>
  </w:style>
  <w:style w:type="paragraph" w:customStyle="1" w:styleId="s9e9b0cd7">
    <w:name w:val="s9e9b0cd7"/>
    <w:basedOn w:val="Normalny"/>
    <w:rsid w:val="00D50EB3"/>
    <w:pPr>
      <w:suppressAutoHyphens w:val="0"/>
      <w:spacing w:before="100" w:beforeAutospacing="1" w:after="100" w:afterAutospacing="1"/>
    </w:pPr>
    <w:rPr>
      <w:szCs w:val="24"/>
      <w:lang w:val="en-US" w:eastAsia="en-US"/>
    </w:rPr>
  </w:style>
  <w:style w:type="character" w:customStyle="1" w:styleId="sfbbfee58">
    <w:name w:val="sfbbfee58"/>
    <w:rsid w:val="00D50EB3"/>
  </w:style>
  <w:style w:type="paragraph" w:customStyle="1" w:styleId="s8653dbd7">
    <w:name w:val="s8653dbd7"/>
    <w:basedOn w:val="Normalny"/>
    <w:rsid w:val="00D50EB3"/>
    <w:pPr>
      <w:suppressAutoHyphens w:val="0"/>
      <w:spacing w:before="100" w:beforeAutospacing="1" w:after="100" w:afterAutospacing="1"/>
    </w:pPr>
    <w:rPr>
      <w:szCs w:val="24"/>
      <w:lang w:val="en-US" w:eastAsia="en-US"/>
    </w:rPr>
  </w:style>
  <w:style w:type="paragraph" w:customStyle="1" w:styleId="jupara0">
    <w:name w:val="jupara"/>
    <w:basedOn w:val="Normalny"/>
    <w:rsid w:val="00F15585"/>
    <w:pPr>
      <w:suppressAutoHyphens w:val="0"/>
      <w:ind w:firstLine="284"/>
      <w:jc w:val="both"/>
    </w:pPr>
    <w:rPr>
      <w:szCs w:val="24"/>
      <w:lang w:eastAsia="en-GB"/>
    </w:rPr>
  </w:style>
  <w:style w:type="paragraph" w:customStyle="1" w:styleId="jucase0">
    <w:name w:val="jucase"/>
    <w:basedOn w:val="Normalny"/>
    <w:rsid w:val="00F15585"/>
    <w:pPr>
      <w:suppressAutoHyphens w:val="0"/>
      <w:ind w:firstLine="284"/>
      <w:jc w:val="both"/>
    </w:pPr>
    <w:rPr>
      <w:b/>
      <w:bCs/>
      <w:szCs w:val="24"/>
      <w:lang w:eastAsia="en-GB"/>
    </w:rPr>
  </w:style>
  <w:style w:type="character" w:customStyle="1" w:styleId="apple-converted-space">
    <w:name w:val="apple-converted-space"/>
    <w:basedOn w:val="Domylnaczcionkaakapitu"/>
    <w:rsid w:val="00A14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1886">
      <w:bodyDiv w:val="1"/>
      <w:marLeft w:val="0"/>
      <w:marRight w:val="0"/>
      <w:marTop w:val="0"/>
      <w:marBottom w:val="0"/>
      <w:divBdr>
        <w:top w:val="none" w:sz="0" w:space="0" w:color="auto"/>
        <w:left w:val="none" w:sz="0" w:space="0" w:color="auto"/>
        <w:bottom w:val="none" w:sz="0" w:space="0" w:color="auto"/>
        <w:right w:val="none" w:sz="0" w:space="0" w:color="auto"/>
      </w:divBdr>
      <w:divsChild>
        <w:div w:id="1372076913">
          <w:marLeft w:val="0"/>
          <w:marRight w:val="0"/>
          <w:marTop w:val="0"/>
          <w:marBottom w:val="0"/>
          <w:divBdr>
            <w:top w:val="none" w:sz="0" w:space="0" w:color="auto"/>
            <w:left w:val="none" w:sz="0" w:space="0" w:color="auto"/>
            <w:bottom w:val="none" w:sz="0" w:space="0" w:color="auto"/>
            <w:right w:val="none" w:sz="0" w:space="0" w:color="auto"/>
          </w:divBdr>
          <w:divsChild>
            <w:div w:id="1498884578">
              <w:marLeft w:val="0"/>
              <w:marRight w:val="0"/>
              <w:marTop w:val="0"/>
              <w:marBottom w:val="0"/>
              <w:divBdr>
                <w:top w:val="none" w:sz="0" w:space="0" w:color="auto"/>
                <w:left w:val="none" w:sz="0" w:space="0" w:color="auto"/>
                <w:bottom w:val="none" w:sz="0" w:space="0" w:color="auto"/>
                <w:right w:val="none" w:sz="0" w:space="0" w:color="auto"/>
              </w:divBdr>
              <w:divsChild>
                <w:div w:id="1648435425">
                  <w:marLeft w:val="0"/>
                  <w:marRight w:val="0"/>
                  <w:marTop w:val="0"/>
                  <w:marBottom w:val="0"/>
                  <w:divBdr>
                    <w:top w:val="none" w:sz="0" w:space="0" w:color="auto"/>
                    <w:left w:val="none" w:sz="0" w:space="0" w:color="auto"/>
                    <w:bottom w:val="none" w:sz="0" w:space="0" w:color="auto"/>
                    <w:right w:val="none" w:sz="0" w:space="0" w:color="auto"/>
                  </w:divBdr>
                  <w:divsChild>
                    <w:div w:id="400637558">
                      <w:marLeft w:val="0"/>
                      <w:marRight w:val="0"/>
                      <w:marTop w:val="0"/>
                      <w:marBottom w:val="0"/>
                      <w:divBdr>
                        <w:top w:val="none" w:sz="0" w:space="0" w:color="auto"/>
                        <w:left w:val="none" w:sz="0" w:space="0" w:color="auto"/>
                        <w:bottom w:val="none" w:sz="0" w:space="0" w:color="auto"/>
                        <w:right w:val="none" w:sz="0" w:space="0" w:color="auto"/>
                      </w:divBdr>
                      <w:divsChild>
                        <w:div w:id="1156645679">
                          <w:marLeft w:val="0"/>
                          <w:marRight w:val="0"/>
                          <w:marTop w:val="0"/>
                          <w:marBottom w:val="0"/>
                          <w:divBdr>
                            <w:top w:val="none" w:sz="0" w:space="0" w:color="auto"/>
                            <w:left w:val="none" w:sz="0" w:space="0" w:color="auto"/>
                            <w:bottom w:val="none" w:sz="0" w:space="0" w:color="auto"/>
                            <w:right w:val="none" w:sz="0" w:space="0" w:color="auto"/>
                          </w:divBdr>
                          <w:divsChild>
                            <w:div w:id="186182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587151149">
      <w:bodyDiv w:val="1"/>
      <w:marLeft w:val="0"/>
      <w:marRight w:val="0"/>
      <w:marTop w:val="0"/>
      <w:marBottom w:val="0"/>
      <w:divBdr>
        <w:top w:val="none" w:sz="0" w:space="0" w:color="auto"/>
        <w:left w:val="none" w:sz="0" w:space="0" w:color="auto"/>
        <w:bottom w:val="none" w:sz="0" w:space="0" w:color="auto"/>
        <w:right w:val="none" w:sz="0" w:space="0" w:color="auto"/>
      </w:divBdr>
    </w:div>
    <w:div w:id="629936700">
      <w:bodyDiv w:val="1"/>
      <w:marLeft w:val="0"/>
      <w:marRight w:val="0"/>
      <w:marTop w:val="0"/>
      <w:marBottom w:val="0"/>
      <w:divBdr>
        <w:top w:val="none" w:sz="0" w:space="0" w:color="auto"/>
        <w:left w:val="none" w:sz="0" w:space="0" w:color="auto"/>
        <w:bottom w:val="none" w:sz="0" w:space="0" w:color="auto"/>
        <w:right w:val="none" w:sz="0" w:space="0" w:color="auto"/>
      </w:divBdr>
      <w:divsChild>
        <w:div w:id="381641612">
          <w:marLeft w:val="0"/>
          <w:marRight w:val="0"/>
          <w:marTop w:val="0"/>
          <w:marBottom w:val="0"/>
          <w:divBdr>
            <w:top w:val="none" w:sz="0" w:space="0" w:color="auto"/>
            <w:left w:val="none" w:sz="0" w:space="0" w:color="auto"/>
            <w:bottom w:val="none" w:sz="0" w:space="0" w:color="auto"/>
            <w:right w:val="none" w:sz="0" w:space="0" w:color="auto"/>
          </w:divBdr>
          <w:divsChild>
            <w:div w:id="2057504542">
              <w:marLeft w:val="0"/>
              <w:marRight w:val="0"/>
              <w:marTop w:val="0"/>
              <w:marBottom w:val="0"/>
              <w:divBdr>
                <w:top w:val="none" w:sz="0" w:space="0" w:color="auto"/>
                <w:left w:val="none" w:sz="0" w:space="0" w:color="auto"/>
                <w:bottom w:val="none" w:sz="0" w:space="0" w:color="auto"/>
                <w:right w:val="none" w:sz="0" w:space="0" w:color="auto"/>
              </w:divBdr>
              <w:divsChild>
                <w:div w:id="1479809382">
                  <w:marLeft w:val="0"/>
                  <w:marRight w:val="0"/>
                  <w:marTop w:val="0"/>
                  <w:marBottom w:val="0"/>
                  <w:divBdr>
                    <w:top w:val="none" w:sz="0" w:space="0" w:color="auto"/>
                    <w:left w:val="none" w:sz="0" w:space="0" w:color="auto"/>
                    <w:bottom w:val="none" w:sz="0" w:space="0" w:color="auto"/>
                    <w:right w:val="none" w:sz="0" w:space="0" w:color="auto"/>
                  </w:divBdr>
                  <w:divsChild>
                    <w:div w:id="1361933562">
                      <w:marLeft w:val="0"/>
                      <w:marRight w:val="0"/>
                      <w:marTop w:val="0"/>
                      <w:marBottom w:val="0"/>
                      <w:divBdr>
                        <w:top w:val="none" w:sz="0" w:space="0" w:color="auto"/>
                        <w:left w:val="none" w:sz="0" w:space="0" w:color="auto"/>
                        <w:bottom w:val="none" w:sz="0" w:space="0" w:color="auto"/>
                        <w:right w:val="none" w:sz="0" w:space="0" w:color="auto"/>
                      </w:divBdr>
                      <w:divsChild>
                        <w:div w:id="579295077">
                          <w:marLeft w:val="0"/>
                          <w:marRight w:val="0"/>
                          <w:marTop w:val="0"/>
                          <w:marBottom w:val="0"/>
                          <w:divBdr>
                            <w:top w:val="none" w:sz="0" w:space="0" w:color="auto"/>
                            <w:left w:val="none" w:sz="0" w:space="0" w:color="auto"/>
                            <w:bottom w:val="none" w:sz="0" w:space="0" w:color="auto"/>
                            <w:right w:val="none" w:sz="0" w:space="0" w:color="auto"/>
                          </w:divBdr>
                          <w:divsChild>
                            <w:div w:id="129305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142954">
      <w:bodyDiv w:val="1"/>
      <w:marLeft w:val="0"/>
      <w:marRight w:val="0"/>
      <w:marTop w:val="0"/>
      <w:marBottom w:val="0"/>
      <w:divBdr>
        <w:top w:val="none" w:sz="0" w:space="0" w:color="auto"/>
        <w:left w:val="none" w:sz="0" w:space="0" w:color="auto"/>
        <w:bottom w:val="none" w:sz="0" w:space="0" w:color="auto"/>
        <w:right w:val="none" w:sz="0" w:space="0" w:color="auto"/>
      </w:divBdr>
    </w:div>
    <w:div w:id="1063143712">
      <w:bodyDiv w:val="1"/>
      <w:marLeft w:val="0"/>
      <w:marRight w:val="0"/>
      <w:marTop w:val="0"/>
      <w:marBottom w:val="0"/>
      <w:divBdr>
        <w:top w:val="none" w:sz="0" w:space="0" w:color="auto"/>
        <w:left w:val="none" w:sz="0" w:space="0" w:color="auto"/>
        <w:bottom w:val="none" w:sz="0" w:space="0" w:color="auto"/>
        <w:right w:val="none" w:sz="0" w:space="0" w:color="auto"/>
      </w:divBdr>
      <w:divsChild>
        <w:div w:id="54547420">
          <w:marLeft w:val="0"/>
          <w:marRight w:val="0"/>
          <w:marTop w:val="0"/>
          <w:marBottom w:val="0"/>
          <w:divBdr>
            <w:top w:val="none" w:sz="0" w:space="0" w:color="auto"/>
            <w:left w:val="none" w:sz="0" w:space="0" w:color="auto"/>
            <w:bottom w:val="none" w:sz="0" w:space="0" w:color="auto"/>
            <w:right w:val="none" w:sz="0" w:space="0" w:color="auto"/>
          </w:divBdr>
          <w:divsChild>
            <w:div w:id="566769077">
              <w:marLeft w:val="0"/>
              <w:marRight w:val="0"/>
              <w:marTop w:val="0"/>
              <w:marBottom w:val="0"/>
              <w:divBdr>
                <w:top w:val="none" w:sz="0" w:space="0" w:color="auto"/>
                <w:left w:val="none" w:sz="0" w:space="0" w:color="auto"/>
                <w:bottom w:val="none" w:sz="0" w:space="0" w:color="auto"/>
                <w:right w:val="none" w:sz="0" w:space="0" w:color="auto"/>
              </w:divBdr>
              <w:divsChild>
                <w:div w:id="392697104">
                  <w:marLeft w:val="0"/>
                  <w:marRight w:val="0"/>
                  <w:marTop w:val="0"/>
                  <w:marBottom w:val="0"/>
                  <w:divBdr>
                    <w:top w:val="none" w:sz="0" w:space="0" w:color="auto"/>
                    <w:left w:val="none" w:sz="0" w:space="0" w:color="auto"/>
                    <w:bottom w:val="none" w:sz="0" w:space="0" w:color="auto"/>
                    <w:right w:val="none" w:sz="0" w:space="0" w:color="auto"/>
                  </w:divBdr>
                  <w:divsChild>
                    <w:div w:id="1374884065">
                      <w:marLeft w:val="0"/>
                      <w:marRight w:val="0"/>
                      <w:marTop w:val="0"/>
                      <w:marBottom w:val="0"/>
                      <w:divBdr>
                        <w:top w:val="none" w:sz="0" w:space="0" w:color="auto"/>
                        <w:left w:val="none" w:sz="0" w:space="0" w:color="auto"/>
                        <w:bottom w:val="none" w:sz="0" w:space="0" w:color="auto"/>
                        <w:right w:val="none" w:sz="0" w:space="0" w:color="auto"/>
                      </w:divBdr>
                      <w:divsChild>
                        <w:div w:id="1708943966">
                          <w:marLeft w:val="0"/>
                          <w:marRight w:val="0"/>
                          <w:marTop w:val="0"/>
                          <w:marBottom w:val="0"/>
                          <w:divBdr>
                            <w:top w:val="none" w:sz="0" w:space="0" w:color="auto"/>
                            <w:left w:val="none" w:sz="0" w:space="0" w:color="auto"/>
                            <w:bottom w:val="none" w:sz="0" w:space="0" w:color="auto"/>
                            <w:right w:val="none" w:sz="0" w:space="0" w:color="auto"/>
                          </w:divBdr>
                          <w:divsChild>
                            <w:div w:id="53524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744173">
      <w:bodyDiv w:val="1"/>
      <w:marLeft w:val="0"/>
      <w:marRight w:val="0"/>
      <w:marTop w:val="0"/>
      <w:marBottom w:val="0"/>
      <w:divBdr>
        <w:top w:val="none" w:sz="0" w:space="0" w:color="auto"/>
        <w:left w:val="none" w:sz="0" w:space="0" w:color="auto"/>
        <w:bottom w:val="none" w:sz="0" w:space="0" w:color="auto"/>
        <w:right w:val="none" w:sz="0" w:space="0" w:color="auto"/>
      </w:divBdr>
    </w:div>
    <w:div w:id="1154105371">
      <w:bodyDiv w:val="1"/>
      <w:marLeft w:val="0"/>
      <w:marRight w:val="0"/>
      <w:marTop w:val="0"/>
      <w:marBottom w:val="0"/>
      <w:divBdr>
        <w:top w:val="none" w:sz="0" w:space="0" w:color="auto"/>
        <w:left w:val="none" w:sz="0" w:space="0" w:color="auto"/>
        <w:bottom w:val="none" w:sz="0" w:space="0" w:color="auto"/>
        <w:right w:val="none" w:sz="0" w:space="0" w:color="auto"/>
      </w:divBdr>
      <w:divsChild>
        <w:div w:id="1807116707">
          <w:marLeft w:val="0"/>
          <w:marRight w:val="0"/>
          <w:marTop w:val="0"/>
          <w:marBottom w:val="0"/>
          <w:divBdr>
            <w:top w:val="none" w:sz="0" w:space="0" w:color="auto"/>
            <w:left w:val="none" w:sz="0" w:space="0" w:color="auto"/>
            <w:bottom w:val="none" w:sz="0" w:space="0" w:color="auto"/>
            <w:right w:val="none" w:sz="0" w:space="0" w:color="auto"/>
          </w:divBdr>
          <w:divsChild>
            <w:div w:id="128281323">
              <w:marLeft w:val="0"/>
              <w:marRight w:val="0"/>
              <w:marTop w:val="0"/>
              <w:marBottom w:val="0"/>
              <w:divBdr>
                <w:top w:val="none" w:sz="0" w:space="0" w:color="auto"/>
                <w:left w:val="none" w:sz="0" w:space="0" w:color="auto"/>
                <w:bottom w:val="none" w:sz="0" w:space="0" w:color="auto"/>
                <w:right w:val="none" w:sz="0" w:space="0" w:color="auto"/>
              </w:divBdr>
              <w:divsChild>
                <w:div w:id="1228418815">
                  <w:marLeft w:val="0"/>
                  <w:marRight w:val="0"/>
                  <w:marTop w:val="0"/>
                  <w:marBottom w:val="0"/>
                  <w:divBdr>
                    <w:top w:val="none" w:sz="0" w:space="0" w:color="auto"/>
                    <w:left w:val="none" w:sz="0" w:space="0" w:color="auto"/>
                    <w:bottom w:val="none" w:sz="0" w:space="0" w:color="auto"/>
                    <w:right w:val="none" w:sz="0" w:space="0" w:color="auto"/>
                  </w:divBdr>
                  <w:divsChild>
                    <w:div w:id="2015258176">
                      <w:marLeft w:val="0"/>
                      <w:marRight w:val="0"/>
                      <w:marTop w:val="0"/>
                      <w:marBottom w:val="0"/>
                      <w:divBdr>
                        <w:top w:val="none" w:sz="0" w:space="0" w:color="auto"/>
                        <w:left w:val="none" w:sz="0" w:space="0" w:color="auto"/>
                        <w:bottom w:val="none" w:sz="0" w:space="0" w:color="auto"/>
                        <w:right w:val="none" w:sz="0" w:space="0" w:color="auto"/>
                      </w:divBdr>
                      <w:divsChild>
                        <w:div w:id="491260091">
                          <w:marLeft w:val="0"/>
                          <w:marRight w:val="0"/>
                          <w:marTop w:val="0"/>
                          <w:marBottom w:val="0"/>
                          <w:divBdr>
                            <w:top w:val="none" w:sz="0" w:space="0" w:color="auto"/>
                            <w:left w:val="none" w:sz="0" w:space="0" w:color="auto"/>
                            <w:bottom w:val="none" w:sz="0" w:space="0" w:color="auto"/>
                            <w:right w:val="none" w:sz="0" w:space="0" w:color="auto"/>
                          </w:divBdr>
                          <w:divsChild>
                            <w:div w:id="740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663399">
      <w:bodyDiv w:val="1"/>
      <w:marLeft w:val="0"/>
      <w:marRight w:val="0"/>
      <w:marTop w:val="0"/>
      <w:marBottom w:val="0"/>
      <w:divBdr>
        <w:top w:val="none" w:sz="0" w:space="0" w:color="auto"/>
        <w:left w:val="none" w:sz="0" w:space="0" w:color="auto"/>
        <w:bottom w:val="none" w:sz="0" w:space="0" w:color="auto"/>
        <w:right w:val="none" w:sz="0" w:space="0" w:color="auto"/>
      </w:divBdr>
      <w:divsChild>
        <w:div w:id="954754407">
          <w:marLeft w:val="0"/>
          <w:marRight w:val="0"/>
          <w:marTop w:val="0"/>
          <w:marBottom w:val="0"/>
          <w:divBdr>
            <w:top w:val="none" w:sz="0" w:space="0" w:color="auto"/>
            <w:left w:val="none" w:sz="0" w:space="0" w:color="auto"/>
            <w:bottom w:val="none" w:sz="0" w:space="0" w:color="auto"/>
            <w:right w:val="none" w:sz="0" w:space="0" w:color="auto"/>
          </w:divBdr>
          <w:divsChild>
            <w:div w:id="610208547">
              <w:marLeft w:val="0"/>
              <w:marRight w:val="0"/>
              <w:marTop w:val="0"/>
              <w:marBottom w:val="0"/>
              <w:divBdr>
                <w:top w:val="none" w:sz="0" w:space="0" w:color="auto"/>
                <w:left w:val="none" w:sz="0" w:space="0" w:color="auto"/>
                <w:bottom w:val="none" w:sz="0" w:space="0" w:color="auto"/>
                <w:right w:val="none" w:sz="0" w:space="0" w:color="auto"/>
              </w:divBdr>
              <w:divsChild>
                <w:div w:id="1025058216">
                  <w:marLeft w:val="0"/>
                  <w:marRight w:val="0"/>
                  <w:marTop w:val="0"/>
                  <w:marBottom w:val="0"/>
                  <w:divBdr>
                    <w:top w:val="none" w:sz="0" w:space="0" w:color="auto"/>
                    <w:left w:val="none" w:sz="0" w:space="0" w:color="auto"/>
                    <w:bottom w:val="none" w:sz="0" w:space="0" w:color="auto"/>
                    <w:right w:val="none" w:sz="0" w:space="0" w:color="auto"/>
                  </w:divBdr>
                  <w:divsChild>
                    <w:div w:id="687219189">
                      <w:marLeft w:val="0"/>
                      <w:marRight w:val="0"/>
                      <w:marTop w:val="0"/>
                      <w:marBottom w:val="0"/>
                      <w:divBdr>
                        <w:top w:val="none" w:sz="0" w:space="0" w:color="auto"/>
                        <w:left w:val="none" w:sz="0" w:space="0" w:color="auto"/>
                        <w:bottom w:val="none" w:sz="0" w:space="0" w:color="auto"/>
                        <w:right w:val="none" w:sz="0" w:space="0" w:color="auto"/>
                      </w:divBdr>
                      <w:divsChild>
                        <w:div w:id="787891843">
                          <w:marLeft w:val="0"/>
                          <w:marRight w:val="0"/>
                          <w:marTop w:val="0"/>
                          <w:marBottom w:val="0"/>
                          <w:divBdr>
                            <w:top w:val="none" w:sz="0" w:space="0" w:color="auto"/>
                            <w:left w:val="none" w:sz="0" w:space="0" w:color="auto"/>
                            <w:bottom w:val="none" w:sz="0" w:space="0" w:color="auto"/>
                            <w:right w:val="none" w:sz="0" w:space="0" w:color="auto"/>
                          </w:divBdr>
                          <w:divsChild>
                            <w:div w:id="21170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900126">
      <w:bodyDiv w:val="1"/>
      <w:marLeft w:val="0"/>
      <w:marRight w:val="0"/>
      <w:marTop w:val="0"/>
      <w:marBottom w:val="0"/>
      <w:divBdr>
        <w:top w:val="none" w:sz="0" w:space="0" w:color="auto"/>
        <w:left w:val="none" w:sz="0" w:space="0" w:color="auto"/>
        <w:bottom w:val="none" w:sz="0" w:space="0" w:color="auto"/>
        <w:right w:val="none" w:sz="0" w:space="0" w:color="auto"/>
      </w:divBdr>
      <w:divsChild>
        <w:div w:id="1278565892">
          <w:marLeft w:val="0"/>
          <w:marRight w:val="0"/>
          <w:marTop w:val="0"/>
          <w:marBottom w:val="0"/>
          <w:divBdr>
            <w:top w:val="none" w:sz="0" w:space="0" w:color="auto"/>
            <w:left w:val="none" w:sz="0" w:space="0" w:color="auto"/>
            <w:bottom w:val="none" w:sz="0" w:space="0" w:color="auto"/>
            <w:right w:val="none" w:sz="0" w:space="0" w:color="auto"/>
          </w:divBdr>
          <w:divsChild>
            <w:div w:id="1756438866">
              <w:marLeft w:val="0"/>
              <w:marRight w:val="0"/>
              <w:marTop w:val="0"/>
              <w:marBottom w:val="0"/>
              <w:divBdr>
                <w:top w:val="none" w:sz="0" w:space="0" w:color="auto"/>
                <w:left w:val="none" w:sz="0" w:space="0" w:color="auto"/>
                <w:bottom w:val="none" w:sz="0" w:space="0" w:color="auto"/>
                <w:right w:val="none" w:sz="0" w:space="0" w:color="auto"/>
              </w:divBdr>
              <w:divsChild>
                <w:div w:id="605160811">
                  <w:marLeft w:val="0"/>
                  <w:marRight w:val="0"/>
                  <w:marTop w:val="0"/>
                  <w:marBottom w:val="0"/>
                  <w:divBdr>
                    <w:top w:val="none" w:sz="0" w:space="0" w:color="auto"/>
                    <w:left w:val="none" w:sz="0" w:space="0" w:color="auto"/>
                    <w:bottom w:val="none" w:sz="0" w:space="0" w:color="auto"/>
                    <w:right w:val="none" w:sz="0" w:space="0" w:color="auto"/>
                  </w:divBdr>
                  <w:divsChild>
                    <w:div w:id="463474613">
                      <w:marLeft w:val="0"/>
                      <w:marRight w:val="0"/>
                      <w:marTop w:val="0"/>
                      <w:marBottom w:val="0"/>
                      <w:divBdr>
                        <w:top w:val="none" w:sz="0" w:space="0" w:color="auto"/>
                        <w:left w:val="none" w:sz="0" w:space="0" w:color="auto"/>
                        <w:bottom w:val="none" w:sz="0" w:space="0" w:color="auto"/>
                        <w:right w:val="none" w:sz="0" w:space="0" w:color="auto"/>
                      </w:divBdr>
                      <w:divsChild>
                        <w:div w:id="1456169738">
                          <w:marLeft w:val="0"/>
                          <w:marRight w:val="0"/>
                          <w:marTop w:val="0"/>
                          <w:marBottom w:val="0"/>
                          <w:divBdr>
                            <w:top w:val="none" w:sz="0" w:space="0" w:color="auto"/>
                            <w:left w:val="none" w:sz="0" w:space="0" w:color="auto"/>
                            <w:bottom w:val="none" w:sz="0" w:space="0" w:color="auto"/>
                            <w:right w:val="none" w:sz="0" w:space="0" w:color="auto"/>
                          </w:divBdr>
                          <w:divsChild>
                            <w:div w:id="182886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128369">
      <w:bodyDiv w:val="1"/>
      <w:marLeft w:val="0"/>
      <w:marRight w:val="0"/>
      <w:marTop w:val="0"/>
      <w:marBottom w:val="0"/>
      <w:divBdr>
        <w:top w:val="none" w:sz="0" w:space="0" w:color="auto"/>
        <w:left w:val="none" w:sz="0" w:space="0" w:color="auto"/>
        <w:bottom w:val="none" w:sz="0" w:space="0" w:color="auto"/>
        <w:right w:val="none" w:sz="0" w:space="0" w:color="auto"/>
      </w:divBdr>
      <w:divsChild>
        <w:div w:id="747192707">
          <w:marLeft w:val="0"/>
          <w:marRight w:val="0"/>
          <w:marTop w:val="0"/>
          <w:marBottom w:val="0"/>
          <w:divBdr>
            <w:top w:val="none" w:sz="0" w:space="0" w:color="auto"/>
            <w:left w:val="none" w:sz="0" w:space="0" w:color="auto"/>
            <w:bottom w:val="none" w:sz="0" w:space="0" w:color="auto"/>
            <w:right w:val="none" w:sz="0" w:space="0" w:color="auto"/>
          </w:divBdr>
          <w:divsChild>
            <w:div w:id="1899591966">
              <w:marLeft w:val="0"/>
              <w:marRight w:val="0"/>
              <w:marTop w:val="0"/>
              <w:marBottom w:val="0"/>
              <w:divBdr>
                <w:top w:val="none" w:sz="0" w:space="0" w:color="auto"/>
                <w:left w:val="none" w:sz="0" w:space="0" w:color="auto"/>
                <w:bottom w:val="none" w:sz="0" w:space="0" w:color="auto"/>
                <w:right w:val="none" w:sz="0" w:space="0" w:color="auto"/>
              </w:divBdr>
              <w:divsChild>
                <w:div w:id="1636518610">
                  <w:marLeft w:val="0"/>
                  <w:marRight w:val="0"/>
                  <w:marTop w:val="0"/>
                  <w:marBottom w:val="0"/>
                  <w:divBdr>
                    <w:top w:val="none" w:sz="0" w:space="0" w:color="auto"/>
                    <w:left w:val="none" w:sz="0" w:space="0" w:color="auto"/>
                    <w:bottom w:val="none" w:sz="0" w:space="0" w:color="auto"/>
                    <w:right w:val="none" w:sz="0" w:space="0" w:color="auto"/>
                  </w:divBdr>
                  <w:divsChild>
                    <w:div w:id="1530608039">
                      <w:marLeft w:val="0"/>
                      <w:marRight w:val="0"/>
                      <w:marTop w:val="0"/>
                      <w:marBottom w:val="0"/>
                      <w:divBdr>
                        <w:top w:val="none" w:sz="0" w:space="0" w:color="auto"/>
                        <w:left w:val="none" w:sz="0" w:space="0" w:color="auto"/>
                        <w:bottom w:val="none" w:sz="0" w:space="0" w:color="auto"/>
                        <w:right w:val="none" w:sz="0" w:space="0" w:color="auto"/>
                      </w:divBdr>
                      <w:divsChild>
                        <w:div w:id="1747612195">
                          <w:marLeft w:val="0"/>
                          <w:marRight w:val="0"/>
                          <w:marTop w:val="0"/>
                          <w:marBottom w:val="0"/>
                          <w:divBdr>
                            <w:top w:val="none" w:sz="0" w:space="0" w:color="auto"/>
                            <w:left w:val="none" w:sz="0" w:space="0" w:color="auto"/>
                            <w:bottom w:val="none" w:sz="0" w:space="0" w:color="auto"/>
                            <w:right w:val="none" w:sz="0" w:space="0" w:color="auto"/>
                          </w:divBdr>
                          <w:divsChild>
                            <w:div w:id="1139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705549">
      <w:bodyDiv w:val="1"/>
      <w:marLeft w:val="0"/>
      <w:marRight w:val="0"/>
      <w:marTop w:val="0"/>
      <w:marBottom w:val="0"/>
      <w:divBdr>
        <w:top w:val="none" w:sz="0" w:space="0" w:color="auto"/>
        <w:left w:val="none" w:sz="0" w:space="0" w:color="auto"/>
        <w:bottom w:val="none" w:sz="0" w:space="0" w:color="auto"/>
        <w:right w:val="none" w:sz="0" w:space="0" w:color="auto"/>
      </w:divBdr>
      <w:divsChild>
        <w:div w:id="380331595">
          <w:marLeft w:val="0"/>
          <w:marRight w:val="0"/>
          <w:marTop w:val="0"/>
          <w:marBottom w:val="0"/>
          <w:divBdr>
            <w:top w:val="none" w:sz="0" w:space="0" w:color="auto"/>
            <w:left w:val="none" w:sz="0" w:space="0" w:color="auto"/>
            <w:bottom w:val="none" w:sz="0" w:space="0" w:color="auto"/>
            <w:right w:val="none" w:sz="0" w:space="0" w:color="auto"/>
          </w:divBdr>
          <w:divsChild>
            <w:div w:id="305017313">
              <w:marLeft w:val="0"/>
              <w:marRight w:val="0"/>
              <w:marTop w:val="0"/>
              <w:marBottom w:val="0"/>
              <w:divBdr>
                <w:top w:val="none" w:sz="0" w:space="0" w:color="auto"/>
                <w:left w:val="none" w:sz="0" w:space="0" w:color="auto"/>
                <w:bottom w:val="none" w:sz="0" w:space="0" w:color="auto"/>
                <w:right w:val="none" w:sz="0" w:space="0" w:color="auto"/>
              </w:divBdr>
              <w:divsChild>
                <w:div w:id="2030133232">
                  <w:marLeft w:val="0"/>
                  <w:marRight w:val="0"/>
                  <w:marTop w:val="0"/>
                  <w:marBottom w:val="0"/>
                  <w:divBdr>
                    <w:top w:val="none" w:sz="0" w:space="0" w:color="auto"/>
                    <w:left w:val="none" w:sz="0" w:space="0" w:color="auto"/>
                    <w:bottom w:val="none" w:sz="0" w:space="0" w:color="auto"/>
                    <w:right w:val="none" w:sz="0" w:space="0" w:color="auto"/>
                  </w:divBdr>
                  <w:divsChild>
                    <w:div w:id="1959332227">
                      <w:marLeft w:val="0"/>
                      <w:marRight w:val="0"/>
                      <w:marTop w:val="0"/>
                      <w:marBottom w:val="0"/>
                      <w:divBdr>
                        <w:top w:val="none" w:sz="0" w:space="0" w:color="auto"/>
                        <w:left w:val="none" w:sz="0" w:space="0" w:color="auto"/>
                        <w:bottom w:val="none" w:sz="0" w:space="0" w:color="auto"/>
                        <w:right w:val="none" w:sz="0" w:space="0" w:color="auto"/>
                      </w:divBdr>
                      <w:divsChild>
                        <w:div w:id="780609035">
                          <w:marLeft w:val="0"/>
                          <w:marRight w:val="0"/>
                          <w:marTop w:val="0"/>
                          <w:marBottom w:val="0"/>
                          <w:divBdr>
                            <w:top w:val="none" w:sz="0" w:space="0" w:color="auto"/>
                            <w:left w:val="none" w:sz="0" w:space="0" w:color="auto"/>
                            <w:bottom w:val="none" w:sz="0" w:space="0" w:color="auto"/>
                            <w:right w:val="none" w:sz="0" w:space="0" w:color="auto"/>
                          </w:divBdr>
                          <w:divsChild>
                            <w:div w:id="11533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291305">
      <w:bodyDiv w:val="1"/>
      <w:marLeft w:val="0"/>
      <w:marRight w:val="0"/>
      <w:marTop w:val="0"/>
      <w:marBottom w:val="0"/>
      <w:divBdr>
        <w:top w:val="none" w:sz="0" w:space="0" w:color="auto"/>
        <w:left w:val="none" w:sz="0" w:space="0" w:color="auto"/>
        <w:bottom w:val="none" w:sz="0" w:space="0" w:color="auto"/>
        <w:right w:val="none" w:sz="0" w:space="0" w:color="auto"/>
      </w:divBdr>
    </w:div>
    <w:div w:id="205149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18479-A7A0-44B1-8B22-EA0D624F591E}">
  <ds:schemaRefs>
    <ds:schemaRef ds:uri="http://schemas.microsoft.com/sharepoint/v3/contenttype/forms"/>
  </ds:schemaRefs>
</ds:datastoreItem>
</file>

<file path=customXml/itemProps2.xml><?xml version="1.0" encoding="utf-8"?>
<ds:datastoreItem xmlns:ds="http://schemas.openxmlformats.org/officeDocument/2006/customXml" ds:itemID="{7BF7E873-4DB1-487B-A883-4207348E6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C40EBCC-35C9-4199-BEE8-430A886A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8504</Words>
  <Characters>51028</Characters>
  <Application>Microsoft Office Word</Application>
  <DocSecurity>0</DocSecurity>
  <Lines>425</Lines>
  <Paragraphs>118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ECHR</vt:lpstr>
      <vt:lpstr>ECHR</vt:lpstr>
    </vt:vector>
  </TitlesOfParts>
  <LinksUpToDate>false</LinksUpToDate>
  <CharactersWithSpaces>59414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dc:subject>
  <dc:creator/>
  <cp:lastModifiedBy/>
  <cp:revision>1</cp:revision>
  <cp:lastPrinted>2008-01-17T09:46:00Z</cp:lastPrinted>
  <dcterms:created xsi:type="dcterms:W3CDTF">2014-12-31T09:51:00Z</dcterms:created>
  <dcterms:modified xsi:type="dcterms:W3CDTF">2014-12-31T10:15:00Z</dcterms:modified>
  <cp:category>ECHR Template</cp:category>
</cp:coreProperties>
</file>