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22" w:rsidRPr="00515FC7" w:rsidRDefault="00365422" w:rsidP="00515FC7">
      <w:pPr>
        <w:pStyle w:val="Tytu"/>
        <w:spacing w:before="120" w:after="0" w:line="360" w:lineRule="auto"/>
        <w:contextualSpacing w:val="0"/>
        <w:rPr>
          <w:rFonts w:ascii="Times New Roman" w:hAnsi="Times New Roman" w:cs="Times New Roman"/>
          <w:color w:val="auto"/>
        </w:rPr>
      </w:pPr>
      <w:bookmarkStart w:id="0" w:name="_GoBack"/>
      <w:bookmarkEnd w:id="0"/>
      <w:r w:rsidRPr="00515FC7">
        <w:rPr>
          <w:rFonts w:ascii="Times New Roman" w:hAnsi="Times New Roman" w:cs="Times New Roman"/>
          <w:color w:val="auto"/>
        </w:rPr>
        <w:t>Wyroki</w:t>
      </w:r>
      <w:r w:rsidR="00DA7701" w:rsidRPr="00515FC7">
        <w:rPr>
          <w:rFonts w:ascii="Times New Roman" w:hAnsi="Times New Roman" w:cs="Times New Roman"/>
          <w:color w:val="auto"/>
        </w:rPr>
        <w:t xml:space="preserve"> </w:t>
      </w:r>
      <w:proofErr w:type="spellStart"/>
      <w:r w:rsidR="00DA7701" w:rsidRPr="00515FC7">
        <w:rPr>
          <w:rFonts w:ascii="Times New Roman" w:hAnsi="Times New Roman" w:cs="Times New Roman"/>
          <w:color w:val="auto"/>
        </w:rPr>
        <w:t>EKPCz</w:t>
      </w:r>
      <w:proofErr w:type="spellEnd"/>
      <w:r w:rsidRPr="00515FC7">
        <w:rPr>
          <w:rFonts w:ascii="Times New Roman" w:hAnsi="Times New Roman" w:cs="Times New Roman"/>
          <w:color w:val="auto"/>
        </w:rPr>
        <w:t xml:space="preserve"> w praktyce </w:t>
      </w:r>
      <w:r w:rsidR="00C7667A" w:rsidRPr="00515FC7">
        <w:rPr>
          <w:rFonts w:ascii="Times New Roman" w:hAnsi="Times New Roman" w:cs="Times New Roman"/>
          <w:color w:val="auto"/>
        </w:rPr>
        <w:br/>
      </w:r>
      <w:r w:rsidRPr="00515FC7">
        <w:rPr>
          <w:rFonts w:ascii="Times New Roman" w:hAnsi="Times New Roman" w:cs="Times New Roman"/>
          <w:color w:val="auto"/>
        </w:rPr>
        <w:t xml:space="preserve">Rzecznika Praw Obywatelskich </w:t>
      </w:r>
    </w:p>
    <w:p w:rsidR="00C7667A" w:rsidRPr="00515FC7" w:rsidRDefault="00C7667A" w:rsidP="004E2200">
      <w:pPr>
        <w:pStyle w:val="Podtytu"/>
        <w:jc w:val="both"/>
        <w:rPr>
          <w:rFonts w:ascii="Times New Roman" w:hAnsi="Times New Roman" w:cs="Times New Roman"/>
          <w:color w:val="auto"/>
        </w:rPr>
      </w:pPr>
      <w:r w:rsidRPr="00515FC7">
        <w:rPr>
          <w:rFonts w:ascii="Times New Roman" w:hAnsi="Times New Roman" w:cs="Times New Roman"/>
          <w:color w:val="auto"/>
        </w:rPr>
        <w:t>RPO korzysta ze standardów Europejskiej Konwencji Praw Człowieka i</w:t>
      </w:r>
      <w:r w:rsidR="004E2200" w:rsidRPr="00515FC7">
        <w:rPr>
          <w:rFonts w:ascii="Times New Roman" w:hAnsi="Times New Roman" w:cs="Times New Roman"/>
          <w:color w:val="auto"/>
        </w:rPr>
        <w:t> </w:t>
      </w:r>
      <w:r w:rsidRPr="00515FC7">
        <w:rPr>
          <w:rFonts w:ascii="Times New Roman" w:hAnsi="Times New Roman" w:cs="Times New Roman"/>
          <w:color w:val="auto"/>
        </w:rPr>
        <w:t xml:space="preserve">orzecznictwa Europejskiego Trybunału Praw Człowieka niemal w każdej sprawie. </w:t>
      </w:r>
    </w:p>
    <w:p w:rsidR="00C7667A" w:rsidRPr="00515FC7" w:rsidRDefault="00C7667A" w:rsidP="004E2200">
      <w:pPr>
        <w:jc w:val="both"/>
        <w:rPr>
          <w:rFonts w:ascii="Times New Roman" w:hAnsi="Times New Roman" w:cs="Times New Roman"/>
        </w:rPr>
      </w:pPr>
    </w:p>
    <w:sdt>
      <w:sdtPr>
        <w:rPr>
          <w:rFonts w:ascii="Times New Roman" w:eastAsiaTheme="minorHAnsi" w:hAnsi="Times New Roman" w:cs="Times New Roman"/>
          <w:sz w:val="24"/>
          <w:szCs w:val="24"/>
          <w:lang w:eastAsia="en-US"/>
        </w:rPr>
        <w:id w:val="-1277784243"/>
        <w:docPartObj>
          <w:docPartGallery w:val="Table of Contents"/>
          <w:docPartUnique/>
        </w:docPartObj>
      </w:sdtPr>
      <w:sdtEndPr>
        <w:rPr>
          <w:b/>
          <w:bCs/>
        </w:rPr>
      </w:sdtEndPr>
      <w:sdtContent>
        <w:p w:rsidR="00515FC7" w:rsidRPr="00960E4D" w:rsidRDefault="004F506D">
          <w:pPr>
            <w:pStyle w:val="Spistreci1"/>
            <w:tabs>
              <w:tab w:val="right" w:leader="dot" w:pos="9062"/>
            </w:tabs>
            <w:rPr>
              <w:noProof/>
              <w:sz w:val="24"/>
              <w:szCs w:val="24"/>
            </w:rPr>
          </w:pPr>
          <w:r w:rsidRPr="00960E4D">
            <w:rPr>
              <w:rFonts w:ascii="Times New Roman" w:eastAsiaTheme="majorEastAsia" w:hAnsi="Times New Roman" w:cs="Times New Roman"/>
              <w:spacing w:val="5"/>
              <w:kern w:val="28"/>
              <w:sz w:val="24"/>
              <w:szCs w:val="24"/>
            </w:rPr>
            <w:fldChar w:fldCharType="begin"/>
          </w:r>
          <w:r w:rsidRPr="00960E4D">
            <w:rPr>
              <w:rFonts w:ascii="Times New Roman" w:hAnsi="Times New Roman" w:cs="Times New Roman"/>
              <w:sz w:val="24"/>
              <w:szCs w:val="24"/>
            </w:rPr>
            <w:instrText xml:space="preserve"> TOC \o "1-3" \h \z \u </w:instrText>
          </w:r>
          <w:r w:rsidRPr="00960E4D">
            <w:rPr>
              <w:rFonts w:ascii="Times New Roman" w:eastAsiaTheme="majorEastAsia" w:hAnsi="Times New Roman" w:cs="Times New Roman"/>
              <w:spacing w:val="5"/>
              <w:kern w:val="28"/>
              <w:sz w:val="24"/>
              <w:szCs w:val="24"/>
            </w:rPr>
            <w:fldChar w:fldCharType="separate"/>
          </w:r>
          <w:hyperlink w:anchor="_Toc504117606" w:history="1">
            <w:r w:rsidR="00515FC7" w:rsidRPr="00960E4D">
              <w:rPr>
                <w:rStyle w:val="Hipercze"/>
                <w:rFonts w:ascii="Times New Roman" w:hAnsi="Times New Roman" w:cs="Times New Roman"/>
                <w:noProof/>
                <w:sz w:val="24"/>
                <w:szCs w:val="24"/>
              </w:rPr>
              <w:t>Przykłady postępowań sądowych z udziałem RPO, w których RPO powołuje się na orzecznictwo EKPCz</w:t>
            </w:r>
            <w:r w:rsidR="00515FC7" w:rsidRPr="00960E4D">
              <w:rPr>
                <w:noProof/>
                <w:webHidden/>
                <w:sz w:val="24"/>
                <w:szCs w:val="24"/>
              </w:rPr>
              <w:tab/>
            </w:r>
            <w:r w:rsidR="00515FC7" w:rsidRPr="00960E4D">
              <w:rPr>
                <w:noProof/>
                <w:webHidden/>
                <w:sz w:val="24"/>
                <w:szCs w:val="24"/>
              </w:rPr>
              <w:fldChar w:fldCharType="begin"/>
            </w:r>
            <w:r w:rsidR="00515FC7" w:rsidRPr="00960E4D">
              <w:rPr>
                <w:noProof/>
                <w:webHidden/>
                <w:sz w:val="24"/>
                <w:szCs w:val="24"/>
              </w:rPr>
              <w:instrText xml:space="preserve"> PAGEREF _Toc504117606 \h </w:instrText>
            </w:r>
            <w:r w:rsidR="00515FC7" w:rsidRPr="00960E4D">
              <w:rPr>
                <w:noProof/>
                <w:webHidden/>
                <w:sz w:val="24"/>
                <w:szCs w:val="24"/>
              </w:rPr>
            </w:r>
            <w:r w:rsidR="00515FC7" w:rsidRPr="00960E4D">
              <w:rPr>
                <w:noProof/>
                <w:webHidden/>
                <w:sz w:val="24"/>
                <w:szCs w:val="24"/>
              </w:rPr>
              <w:fldChar w:fldCharType="separate"/>
            </w:r>
            <w:r w:rsidR="00515FC7" w:rsidRPr="00960E4D">
              <w:rPr>
                <w:noProof/>
                <w:webHidden/>
                <w:sz w:val="24"/>
                <w:szCs w:val="24"/>
              </w:rPr>
              <w:t>4</w:t>
            </w:r>
            <w:r w:rsidR="00515FC7" w:rsidRPr="00960E4D">
              <w:rPr>
                <w:noProof/>
                <w:webHidden/>
                <w:sz w:val="24"/>
                <w:szCs w:val="24"/>
              </w:rPr>
              <w:fldChar w:fldCharType="end"/>
            </w:r>
          </w:hyperlink>
        </w:p>
        <w:p w:rsidR="00515FC7" w:rsidRPr="00960E4D" w:rsidRDefault="00206FB9">
          <w:pPr>
            <w:pStyle w:val="Spistreci2"/>
            <w:tabs>
              <w:tab w:val="left" w:pos="660"/>
            </w:tabs>
            <w:rPr>
              <w:sz w:val="24"/>
              <w:szCs w:val="24"/>
            </w:rPr>
          </w:pPr>
          <w:hyperlink w:anchor="_Toc504117607" w:history="1">
            <w:r w:rsidR="00515FC7" w:rsidRPr="00960E4D">
              <w:rPr>
                <w:rStyle w:val="Hipercze"/>
                <w:rFonts w:ascii="Times New Roman" w:hAnsi="Times New Roman" w:cs="Times New Roman"/>
                <w:sz w:val="24"/>
                <w:szCs w:val="24"/>
              </w:rPr>
              <w:t>1.</w:t>
            </w:r>
            <w:r w:rsidR="00515FC7" w:rsidRPr="00960E4D">
              <w:rPr>
                <w:sz w:val="24"/>
                <w:szCs w:val="24"/>
              </w:rPr>
              <w:tab/>
            </w:r>
            <w:r w:rsidR="00515FC7" w:rsidRPr="00960E4D">
              <w:rPr>
                <w:rStyle w:val="Hipercze"/>
                <w:rFonts w:ascii="Times New Roman" w:hAnsi="Times New Roman" w:cs="Times New Roman"/>
                <w:sz w:val="24"/>
                <w:szCs w:val="24"/>
              </w:rPr>
              <w:t>Czy prawo do prywatności jest naruszone przez opublikowanie w mediach danych powoda, gdy nie było na to zgody organu prokuratora, ale dane te są znane z wcześniejszych, także z wypowiedzi w mediach osób publicznych, w których komentowano działalność powoda? Czy publikacje te nie stanowią realizacji konstytucyjnej wolności wypowiedzi?</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_Toc504117607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4</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08" w:history="1">
            <w:r w:rsidR="00515FC7" w:rsidRPr="00960E4D">
              <w:rPr>
                <w:rStyle w:val="Hipercze"/>
                <w:rFonts w:ascii="Times New Roman" w:hAnsi="Times New Roman" w:cs="Times New Roman"/>
                <w:sz w:val="24"/>
                <w:szCs w:val="24"/>
              </w:rPr>
              <w:t>2.</w:t>
            </w:r>
            <w:r w:rsidR="00515FC7" w:rsidRPr="00960E4D">
              <w:rPr>
                <w:sz w:val="24"/>
                <w:szCs w:val="24"/>
              </w:rPr>
              <w:tab/>
            </w:r>
            <w:r w:rsidR="00515FC7" w:rsidRPr="00960E4D">
              <w:rPr>
                <w:rStyle w:val="Hipercze"/>
                <w:rFonts w:ascii="Times New Roman" w:hAnsi="Times New Roman" w:cs="Times New Roman"/>
                <w:sz w:val="24"/>
                <w:szCs w:val="24"/>
              </w:rPr>
              <w:t>Problem naruszanie dóbr osobistych w wydaniu elektronicznym prasy i żądanie usunięcia artykułu zniesławiającego.</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_Toc504117608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5</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09" w:history="1">
            <w:r w:rsidR="00515FC7" w:rsidRPr="00960E4D">
              <w:rPr>
                <w:rStyle w:val="Hipercze"/>
                <w:rFonts w:ascii="Times New Roman" w:hAnsi="Times New Roman" w:cs="Times New Roman"/>
                <w:sz w:val="24"/>
                <w:szCs w:val="24"/>
              </w:rPr>
              <w:t>3.</w:t>
            </w:r>
            <w:r w:rsidR="00515FC7" w:rsidRPr="00960E4D">
              <w:rPr>
                <w:sz w:val="24"/>
                <w:szCs w:val="24"/>
              </w:rPr>
              <w:tab/>
            </w:r>
            <w:r w:rsidR="00515FC7" w:rsidRPr="00960E4D">
              <w:rPr>
                <w:rStyle w:val="Hipercze"/>
                <w:rFonts w:ascii="Times New Roman" w:hAnsi="Times New Roman" w:cs="Times New Roman"/>
                <w:sz w:val="24"/>
                <w:szCs w:val="24"/>
              </w:rPr>
              <w:t>Odpowiedzialność administratora strony grupy dyskusyjnej na Facebooku.</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_Toc504117609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5</w:t>
            </w:r>
            <w:r w:rsidR="00515FC7" w:rsidRPr="00960E4D">
              <w:rPr>
                <w:webHidden/>
                <w:sz w:val="24"/>
                <w:szCs w:val="24"/>
              </w:rPr>
              <w:fldChar w:fldCharType="end"/>
            </w:r>
          </w:hyperlink>
        </w:p>
        <w:p w:rsidR="00515FC7" w:rsidRPr="00960E4D" w:rsidRDefault="00206FB9">
          <w:pPr>
            <w:pStyle w:val="Spistreci1"/>
            <w:tabs>
              <w:tab w:val="right" w:leader="dot" w:pos="9062"/>
            </w:tabs>
            <w:rPr>
              <w:noProof/>
              <w:sz w:val="24"/>
              <w:szCs w:val="24"/>
            </w:rPr>
          </w:pPr>
          <w:hyperlink w:anchor="_Toc504117610" w:history="1">
            <w:r w:rsidR="00515FC7" w:rsidRPr="00960E4D">
              <w:rPr>
                <w:rStyle w:val="Hipercze"/>
                <w:rFonts w:ascii="Times New Roman" w:hAnsi="Times New Roman" w:cs="Times New Roman"/>
                <w:noProof/>
                <w:sz w:val="24"/>
                <w:szCs w:val="24"/>
              </w:rPr>
              <w:t>Przykład sprawy, w której RPO w odpowiedzi do skarżących lub pismach kierowanych do właściwych organów wskazał na standard wynikający z orzecznictwa EKPCz</w:t>
            </w:r>
            <w:r w:rsidR="00515FC7" w:rsidRPr="00960E4D">
              <w:rPr>
                <w:noProof/>
                <w:webHidden/>
                <w:sz w:val="24"/>
                <w:szCs w:val="24"/>
              </w:rPr>
              <w:tab/>
            </w:r>
            <w:r w:rsidR="00515FC7" w:rsidRPr="00960E4D">
              <w:rPr>
                <w:noProof/>
                <w:webHidden/>
                <w:sz w:val="24"/>
                <w:szCs w:val="24"/>
              </w:rPr>
              <w:fldChar w:fldCharType="begin"/>
            </w:r>
            <w:r w:rsidR="00515FC7" w:rsidRPr="00960E4D">
              <w:rPr>
                <w:noProof/>
                <w:webHidden/>
                <w:sz w:val="24"/>
                <w:szCs w:val="24"/>
              </w:rPr>
              <w:instrText xml:space="preserve"> PAGEREF _Toc504117610 \h </w:instrText>
            </w:r>
            <w:r w:rsidR="00515FC7" w:rsidRPr="00960E4D">
              <w:rPr>
                <w:noProof/>
                <w:webHidden/>
                <w:sz w:val="24"/>
                <w:szCs w:val="24"/>
              </w:rPr>
            </w:r>
            <w:r w:rsidR="00515FC7" w:rsidRPr="00960E4D">
              <w:rPr>
                <w:noProof/>
                <w:webHidden/>
                <w:sz w:val="24"/>
                <w:szCs w:val="24"/>
              </w:rPr>
              <w:fldChar w:fldCharType="separate"/>
            </w:r>
            <w:r w:rsidR="00515FC7" w:rsidRPr="00960E4D">
              <w:rPr>
                <w:noProof/>
                <w:webHidden/>
                <w:sz w:val="24"/>
                <w:szCs w:val="24"/>
              </w:rPr>
              <w:t>7</w:t>
            </w:r>
            <w:r w:rsidR="00515FC7" w:rsidRPr="00960E4D">
              <w:rPr>
                <w:noProof/>
                <w:webHidden/>
                <w:sz w:val="24"/>
                <w:szCs w:val="24"/>
              </w:rPr>
              <w:fldChar w:fldCharType="end"/>
            </w:r>
          </w:hyperlink>
        </w:p>
        <w:p w:rsidR="00515FC7" w:rsidRPr="00960E4D" w:rsidRDefault="00206FB9">
          <w:pPr>
            <w:pStyle w:val="Spistreci2"/>
            <w:rPr>
              <w:sz w:val="24"/>
              <w:szCs w:val="24"/>
            </w:rPr>
          </w:pPr>
          <w:hyperlink w:anchor="_Toc504117611" w:history="1">
            <w:r w:rsidR="00515FC7" w:rsidRPr="00960E4D">
              <w:rPr>
                <w:rStyle w:val="Hipercze"/>
                <w:rFonts w:ascii="Times New Roman" w:hAnsi="Times New Roman" w:cs="Times New Roman"/>
                <w:sz w:val="24"/>
                <w:szCs w:val="24"/>
              </w:rPr>
              <w:t>Skargi dotyczące obecności krzyża w budynkach użyteczności publicznej.</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_Toc504117611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7</w:t>
            </w:r>
            <w:r w:rsidR="00515FC7" w:rsidRPr="00960E4D">
              <w:rPr>
                <w:webHidden/>
                <w:sz w:val="24"/>
                <w:szCs w:val="24"/>
              </w:rPr>
              <w:fldChar w:fldCharType="end"/>
            </w:r>
          </w:hyperlink>
        </w:p>
        <w:p w:rsidR="00515FC7" w:rsidRPr="00960E4D" w:rsidRDefault="00206FB9">
          <w:pPr>
            <w:pStyle w:val="Spistreci1"/>
            <w:tabs>
              <w:tab w:val="right" w:leader="dot" w:pos="9062"/>
            </w:tabs>
            <w:rPr>
              <w:noProof/>
              <w:sz w:val="24"/>
              <w:szCs w:val="24"/>
            </w:rPr>
          </w:pPr>
          <w:hyperlink w:anchor="_Toc504117612" w:history="1">
            <w:r w:rsidR="00515FC7" w:rsidRPr="00960E4D">
              <w:rPr>
                <w:rStyle w:val="Hipercze"/>
                <w:rFonts w:ascii="Times New Roman" w:hAnsi="Times New Roman" w:cs="Times New Roman"/>
                <w:noProof/>
                <w:sz w:val="24"/>
                <w:szCs w:val="24"/>
              </w:rPr>
              <w:t>Przykłady spraw o charakterze generalnym, w tym debaty o zmianie prawa</w:t>
            </w:r>
            <w:r w:rsidR="00515FC7" w:rsidRPr="00960E4D">
              <w:rPr>
                <w:noProof/>
                <w:webHidden/>
                <w:sz w:val="24"/>
                <w:szCs w:val="24"/>
              </w:rPr>
              <w:tab/>
            </w:r>
            <w:r w:rsidR="00515FC7" w:rsidRPr="00960E4D">
              <w:rPr>
                <w:noProof/>
                <w:webHidden/>
                <w:sz w:val="24"/>
                <w:szCs w:val="24"/>
              </w:rPr>
              <w:fldChar w:fldCharType="begin"/>
            </w:r>
            <w:r w:rsidR="00515FC7" w:rsidRPr="00960E4D">
              <w:rPr>
                <w:noProof/>
                <w:webHidden/>
                <w:sz w:val="24"/>
                <w:szCs w:val="24"/>
              </w:rPr>
              <w:instrText xml:space="preserve"> PAGEREF _Toc504117612 \h </w:instrText>
            </w:r>
            <w:r w:rsidR="00515FC7" w:rsidRPr="00960E4D">
              <w:rPr>
                <w:noProof/>
                <w:webHidden/>
                <w:sz w:val="24"/>
                <w:szCs w:val="24"/>
              </w:rPr>
            </w:r>
            <w:r w:rsidR="00515FC7" w:rsidRPr="00960E4D">
              <w:rPr>
                <w:noProof/>
                <w:webHidden/>
                <w:sz w:val="24"/>
                <w:szCs w:val="24"/>
              </w:rPr>
              <w:fldChar w:fldCharType="separate"/>
            </w:r>
            <w:r w:rsidR="00515FC7" w:rsidRPr="00960E4D">
              <w:rPr>
                <w:noProof/>
                <w:webHidden/>
                <w:sz w:val="24"/>
                <w:szCs w:val="24"/>
              </w:rPr>
              <w:t>7</w:t>
            </w:r>
            <w:r w:rsidR="00515FC7" w:rsidRPr="00960E4D">
              <w:rPr>
                <w:noProof/>
                <w:webHidden/>
                <w:sz w:val="24"/>
                <w:szCs w:val="24"/>
              </w:rPr>
              <w:fldChar w:fldCharType="end"/>
            </w:r>
          </w:hyperlink>
        </w:p>
        <w:p w:rsidR="00515FC7" w:rsidRPr="00960E4D" w:rsidRDefault="00206FB9">
          <w:pPr>
            <w:pStyle w:val="Spistreci2"/>
            <w:tabs>
              <w:tab w:val="left" w:pos="660"/>
            </w:tabs>
            <w:rPr>
              <w:sz w:val="24"/>
              <w:szCs w:val="24"/>
            </w:rPr>
          </w:pPr>
          <w:hyperlink w:anchor="_Toc504117613" w:history="1">
            <w:r w:rsidR="00515FC7" w:rsidRPr="00960E4D">
              <w:rPr>
                <w:rStyle w:val="Hipercze"/>
                <w:rFonts w:cs="Times New Roman"/>
                <w:sz w:val="24"/>
                <w:szCs w:val="24"/>
              </w:rPr>
              <w:t>1.</w:t>
            </w:r>
            <w:r w:rsidR="00515FC7" w:rsidRPr="00960E4D">
              <w:rPr>
                <w:sz w:val="24"/>
                <w:szCs w:val="24"/>
              </w:rPr>
              <w:tab/>
            </w:r>
            <w:r w:rsidR="00515FC7" w:rsidRPr="00960E4D">
              <w:rPr>
                <w:rStyle w:val="Hipercze"/>
                <w:rFonts w:ascii="Times New Roman" w:hAnsi="Times New Roman" w:cs="Times New Roman"/>
                <w:sz w:val="24"/>
                <w:szCs w:val="24"/>
              </w:rPr>
              <w:t>Projekt ustawy dotyczącej sprawców przestępstw seksualnych</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_Toc504117613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7</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14" w:history="1">
            <w:r w:rsidR="00515FC7" w:rsidRPr="00960E4D">
              <w:rPr>
                <w:rStyle w:val="Hipercze"/>
                <w:rFonts w:cs="Times New Roman"/>
                <w:sz w:val="24"/>
                <w:szCs w:val="24"/>
              </w:rPr>
              <w:t>2.</w:t>
            </w:r>
            <w:r w:rsidR="00515FC7" w:rsidRPr="00960E4D">
              <w:rPr>
                <w:sz w:val="24"/>
                <w:szCs w:val="24"/>
              </w:rPr>
              <w:tab/>
            </w:r>
            <w:r w:rsidR="00515FC7" w:rsidRPr="00960E4D">
              <w:rPr>
                <w:rStyle w:val="Hipercze"/>
                <w:rFonts w:ascii="Times New Roman" w:hAnsi="Times New Roman" w:cs="Times New Roman"/>
                <w:sz w:val="24"/>
                <w:szCs w:val="24"/>
              </w:rPr>
              <w:t>Zmiany w ustawie Krajowej Radzie Sądownictwa</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_Toc504117614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7</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15" w:history="1">
            <w:r w:rsidR="00515FC7" w:rsidRPr="00960E4D">
              <w:rPr>
                <w:rStyle w:val="Hipercze"/>
                <w:rFonts w:cs="Times New Roman"/>
                <w:sz w:val="24"/>
                <w:szCs w:val="24"/>
              </w:rPr>
              <w:t>3.</w:t>
            </w:r>
            <w:r w:rsidR="00515FC7" w:rsidRPr="00960E4D">
              <w:rPr>
                <w:sz w:val="24"/>
                <w:szCs w:val="24"/>
              </w:rPr>
              <w:tab/>
            </w:r>
            <w:r w:rsidR="00515FC7" w:rsidRPr="00960E4D">
              <w:rPr>
                <w:rStyle w:val="Hipercze"/>
                <w:rFonts w:ascii="Times New Roman" w:hAnsi="Times New Roman" w:cs="Times New Roman"/>
                <w:sz w:val="24"/>
                <w:szCs w:val="24"/>
              </w:rPr>
              <w:t>Wykonanie przez rząd ustawy o planowaniu rodziny (tzw. antyaborcyjnej z 1993 r.).</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_Toc504117615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8</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16" w:history="1">
            <w:r w:rsidR="00515FC7" w:rsidRPr="00960E4D">
              <w:rPr>
                <w:rStyle w:val="Hipercze"/>
                <w:rFonts w:cs="Times New Roman"/>
                <w:sz w:val="24"/>
                <w:szCs w:val="24"/>
              </w:rPr>
              <w:t>4.</w:t>
            </w:r>
            <w:r w:rsidR="00515FC7" w:rsidRPr="00960E4D">
              <w:rPr>
                <w:sz w:val="24"/>
                <w:szCs w:val="24"/>
              </w:rPr>
              <w:tab/>
            </w:r>
            <w:r w:rsidR="00515FC7" w:rsidRPr="00960E4D">
              <w:rPr>
                <w:rStyle w:val="Hipercze"/>
                <w:rFonts w:ascii="Times New Roman" w:hAnsi="Times New Roman" w:cs="Times New Roman"/>
                <w:sz w:val="24"/>
                <w:szCs w:val="24"/>
              </w:rPr>
              <w:t>Klauzula sumienia farmaceutów</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_Toc504117616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8</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17" w:history="1">
            <w:r w:rsidR="00515FC7" w:rsidRPr="00960E4D">
              <w:rPr>
                <w:rStyle w:val="Hipercze"/>
                <w:rFonts w:cs="Times New Roman"/>
                <w:sz w:val="24"/>
                <w:szCs w:val="24"/>
              </w:rPr>
              <w:t>5.</w:t>
            </w:r>
            <w:r w:rsidR="00515FC7" w:rsidRPr="00960E4D">
              <w:rPr>
                <w:sz w:val="24"/>
                <w:szCs w:val="24"/>
              </w:rPr>
              <w:tab/>
            </w:r>
            <w:r w:rsidR="00515FC7" w:rsidRPr="00960E4D">
              <w:rPr>
                <w:rStyle w:val="Hipercze"/>
                <w:rFonts w:ascii="Times New Roman" w:hAnsi="Times New Roman" w:cs="Times New Roman"/>
                <w:sz w:val="24"/>
                <w:szCs w:val="24"/>
              </w:rPr>
              <w:t>Reprywatyzacja – naruszenie art. 6 Konwencji oraz art. 1 Protokołu Nr 1</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_Toc504117617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9</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18" w:history="1">
            <w:r w:rsidR="00515FC7" w:rsidRPr="00960E4D">
              <w:rPr>
                <w:rStyle w:val="Hipercze"/>
                <w:rFonts w:cs="Times New Roman"/>
                <w:sz w:val="24"/>
                <w:szCs w:val="24"/>
              </w:rPr>
              <w:t>6.</w:t>
            </w:r>
            <w:r w:rsidR="00515FC7" w:rsidRPr="00960E4D">
              <w:rPr>
                <w:sz w:val="24"/>
                <w:szCs w:val="24"/>
              </w:rPr>
              <w:tab/>
            </w:r>
            <w:r w:rsidR="00515FC7" w:rsidRPr="00960E4D">
              <w:rPr>
                <w:rStyle w:val="Hipercze"/>
                <w:rFonts w:ascii="Times New Roman" w:hAnsi="Times New Roman" w:cs="Times New Roman"/>
                <w:sz w:val="24"/>
                <w:szCs w:val="24"/>
              </w:rPr>
              <w:t>Blokowanie stron internetowych</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_Toc504117618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10</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19" w:history="1">
            <w:r w:rsidR="00515FC7" w:rsidRPr="00960E4D">
              <w:rPr>
                <w:rStyle w:val="Hipercze"/>
                <w:rFonts w:cs="Times New Roman"/>
                <w:sz w:val="24"/>
                <w:szCs w:val="24"/>
              </w:rPr>
              <w:t>7.</w:t>
            </w:r>
            <w:r w:rsidR="00515FC7" w:rsidRPr="00960E4D">
              <w:rPr>
                <w:sz w:val="24"/>
                <w:szCs w:val="24"/>
              </w:rPr>
              <w:tab/>
            </w:r>
            <w:r w:rsidR="00515FC7" w:rsidRPr="00960E4D">
              <w:rPr>
                <w:rStyle w:val="Hipercze"/>
                <w:rFonts w:ascii="Times New Roman" w:hAnsi="Times New Roman" w:cs="Times New Roman"/>
                <w:sz w:val="24"/>
                <w:szCs w:val="24"/>
              </w:rPr>
              <w:t>Sprawy związane z ograniczeniem wolności słowa</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_Toc504117619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11</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20" w:history="1">
            <w:r w:rsidR="00515FC7" w:rsidRPr="00960E4D">
              <w:rPr>
                <w:rStyle w:val="Hipercze"/>
                <w:rFonts w:cs="Times New Roman"/>
                <w:sz w:val="24"/>
                <w:szCs w:val="24"/>
              </w:rPr>
              <w:t>8.</w:t>
            </w:r>
            <w:r w:rsidR="00515FC7" w:rsidRPr="00960E4D">
              <w:rPr>
                <w:sz w:val="24"/>
                <w:szCs w:val="24"/>
              </w:rPr>
              <w:tab/>
            </w:r>
            <w:r w:rsidR="00515FC7" w:rsidRPr="00960E4D">
              <w:rPr>
                <w:rStyle w:val="Hipercze"/>
                <w:rFonts w:ascii="Times New Roman" w:hAnsi="Times New Roman" w:cs="Times New Roman"/>
                <w:sz w:val="24"/>
                <w:szCs w:val="24"/>
              </w:rPr>
              <w:t>Publiczna zapowiedź marszałka województwa „wykluczenie Teatru z grona partnerów projektu, co zamyka drogę do otrzymania dofinansowania”.</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_Toc504117620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12</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21" w:history="1">
            <w:r w:rsidR="00515FC7" w:rsidRPr="00960E4D">
              <w:rPr>
                <w:rStyle w:val="Hipercze"/>
                <w:rFonts w:cs="Times New Roman"/>
                <w:sz w:val="24"/>
                <w:szCs w:val="24"/>
              </w:rPr>
              <w:t>9.</w:t>
            </w:r>
            <w:r w:rsidR="00515FC7" w:rsidRPr="00960E4D">
              <w:rPr>
                <w:sz w:val="24"/>
                <w:szCs w:val="24"/>
              </w:rPr>
              <w:tab/>
            </w:r>
            <w:r w:rsidR="00515FC7" w:rsidRPr="00960E4D">
              <w:rPr>
                <w:rStyle w:val="Hipercze"/>
                <w:rFonts w:ascii="Times New Roman" w:hAnsi="Times New Roman" w:cs="Times New Roman"/>
                <w:sz w:val="24"/>
                <w:szCs w:val="24"/>
              </w:rPr>
              <w:t>Ustawowy zakaz dla weterynarzy, by krytykować działania innych weterynarzy</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_Toc504117621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12</w:t>
            </w:r>
            <w:r w:rsidR="00515FC7" w:rsidRPr="00960E4D">
              <w:rPr>
                <w:webHidden/>
                <w:sz w:val="24"/>
                <w:szCs w:val="24"/>
              </w:rPr>
              <w:fldChar w:fldCharType="end"/>
            </w:r>
          </w:hyperlink>
        </w:p>
        <w:p w:rsidR="00515FC7" w:rsidRPr="00960E4D" w:rsidRDefault="00206FB9">
          <w:pPr>
            <w:pStyle w:val="Spistreci2"/>
            <w:tabs>
              <w:tab w:val="left" w:pos="880"/>
            </w:tabs>
            <w:rPr>
              <w:sz w:val="24"/>
              <w:szCs w:val="24"/>
            </w:rPr>
          </w:pPr>
          <w:hyperlink w:anchor="_Toc504117622" w:history="1">
            <w:r w:rsidR="00515FC7" w:rsidRPr="00960E4D">
              <w:rPr>
                <w:rStyle w:val="Hipercze"/>
                <w:rFonts w:cs="Times New Roman"/>
                <w:sz w:val="24"/>
                <w:szCs w:val="24"/>
              </w:rPr>
              <w:t>10.</w:t>
            </w:r>
            <w:r w:rsidR="00515FC7" w:rsidRPr="00960E4D">
              <w:rPr>
                <w:sz w:val="24"/>
                <w:szCs w:val="24"/>
              </w:rPr>
              <w:tab/>
            </w:r>
            <w:r w:rsidR="00515FC7" w:rsidRPr="00960E4D">
              <w:rPr>
                <w:rStyle w:val="Hipercze"/>
                <w:rFonts w:ascii="Times New Roman" w:hAnsi="Times New Roman" w:cs="Times New Roman"/>
                <w:sz w:val="24"/>
                <w:szCs w:val="24"/>
              </w:rPr>
              <w:t>Sprawa zagrożenia dla korzystania z wolności słowa i dostępu obywateli do informacji przez wydawanie prasy przez samorządy lokalne, zwłaszcza na zasadach komercyjnych.</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_Toc504117622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13</w:t>
            </w:r>
            <w:r w:rsidR="00515FC7" w:rsidRPr="00960E4D">
              <w:rPr>
                <w:webHidden/>
                <w:sz w:val="24"/>
                <w:szCs w:val="24"/>
              </w:rPr>
              <w:fldChar w:fldCharType="end"/>
            </w:r>
          </w:hyperlink>
        </w:p>
        <w:p w:rsidR="00515FC7" w:rsidRPr="00960E4D" w:rsidRDefault="00206FB9">
          <w:pPr>
            <w:pStyle w:val="Spistreci2"/>
            <w:tabs>
              <w:tab w:val="left" w:pos="880"/>
            </w:tabs>
            <w:rPr>
              <w:sz w:val="24"/>
              <w:szCs w:val="24"/>
            </w:rPr>
          </w:pPr>
          <w:hyperlink w:anchor="_Toc504117623" w:history="1">
            <w:r w:rsidR="00515FC7" w:rsidRPr="00960E4D">
              <w:rPr>
                <w:rStyle w:val="Hipercze"/>
                <w:rFonts w:cs="Times New Roman"/>
                <w:sz w:val="24"/>
                <w:szCs w:val="24"/>
              </w:rPr>
              <w:t>11.</w:t>
            </w:r>
            <w:r w:rsidR="00515FC7" w:rsidRPr="00960E4D">
              <w:rPr>
                <w:sz w:val="24"/>
                <w:szCs w:val="24"/>
              </w:rPr>
              <w:tab/>
            </w:r>
            <w:r w:rsidR="00515FC7" w:rsidRPr="00960E4D">
              <w:rPr>
                <w:rStyle w:val="Hipercze"/>
                <w:rFonts w:ascii="Times New Roman" w:hAnsi="Times New Roman" w:cs="Times New Roman"/>
                <w:sz w:val="24"/>
                <w:szCs w:val="24"/>
              </w:rPr>
              <w:t>Prawa wyborcze osób ubezwłasnowolnionych</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_Toc504117623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13</w:t>
            </w:r>
            <w:r w:rsidR="00515FC7" w:rsidRPr="00960E4D">
              <w:rPr>
                <w:webHidden/>
                <w:sz w:val="24"/>
                <w:szCs w:val="24"/>
              </w:rPr>
              <w:fldChar w:fldCharType="end"/>
            </w:r>
          </w:hyperlink>
        </w:p>
        <w:p w:rsidR="00515FC7" w:rsidRPr="00960E4D" w:rsidRDefault="00206FB9">
          <w:pPr>
            <w:pStyle w:val="Spistreci2"/>
            <w:tabs>
              <w:tab w:val="left" w:pos="880"/>
            </w:tabs>
            <w:rPr>
              <w:sz w:val="24"/>
              <w:szCs w:val="24"/>
            </w:rPr>
          </w:pPr>
          <w:hyperlink w:anchor="_Toc504117624" w:history="1">
            <w:r w:rsidR="00515FC7" w:rsidRPr="00960E4D">
              <w:rPr>
                <w:rStyle w:val="Hipercze"/>
                <w:rFonts w:cs="Times New Roman"/>
                <w:sz w:val="24"/>
                <w:szCs w:val="24"/>
              </w:rPr>
              <w:t>12.</w:t>
            </w:r>
            <w:r w:rsidR="00515FC7" w:rsidRPr="00960E4D">
              <w:rPr>
                <w:sz w:val="24"/>
                <w:szCs w:val="24"/>
              </w:rPr>
              <w:tab/>
            </w:r>
            <w:r w:rsidR="00515FC7" w:rsidRPr="00960E4D">
              <w:rPr>
                <w:rStyle w:val="Hipercze"/>
                <w:rFonts w:ascii="Times New Roman" w:hAnsi="Times New Roman" w:cs="Times New Roman"/>
                <w:sz w:val="24"/>
                <w:szCs w:val="24"/>
              </w:rPr>
              <w:t>Odpowiedzialność karna za zniesławienie (art. 212 k.k.)</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_Toc504117624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13</w:t>
            </w:r>
            <w:r w:rsidR="00515FC7" w:rsidRPr="00960E4D">
              <w:rPr>
                <w:webHidden/>
                <w:sz w:val="24"/>
                <w:szCs w:val="24"/>
              </w:rPr>
              <w:fldChar w:fldCharType="end"/>
            </w:r>
          </w:hyperlink>
        </w:p>
        <w:p w:rsidR="00515FC7" w:rsidRPr="00960E4D" w:rsidRDefault="00206FB9">
          <w:pPr>
            <w:pStyle w:val="Spistreci2"/>
            <w:tabs>
              <w:tab w:val="left" w:pos="880"/>
            </w:tabs>
            <w:rPr>
              <w:sz w:val="24"/>
              <w:szCs w:val="24"/>
            </w:rPr>
          </w:pPr>
          <w:hyperlink w:anchor="_Toc504117625" w:history="1">
            <w:r w:rsidR="00515FC7" w:rsidRPr="00960E4D">
              <w:rPr>
                <w:rStyle w:val="Hipercze"/>
                <w:rFonts w:cs="Times New Roman"/>
                <w:sz w:val="24"/>
                <w:szCs w:val="24"/>
              </w:rPr>
              <w:t>13.</w:t>
            </w:r>
            <w:r w:rsidR="00515FC7" w:rsidRPr="00960E4D">
              <w:rPr>
                <w:sz w:val="24"/>
                <w:szCs w:val="24"/>
              </w:rPr>
              <w:tab/>
            </w:r>
            <w:r w:rsidR="00515FC7" w:rsidRPr="00960E4D">
              <w:rPr>
                <w:rStyle w:val="Hipercze"/>
                <w:rFonts w:ascii="Times New Roman" w:hAnsi="Times New Roman" w:cs="Times New Roman"/>
                <w:sz w:val="24"/>
                <w:szCs w:val="24"/>
              </w:rPr>
              <w:t>Problem nowelizacji Prawa o zgromadzeniach i inne naruszenia prawa do zgromadzeń</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_Toc504117625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14</w:t>
            </w:r>
            <w:r w:rsidR="00515FC7" w:rsidRPr="00960E4D">
              <w:rPr>
                <w:webHidden/>
                <w:sz w:val="24"/>
                <w:szCs w:val="24"/>
              </w:rPr>
              <w:fldChar w:fldCharType="end"/>
            </w:r>
          </w:hyperlink>
        </w:p>
        <w:p w:rsidR="00515FC7" w:rsidRPr="00960E4D" w:rsidRDefault="00206FB9">
          <w:pPr>
            <w:pStyle w:val="Spistreci1"/>
            <w:tabs>
              <w:tab w:val="right" w:leader="dot" w:pos="9062"/>
            </w:tabs>
            <w:rPr>
              <w:noProof/>
              <w:sz w:val="24"/>
              <w:szCs w:val="24"/>
            </w:rPr>
          </w:pPr>
          <w:hyperlink w:anchor="_Toc504117626" w:history="1">
            <w:r w:rsidR="00515FC7" w:rsidRPr="00960E4D">
              <w:rPr>
                <w:rStyle w:val="Hipercze"/>
                <w:rFonts w:ascii="Times New Roman" w:hAnsi="Times New Roman" w:cs="Times New Roman"/>
                <w:noProof/>
                <w:sz w:val="24"/>
                <w:szCs w:val="24"/>
              </w:rPr>
              <w:t>Przykłady wniosków RPO do Trybunału Konstytucyjnego, w których jako wzorzec kontroli powoływane były przepisy EKPC - a w uzasadnieniu orzecznictwo EKPCz</w:t>
            </w:r>
            <w:r w:rsidR="00515FC7" w:rsidRPr="00960E4D">
              <w:rPr>
                <w:noProof/>
                <w:webHidden/>
                <w:sz w:val="24"/>
                <w:szCs w:val="24"/>
              </w:rPr>
              <w:tab/>
            </w:r>
            <w:r w:rsidR="00515FC7" w:rsidRPr="00960E4D">
              <w:rPr>
                <w:noProof/>
                <w:webHidden/>
                <w:sz w:val="24"/>
                <w:szCs w:val="24"/>
              </w:rPr>
              <w:fldChar w:fldCharType="begin"/>
            </w:r>
            <w:r w:rsidR="00515FC7" w:rsidRPr="00960E4D">
              <w:rPr>
                <w:noProof/>
                <w:webHidden/>
                <w:sz w:val="24"/>
                <w:szCs w:val="24"/>
              </w:rPr>
              <w:instrText xml:space="preserve"> PAGEREF _Toc504117626 \h </w:instrText>
            </w:r>
            <w:r w:rsidR="00515FC7" w:rsidRPr="00960E4D">
              <w:rPr>
                <w:noProof/>
                <w:webHidden/>
                <w:sz w:val="24"/>
                <w:szCs w:val="24"/>
              </w:rPr>
            </w:r>
            <w:r w:rsidR="00515FC7" w:rsidRPr="00960E4D">
              <w:rPr>
                <w:noProof/>
                <w:webHidden/>
                <w:sz w:val="24"/>
                <w:szCs w:val="24"/>
              </w:rPr>
              <w:fldChar w:fldCharType="separate"/>
            </w:r>
            <w:r w:rsidR="00515FC7" w:rsidRPr="00960E4D">
              <w:rPr>
                <w:noProof/>
                <w:webHidden/>
                <w:sz w:val="24"/>
                <w:szCs w:val="24"/>
              </w:rPr>
              <w:t>15</w:t>
            </w:r>
            <w:r w:rsidR="00515FC7" w:rsidRPr="00960E4D">
              <w:rPr>
                <w:noProof/>
                <w:webHidden/>
                <w:sz w:val="24"/>
                <w:szCs w:val="24"/>
              </w:rPr>
              <w:fldChar w:fldCharType="end"/>
            </w:r>
          </w:hyperlink>
        </w:p>
        <w:p w:rsidR="00515FC7" w:rsidRPr="00960E4D" w:rsidRDefault="00206FB9">
          <w:pPr>
            <w:pStyle w:val="Spistreci2"/>
            <w:tabs>
              <w:tab w:val="left" w:pos="660"/>
            </w:tabs>
            <w:rPr>
              <w:sz w:val="24"/>
              <w:szCs w:val="24"/>
            </w:rPr>
          </w:pPr>
          <w:hyperlink w:anchor="_Toc504117627" w:history="1">
            <w:r w:rsidR="00515FC7" w:rsidRPr="00960E4D">
              <w:rPr>
                <w:rStyle w:val="Hipercze"/>
                <w:rFonts w:cs="Times New Roman"/>
                <w:sz w:val="24"/>
                <w:szCs w:val="24"/>
              </w:rPr>
              <w:t>1.</w:t>
            </w:r>
            <w:r w:rsidR="00515FC7" w:rsidRPr="00960E4D">
              <w:rPr>
                <w:sz w:val="24"/>
                <w:szCs w:val="24"/>
              </w:rPr>
              <w:tab/>
            </w:r>
            <w:r w:rsidR="00515FC7" w:rsidRPr="00960E4D">
              <w:rPr>
                <w:rStyle w:val="Hipercze"/>
                <w:rFonts w:ascii="Times New Roman" w:hAnsi="Times New Roman" w:cs="Times New Roman"/>
                <w:sz w:val="24"/>
                <w:szCs w:val="24"/>
              </w:rPr>
              <w:t>Ustawa o ustroju sądów powszechnych</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_Toc504117627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15</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28" w:history="1">
            <w:r w:rsidR="00515FC7" w:rsidRPr="00960E4D">
              <w:rPr>
                <w:rStyle w:val="Hipercze"/>
                <w:rFonts w:ascii="Times New Roman" w:hAnsi="Times New Roman" w:cs="Times New Roman"/>
                <w:sz w:val="24"/>
                <w:szCs w:val="24"/>
              </w:rPr>
              <w:t>2.</w:t>
            </w:r>
            <w:r w:rsidR="00515FC7" w:rsidRPr="00960E4D">
              <w:rPr>
                <w:sz w:val="24"/>
                <w:szCs w:val="24"/>
              </w:rPr>
              <w:tab/>
            </w:r>
            <w:r w:rsidR="00515FC7" w:rsidRPr="00960E4D">
              <w:rPr>
                <w:rStyle w:val="Hipercze"/>
                <w:rFonts w:ascii="Times New Roman" w:hAnsi="Times New Roman" w:cs="Times New Roman"/>
                <w:sz w:val="24"/>
                <w:szCs w:val="24"/>
              </w:rPr>
              <w:t>Ustawa antyterrorystyczna</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_Toc504117628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16</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29" w:history="1">
            <w:r w:rsidR="00515FC7" w:rsidRPr="00960E4D">
              <w:rPr>
                <w:rStyle w:val="Hipercze"/>
                <w:rFonts w:ascii="Times New Roman" w:hAnsi="Times New Roman" w:cs="Times New Roman"/>
                <w:sz w:val="24"/>
                <w:szCs w:val="24"/>
              </w:rPr>
              <w:t>3.</w:t>
            </w:r>
            <w:r w:rsidR="00515FC7" w:rsidRPr="00960E4D">
              <w:rPr>
                <w:sz w:val="24"/>
                <w:szCs w:val="24"/>
              </w:rPr>
              <w:tab/>
            </w:r>
            <w:r w:rsidR="00515FC7" w:rsidRPr="00960E4D">
              <w:rPr>
                <w:rStyle w:val="Hipercze"/>
                <w:rFonts w:ascii="Times New Roman" w:hAnsi="Times New Roman" w:cs="Times New Roman"/>
                <w:sz w:val="24"/>
                <w:szCs w:val="24"/>
              </w:rPr>
              <w:t>Tzw. ustawa inwigilacyjna</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_Toc504117629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17</w:t>
            </w:r>
            <w:r w:rsidR="00515FC7" w:rsidRPr="00960E4D">
              <w:rPr>
                <w:webHidden/>
                <w:sz w:val="24"/>
                <w:szCs w:val="24"/>
              </w:rPr>
              <w:fldChar w:fldCharType="end"/>
            </w:r>
          </w:hyperlink>
        </w:p>
        <w:p w:rsidR="00515FC7" w:rsidRPr="00960E4D" w:rsidRDefault="00206FB9">
          <w:pPr>
            <w:pStyle w:val="Spistreci2"/>
            <w:tabs>
              <w:tab w:val="left" w:pos="660"/>
            </w:tabs>
            <w:rPr>
              <w:sz w:val="24"/>
              <w:szCs w:val="24"/>
            </w:rPr>
          </w:pPr>
          <w:hyperlink w:anchor="_Toc504117630" w:history="1">
            <w:r w:rsidR="00515FC7" w:rsidRPr="00960E4D">
              <w:rPr>
                <w:rStyle w:val="Hipercze"/>
                <w:rFonts w:ascii="Times New Roman" w:hAnsi="Times New Roman" w:cs="Times New Roman"/>
                <w:sz w:val="24"/>
                <w:szCs w:val="24"/>
              </w:rPr>
              <w:t>4.</w:t>
            </w:r>
            <w:r w:rsidR="00515FC7" w:rsidRPr="00960E4D">
              <w:rPr>
                <w:sz w:val="24"/>
                <w:szCs w:val="24"/>
              </w:rPr>
              <w:tab/>
            </w:r>
            <w:r w:rsidR="00515FC7" w:rsidRPr="00960E4D">
              <w:rPr>
                <w:rStyle w:val="Hipercze"/>
                <w:rFonts w:ascii="Times New Roman" w:hAnsi="Times New Roman" w:cs="Times New Roman"/>
                <w:sz w:val="24"/>
                <w:szCs w:val="24"/>
              </w:rPr>
              <w:t>Tzw. mała ustawa medialna z grudnia 2015 r.</w:t>
            </w:r>
            <w:r w:rsidR="00515FC7" w:rsidRPr="00960E4D">
              <w:rPr>
                <w:webHidden/>
                <w:sz w:val="24"/>
                <w:szCs w:val="24"/>
              </w:rPr>
              <w:tab/>
            </w:r>
            <w:r w:rsidR="00515FC7" w:rsidRPr="00960E4D">
              <w:rPr>
                <w:webHidden/>
                <w:sz w:val="24"/>
                <w:szCs w:val="24"/>
              </w:rPr>
              <w:fldChar w:fldCharType="begin"/>
            </w:r>
            <w:r w:rsidR="00515FC7" w:rsidRPr="00960E4D">
              <w:rPr>
                <w:webHidden/>
                <w:sz w:val="24"/>
                <w:szCs w:val="24"/>
              </w:rPr>
              <w:instrText xml:space="preserve"> PAGEREF _Toc504117630 \h </w:instrText>
            </w:r>
            <w:r w:rsidR="00515FC7" w:rsidRPr="00960E4D">
              <w:rPr>
                <w:webHidden/>
                <w:sz w:val="24"/>
                <w:szCs w:val="24"/>
              </w:rPr>
            </w:r>
            <w:r w:rsidR="00515FC7" w:rsidRPr="00960E4D">
              <w:rPr>
                <w:webHidden/>
                <w:sz w:val="24"/>
                <w:szCs w:val="24"/>
              </w:rPr>
              <w:fldChar w:fldCharType="separate"/>
            </w:r>
            <w:r w:rsidR="00515FC7" w:rsidRPr="00960E4D">
              <w:rPr>
                <w:webHidden/>
                <w:sz w:val="24"/>
                <w:szCs w:val="24"/>
              </w:rPr>
              <w:t>18</w:t>
            </w:r>
            <w:r w:rsidR="00515FC7" w:rsidRPr="00960E4D">
              <w:rPr>
                <w:webHidden/>
                <w:sz w:val="24"/>
                <w:szCs w:val="24"/>
              </w:rPr>
              <w:fldChar w:fldCharType="end"/>
            </w:r>
          </w:hyperlink>
        </w:p>
        <w:p w:rsidR="004F506D" w:rsidRPr="00960E4D" w:rsidRDefault="004F506D" w:rsidP="004E2200">
          <w:pPr>
            <w:spacing w:before="120" w:after="0" w:line="360" w:lineRule="auto"/>
            <w:ind w:firstLine="709"/>
            <w:jc w:val="both"/>
            <w:rPr>
              <w:rFonts w:ascii="Times New Roman" w:hAnsi="Times New Roman" w:cs="Times New Roman"/>
              <w:sz w:val="24"/>
              <w:szCs w:val="24"/>
            </w:rPr>
          </w:pPr>
          <w:r w:rsidRPr="00960E4D">
            <w:rPr>
              <w:rFonts w:ascii="Times New Roman" w:hAnsi="Times New Roman" w:cs="Times New Roman"/>
              <w:b/>
              <w:bCs/>
              <w:sz w:val="24"/>
              <w:szCs w:val="24"/>
            </w:rPr>
            <w:fldChar w:fldCharType="end"/>
          </w:r>
        </w:p>
      </w:sdtContent>
    </w:sdt>
    <w:p w:rsidR="004C7916" w:rsidRPr="00515FC7" w:rsidRDefault="004C7916" w:rsidP="004E2200">
      <w:pPr>
        <w:jc w:val="both"/>
        <w:rPr>
          <w:rFonts w:ascii="Times New Roman" w:hAnsi="Times New Roman" w:cs="Times New Roman"/>
          <w:b/>
          <w:sz w:val="48"/>
          <w:szCs w:val="24"/>
        </w:rPr>
      </w:pPr>
      <w:r w:rsidRPr="00515FC7">
        <w:rPr>
          <w:rFonts w:ascii="Times New Roman" w:hAnsi="Times New Roman" w:cs="Times New Roman"/>
          <w:b/>
          <w:sz w:val="48"/>
          <w:szCs w:val="24"/>
        </w:rPr>
        <w:br w:type="page"/>
      </w:r>
    </w:p>
    <w:p w:rsidR="00365422" w:rsidRPr="00515FC7" w:rsidRDefault="00365422" w:rsidP="004E2200">
      <w:pPr>
        <w:spacing w:before="120" w:after="0" w:line="360" w:lineRule="auto"/>
        <w:ind w:firstLine="709"/>
        <w:jc w:val="both"/>
        <w:rPr>
          <w:rFonts w:ascii="Times New Roman" w:hAnsi="Times New Roman" w:cs="Times New Roman"/>
          <w:b/>
          <w:sz w:val="48"/>
          <w:szCs w:val="24"/>
        </w:rPr>
      </w:pPr>
      <w:r w:rsidRPr="00515FC7">
        <w:rPr>
          <w:rFonts w:ascii="Times New Roman" w:hAnsi="Times New Roman" w:cs="Times New Roman"/>
          <w:b/>
          <w:sz w:val="48"/>
          <w:szCs w:val="24"/>
        </w:rPr>
        <w:lastRenderedPageBreak/>
        <w:t>Wprowadzenie</w:t>
      </w:r>
    </w:p>
    <w:p w:rsidR="009B2AE1" w:rsidRPr="00515FC7" w:rsidRDefault="009B2AE1" w:rsidP="00515FC7">
      <w:pPr>
        <w:pStyle w:val="Akapitzlist"/>
        <w:spacing w:after="0" w:line="360" w:lineRule="auto"/>
        <w:ind w:left="0" w:firstLine="709"/>
        <w:contextualSpacing w:val="0"/>
        <w:jc w:val="both"/>
        <w:rPr>
          <w:rFonts w:ascii="Times New Roman" w:hAnsi="Times New Roman" w:cs="Times New Roman"/>
          <w:sz w:val="24"/>
          <w:szCs w:val="24"/>
          <w:bdr w:val="none" w:sz="0" w:space="0" w:color="auto" w:frame="1"/>
        </w:rPr>
      </w:pPr>
      <w:r w:rsidRPr="00515FC7">
        <w:rPr>
          <w:rFonts w:ascii="Times New Roman" w:hAnsi="Times New Roman" w:cs="Times New Roman"/>
          <w:sz w:val="24"/>
          <w:szCs w:val="24"/>
          <w:bdr w:val="none" w:sz="0" w:space="0" w:color="auto" w:frame="1"/>
        </w:rPr>
        <w:t>Chociaż z formal</w:t>
      </w:r>
      <w:r w:rsidR="001F5B7F" w:rsidRPr="00515FC7">
        <w:rPr>
          <w:rFonts w:ascii="Times New Roman" w:hAnsi="Times New Roman" w:cs="Times New Roman"/>
          <w:sz w:val="24"/>
          <w:szCs w:val="24"/>
          <w:bdr w:val="none" w:sz="0" w:space="0" w:color="auto" w:frame="1"/>
        </w:rPr>
        <w:t>nego</w:t>
      </w:r>
      <w:r w:rsidRPr="00515FC7">
        <w:rPr>
          <w:rFonts w:ascii="Times New Roman" w:hAnsi="Times New Roman" w:cs="Times New Roman"/>
          <w:sz w:val="24"/>
          <w:szCs w:val="24"/>
          <w:bdr w:val="none" w:sz="0" w:space="0" w:color="auto" w:frame="1"/>
        </w:rPr>
        <w:t xml:space="preserve"> punktu widzenia </w:t>
      </w:r>
      <w:r w:rsidR="00522C20" w:rsidRPr="00515FC7">
        <w:rPr>
          <w:rFonts w:ascii="Times New Roman" w:hAnsi="Times New Roman" w:cs="Times New Roman"/>
          <w:sz w:val="24"/>
          <w:szCs w:val="24"/>
          <w:bdr w:val="none" w:sz="0" w:space="0" w:color="auto" w:frame="1"/>
        </w:rPr>
        <w:t xml:space="preserve">wyroki </w:t>
      </w:r>
      <w:r w:rsidR="000D230D" w:rsidRPr="00515FC7">
        <w:rPr>
          <w:rFonts w:ascii="Times New Roman" w:hAnsi="Times New Roman" w:cs="Times New Roman"/>
          <w:sz w:val="24"/>
          <w:szCs w:val="24"/>
          <w:bdr w:val="none" w:sz="0" w:space="0" w:color="auto" w:frame="1"/>
        </w:rPr>
        <w:t xml:space="preserve">Trybunału </w:t>
      </w:r>
      <w:r w:rsidR="00522C20" w:rsidRPr="00515FC7">
        <w:rPr>
          <w:rFonts w:ascii="Times New Roman" w:hAnsi="Times New Roman" w:cs="Times New Roman"/>
          <w:sz w:val="24"/>
          <w:szCs w:val="24"/>
          <w:bdr w:val="none" w:sz="0" w:space="0" w:color="auto" w:frame="1"/>
        </w:rPr>
        <w:t>w sprawach innych państw nie wiążą Polski, a p</w:t>
      </w:r>
      <w:r w:rsidR="001910D4" w:rsidRPr="00515FC7">
        <w:rPr>
          <w:rFonts w:ascii="Times New Roman" w:hAnsi="Times New Roman" w:cs="Times New Roman"/>
          <w:sz w:val="24"/>
          <w:szCs w:val="24"/>
          <w:bdr w:val="none" w:sz="0" w:space="0" w:color="auto" w:frame="1"/>
        </w:rPr>
        <w:t>rzyznanie wyrokom</w:t>
      </w:r>
      <w:r w:rsidR="00DA7701" w:rsidRPr="00515FC7">
        <w:rPr>
          <w:rFonts w:ascii="Times New Roman" w:hAnsi="Times New Roman" w:cs="Times New Roman"/>
          <w:sz w:val="24"/>
          <w:szCs w:val="24"/>
          <w:bdr w:val="none" w:sz="0" w:space="0" w:color="auto" w:frame="1"/>
        </w:rPr>
        <w:t xml:space="preserve"> </w:t>
      </w:r>
      <w:proofErr w:type="spellStart"/>
      <w:r w:rsidR="00DA7701" w:rsidRPr="00515FC7">
        <w:rPr>
          <w:rFonts w:ascii="Times New Roman" w:hAnsi="Times New Roman" w:cs="Times New Roman"/>
          <w:sz w:val="24"/>
          <w:szCs w:val="24"/>
          <w:bdr w:val="none" w:sz="0" w:space="0" w:color="auto" w:frame="1"/>
        </w:rPr>
        <w:t>EKPCz</w:t>
      </w:r>
      <w:proofErr w:type="spellEnd"/>
      <w:r w:rsidR="001910D4" w:rsidRPr="00515FC7">
        <w:rPr>
          <w:rFonts w:ascii="Times New Roman" w:hAnsi="Times New Roman" w:cs="Times New Roman"/>
          <w:sz w:val="24"/>
          <w:szCs w:val="24"/>
          <w:bdr w:val="none" w:sz="0" w:space="0" w:color="auto" w:frame="1"/>
        </w:rPr>
        <w:t xml:space="preserve"> mocy precedensów interpretacyjnych </w:t>
      </w:r>
      <w:r w:rsidRPr="00515FC7">
        <w:rPr>
          <w:rFonts w:ascii="Times New Roman" w:hAnsi="Times New Roman" w:cs="Times New Roman"/>
          <w:sz w:val="24"/>
          <w:szCs w:val="24"/>
          <w:bdr w:val="none" w:sz="0" w:space="0" w:color="auto" w:frame="1"/>
        </w:rPr>
        <w:t>jest dopiero postulowane</w:t>
      </w:r>
      <w:r w:rsidR="001910D4" w:rsidRPr="00515FC7">
        <w:rPr>
          <w:rFonts w:ascii="Times New Roman" w:hAnsi="Times New Roman" w:cs="Times New Roman"/>
          <w:sz w:val="24"/>
          <w:szCs w:val="24"/>
          <w:bdr w:val="none" w:sz="0" w:space="0" w:color="auto" w:frame="1"/>
        </w:rPr>
        <w:t xml:space="preserve">, </w:t>
      </w:r>
      <w:r w:rsidRPr="00515FC7">
        <w:rPr>
          <w:rFonts w:ascii="Times New Roman" w:hAnsi="Times New Roman" w:cs="Times New Roman"/>
          <w:sz w:val="24"/>
          <w:szCs w:val="24"/>
          <w:bdr w:val="none" w:sz="0" w:space="0" w:color="auto" w:frame="1"/>
        </w:rPr>
        <w:t xml:space="preserve">to </w:t>
      </w:r>
      <w:r w:rsidR="001910D4" w:rsidRPr="00515FC7">
        <w:rPr>
          <w:rFonts w:ascii="Times New Roman" w:hAnsi="Times New Roman" w:cs="Times New Roman"/>
          <w:sz w:val="24"/>
          <w:szCs w:val="24"/>
          <w:bdr w:val="none" w:sz="0" w:space="0" w:color="auto" w:frame="1"/>
        </w:rPr>
        <w:t xml:space="preserve">już </w:t>
      </w:r>
      <w:r w:rsidR="000A67D2" w:rsidRPr="00515FC7">
        <w:rPr>
          <w:rFonts w:ascii="Times New Roman" w:hAnsi="Times New Roman" w:cs="Times New Roman"/>
          <w:sz w:val="24"/>
          <w:szCs w:val="24"/>
          <w:bdr w:val="none" w:sz="0" w:space="0" w:color="auto" w:frame="1"/>
        </w:rPr>
        <w:t xml:space="preserve">teraz widać </w:t>
      </w:r>
      <w:r w:rsidR="001910D4" w:rsidRPr="00515FC7">
        <w:rPr>
          <w:rFonts w:ascii="Times New Roman" w:hAnsi="Times New Roman" w:cs="Times New Roman"/>
          <w:sz w:val="24"/>
          <w:szCs w:val="24"/>
          <w:bdr w:val="none" w:sz="0" w:space="0" w:color="auto" w:frame="1"/>
        </w:rPr>
        <w:t>oddziaływanie rozstrzygnięć na sposób interpretacji prawa oraz na kształtowanie standardów konwencyjnych.</w:t>
      </w:r>
    </w:p>
    <w:p w:rsidR="00DD5B05" w:rsidRPr="00515FC7" w:rsidRDefault="009B2AE1" w:rsidP="00515FC7">
      <w:pPr>
        <w:pStyle w:val="Akapitzlist"/>
        <w:spacing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N</w:t>
      </w:r>
      <w:r w:rsidR="00F640FD" w:rsidRPr="00515FC7">
        <w:rPr>
          <w:rFonts w:ascii="Times New Roman" w:hAnsi="Times New Roman" w:cs="Times New Roman"/>
          <w:sz w:val="24"/>
          <w:szCs w:val="24"/>
        </w:rPr>
        <w:t xml:space="preserve">iemal wszystkie orzeczenia na szczeblu Wielkiej Izby, a także najważniejsze orzeczenia „izbowe” zawierają ustalenia nowe i rozwijają dotychczasowe linie orzecznictwa. </w:t>
      </w:r>
    </w:p>
    <w:p w:rsidR="000D230D" w:rsidRPr="00515FC7" w:rsidRDefault="00AD6F44" w:rsidP="00515FC7">
      <w:pPr>
        <w:pStyle w:val="Akapitzlist"/>
        <w:spacing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S</w:t>
      </w:r>
      <w:r w:rsidRPr="00515FC7">
        <w:rPr>
          <w:rFonts w:ascii="Times New Roman" w:hAnsi="Times New Roman" w:cs="Times New Roman"/>
          <w:sz w:val="24"/>
          <w:szCs w:val="24"/>
          <w:bdr w:val="none" w:sz="0" w:space="0" w:color="auto" w:frame="1"/>
        </w:rPr>
        <w:t xml:space="preserve">am </w:t>
      </w:r>
      <w:r w:rsidR="004E2200" w:rsidRPr="00515FC7">
        <w:rPr>
          <w:rFonts w:ascii="Times New Roman" w:hAnsi="Times New Roman" w:cs="Times New Roman"/>
          <w:sz w:val="24"/>
          <w:szCs w:val="24"/>
          <w:bdr w:val="none" w:sz="0" w:space="0" w:color="auto" w:frame="1"/>
        </w:rPr>
        <w:t xml:space="preserve">Europejski </w:t>
      </w:r>
      <w:r w:rsidRPr="00515FC7">
        <w:rPr>
          <w:rFonts w:ascii="Times New Roman" w:hAnsi="Times New Roman" w:cs="Times New Roman"/>
          <w:sz w:val="24"/>
          <w:szCs w:val="24"/>
          <w:bdr w:val="none" w:sz="0" w:space="0" w:color="auto" w:frame="1"/>
        </w:rPr>
        <w:t xml:space="preserve">Trybunał </w:t>
      </w:r>
      <w:r w:rsidR="004E2200" w:rsidRPr="00515FC7">
        <w:rPr>
          <w:rFonts w:ascii="Times New Roman" w:hAnsi="Times New Roman" w:cs="Times New Roman"/>
          <w:sz w:val="24"/>
          <w:szCs w:val="24"/>
          <w:bdr w:val="none" w:sz="0" w:space="0" w:color="auto" w:frame="1"/>
        </w:rPr>
        <w:t xml:space="preserve">Praw Człowieka w Strasburgu </w:t>
      </w:r>
      <w:r w:rsidRPr="00515FC7">
        <w:rPr>
          <w:rFonts w:ascii="Times New Roman" w:hAnsi="Times New Roman" w:cs="Times New Roman"/>
          <w:sz w:val="24"/>
          <w:szCs w:val="24"/>
          <w:bdr w:val="none" w:sz="0" w:space="0" w:color="auto" w:frame="1"/>
        </w:rPr>
        <w:t xml:space="preserve">odwołuje się do swoich wcześniejszych orzeczeń, a zatem </w:t>
      </w:r>
      <w:r w:rsidRPr="00515FC7">
        <w:rPr>
          <w:rFonts w:ascii="Times New Roman" w:hAnsi="Times New Roman" w:cs="Times New Roman"/>
          <w:sz w:val="24"/>
          <w:szCs w:val="24"/>
        </w:rPr>
        <w:t xml:space="preserve">posługuje się precedensami </w:t>
      </w:r>
      <w:r w:rsidRPr="00515FC7">
        <w:rPr>
          <w:rFonts w:ascii="Times New Roman" w:hAnsi="Times New Roman" w:cs="Times New Roman"/>
          <w:i/>
          <w:sz w:val="24"/>
          <w:szCs w:val="24"/>
        </w:rPr>
        <w:t>de facto</w:t>
      </w:r>
      <w:r w:rsidRPr="00515FC7">
        <w:rPr>
          <w:rFonts w:ascii="Times New Roman" w:hAnsi="Times New Roman" w:cs="Times New Roman"/>
          <w:sz w:val="24"/>
          <w:szCs w:val="24"/>
        </w:rPr>
        <w:t xml:space="preserve"> w uzasadnieniach orzeczeń. </w:t>
      </w:r>
      <w:r w:rsidR="00DD5B05" w:rsidRPr="00515FC7">
        <w:rPr>
          <w:rFonts w:ascii="Times New Roman" w:hAnsi="Times New Roman" w:cs="Times New Roman"/>
          <w:sz w:val="24"/>
          <w:szCs w:val="24"/>
        </w:rPr>
        <w:t xml:space="preserve">Można więc </w:t>
      </w:r>
      <w:r w:rsidRPr="00515FC7">
        <w:rPr>
          <w:rFonts w:ascii="Times New Roman" w:hAnsi="Times New Roman" w:cs="Times New Roman"/>
          <w:sz w:val="24"/>
          <w:szCs w:val="24"/>
        </w:rPr>
        <w:t>uznać, że orzeczenia</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zyskują szersze znaczenie. </w:t>
      </w:r>
      <w:r w:rsidR="00F640FD" w:rsidRPr="00515FC7">
        <w:rPr>
          <w:rFonts w:ascii="Times New Roman" w:hAnsi="Times New Roman" w:cs="Times New Roman"/>
          <w:sz w:val="24"/>
          <w:szCs w:val="24"/>
        </w:rPr>
        <w:t xml:space="preserve">Z jednej strony wyznaczają kierunek dalszego orzecznictwa </w:t>
      </w:r>
      <w:r w:rsidR="00DD5B05" w:rsidRPr="00515FC7">
        <w:rPr>
          <w:rFonts w:ascii="Times New Roman" w:hAnsi="Times New Roman" w:cs="Times New Roman"/>
          <w:sz w:val="24"/>
          <w:szCs w:val="24"/>
        </w:rPr>
        <w:t>Trybunału</w:t>
      </w:r>
      <w:r w:rsidR="00F640FD" w:rsidRPr="00515FC7">
        <w:rPr>
          <w:rFonts w:ascii="Times New Roman" w:hAnsi="Times New Roman" w:cs="Times New Roman"/>
          <w:sz w:val="24"/>
          <w:szCs w:val="24"/>
        </w:rPr>
        <w:t>, a z drugiej strony</w:t>
      </w:r>
      <w:r w:rsidR="00DD5B05" w:rsidRPr="00515FC7">
        <w:rPr>
          <w:rFonts w:ascii="Times New Roman" w:hAnsi="Times New Roman" w:cs="Times New Roman"/>
          <w:sz w:val="24"/>
          <w:szCs w:val="24"/>
        </w:rPr>
        <w:t xml:space="preserve"> -</w:t>
      </w:r>
      <w:r w:rsidR="00F640FD" w:rsidRPr="00515FC7">
        <w:rPr>
          <w:rFonts w:ascii="Times New Roman" w:hAnsi="Times New Roman" w:cs="Times New Roman"/>
          <w:sz w:val="24"/>
          <w:szCs w:val="24"/>
        </w:rPr>
        <w:t xml:space="preserve"> wskazują państwom członkowskim aktualny sposób rozumienia przez Trybunał zarówno treści Konwencji, jak i szczegółowych konsekwencji (standardów) z tych treści wynikających. </w:t>
      </w:r>
    </w:p>
    <w:p w:rsidR="000D230D" w:rsidRPr="00515FC7" w:rsidRDefault="00F640FD" w:rsidP="00515FC7">
      <w:pPr>
        <w:pStyle w:val="Akapitzlist"/>
        <w:spacing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Wynikają z tego dwojakie konsekwencje: </w:t>
      </w:r>
    </w:p>
    <w:p w:rsidR="000D230D" w:rsidRPr="00515FC7" w:rsidRDefault="00F640FD" w:rsidP="00515FC7">
      <w:pPr>
        <w:pStyle w:val="Akapitzlist"/>
        <w:spacing w:after="0" w:line="360" w:lineRule="auto"/>
        <w:ind w:left="0"/>
        <w:contextualSpacing w:val="0"/>
        <w:jc w:val="both"/>
        <w:rPr>
          <w:rFonts w:ascii="Times New Roman" w:hAnsi="Times New Roman" w:cs="Times New Roman"/>
          <w:sz w:val="24"/>
          <w:szCs w:val="24"/>
        </w:rPr>
      </w:pPr>
      <w:r w:rsidRPr="00515FC7">
        <w:rPr>
          <w:rFonts w:ascii="Times New Roman" w:hAnsi="Times New Roman" w:cs="Times New Roman"/>
          <w:b/>
          <w:sz w:val="24"/>
          <w:szCs w:val="24"/>
        </w:rPr>
        <w:t>po pierwsze,</w:t>
      </w:r>
      <w:r w:rsidRPr="00515FC7">
        <w:rPr>
          <w:rFonts w:ascii="Times New Roman" w:hAnsi="Times New Roman" w:cs="Times New Roman"/>
          <w:sz w:val="24"/>
          <w:szCs w:val="24"/>
        </w:rPr>
        <w:t xml:space="preserve"> pojawia się obowiązek władz krajowych do </w:t>
      </w:r>
      <w:r w:rsidR="00960E4D">
        <w:rPr>
          <w:rFonts w:ascii="Times New Roman" w:hAnsi="Times New Roman" w:cs="Times New Roman"/>
          <w:sz w:val="24"/>
          <w:szCs w:val="24"/>
        </w:rPr>
        <w:t>uwzględniania tych standardów w </w:t>
      </w:r>
      <w:r w:rsidRPr="00515FC7">
        <w:rPr>
          <w:rFonts w:ascii="Times New Roman" w:hAnsi="Times New Roman" w:cs="Times New Roman"/>
          <w:sz w:val="24"/>
          <w:szCs w:val="24"/>
        </w:rPr>
        <w:t xml:space="preserve">podejmowanych decyzjach politycznych, ustawodawczych, czy rozstrzygnięciach orzeczniczych. </w:t>
      </w:r>
    </w:p>
    <w:p w:rsidR="009B2AE1" w:rsidRPr="00515FC7" w:rsidRDefault="000D230D" w:rsidP="00515FC7">
      <w:pPr>
        <w:pStyle w:val="Akapitzlist"/>
        <w:spacing w:after="0" w:line="360" w:lineRule="auto"/>
        <w:ind w:left="0"/>
        <w:contextualSpacing w:val="0"/>
        <w:jc w:val="both"/>
        <w:rPr>
          <w:rFonts w:ascii="Times New Roman" w:hAnsi="Times New Roman" w:cs="Times New Roman"/>
          <w:sz w:val="24"/>
          <w:szCs w:val="24"/>
        </w:rPr>
      </w:pPr>
      <w:r w:rsidRPr="00515FC7">
        <w:rPr>
          <w:rFonts w:ascii="Times New Roman" w:hAnsi="Times New Roman" w:cs="Times New Roman"/>
          <w:b/>
          <w:sz w:val="24"/>
          <w:szCs w:val="24"/>
        </w:rPr>
        <w:t>p</w:t>
      </w:r>
      <w:r w:rsidR="00F640FD" w:rsidRPr="00515FC7">
        <w:rPr>
          <w:rFonts w:ascii="Times New Roman" w:hAnsi="Times New Roman" w:cs="Times New Roman"/>
          <w:b/>
          <w:sz w:val="24"/>
          <w:szCs w:val="24"/>
        </w:rPr>
        <w:t>o drugie</w:t>
      </w:r>
      <w:r w:rsidR="00F640FD" w:rsidRPr="00515FC7">
        <w:rPr>
          <w:rFonts w:ascii="Times New Roman" w:hAnsi="Times New Roman" w:cs="Times New Roman"/>
          <w:sz w:val="24"/>
          <w:szCs w:val="24"/>
        </w:rPr>
        <w:t>, działania i rozstrzygnięcia organów krajowych, pozostające w sprzeczności z</w:t>
      </w:r>
      <w:r w:rsidR="004E2200" w:rsidRPr="00515FC7">
        <w:rPr>
          <w:rFonts w:ascii="Times New Roman" w:hAnsi="Times New Roman" w:cs="Times New Roman"/>
          <w:sz w:val="24"/>
          <w:szCs w:val="24"/>
        </w:rPr>
        <w:t> </w:t>
      </w:r>
      <w:r w:rsidR="00F640FD" w:rsidRPr="00515FC7">
        <w:rPr>
          <w:rFonts w:ascii="Times New Roman" w:hAnsi="Times New Roman" w:cs="Times New Roman"/>
          <w:sz w:val="24"/>
          <w:szCs w:val="24"/>
        </w:rPr>
        <w:t>tymi standardami, zostaną przez</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00F640FD" w:rsidRPr="00515FC7">
        <w:rPr>
          <w:rFonts w:ascii="Times New Roman" w:hAnsi="Times New Roman" w:cs="Times New Roman"/>
          <w:sz w:val="24"/>
          <w:szCs w:val="24"/>
        </w:rPr>
        <w:t xml:space="preserve"> uznane za naruszenie Konwencji, jeżeli skarga w</w:t>
      </w:r>
      <w:r w:rsidR="004E2200" w:rsidRPr="00515FC7">
        <w:rPr>
          <w:rFonts w:ascii="Times New Roman" w:hAnsi="Times New Roman" w:cs="Times New Roman"/>
          <w:sz w:val="24"/>
          <w:szCs w:val="24"/>
        </w:rPr>
        <w:t> </w:t>
      </w:r>
      <w:r w:rsidR="00F640FD" w:rsidRPr="00515FC7">
        <w:rPr>
          <w:rFonts w:ascii="Times New Roman" w:hAnsi="Times New Roman" w:cs="Times New Roman"/>
          <w:sz w:val="24"/>
          <w:szCs w:val="24"/>
        </w:rPr>
        <w:t>tym zakresie zo</w:t>
      </w:r>
      <w:r w:rsidR="009B2AE1" w:rsidRPr="00515FC7">
        <w:rPr>
          <w:rFonts w:ascii="Times New Roman" w:hAnsi="Times New Roman" w:cs="Times New Roman"/>
          <w:sz w:val="24"/>
          <w:szCs w:val="24"/>
        </w:rPr>
        <w:t>stanie skierowana do Strasburga.</w:t>
      </w:r>
    </w:p>
    <w:p w:rsidR="00DD5B05" w:rsidRPr="00515FC7" w:rsidRDefault="00DA7701" w:rsidP="00515FC7">
      <w:pPr>
        <w:pStyle w:val="Akapitzlist"/>
        <w:spacing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 </w:t>
      </w:r>
      <w:proofErr w:type="spellStart"/>
      <w:r w:rsidRPr="00515FC7">
        <w:rPr>
          <w:rFonts w:ascii="Times New Roman" w:hAnsi="Times New Roman" w:cs="Times New Roman"/>
          <w:sz w:val="24"/>
          <w:szCs w:val="24"/>
        </w:rPr>
        <w:t>EKPCz</w:t>
      </w:r>
      <w:proofErr w:type="spellEnd"/>
      <w:r w:rsidR="00AD6F44" w:rsidRPr="00515FC7">
        <w:rPr>
          <w:rFonts w:ascii="Times New Roman" w:hAnsi="Times New Roman" w:cs="Times New Roman"/>
          <w:sz w:val="24"/>
          <w:szCs w:val="24"/>
        </w:rPr>
        <w:t xml:space="preserve"> </w:t>
      </w:r>
      <w:r w:rsidR="001910D4" w:rsidRPr="00515FC7">
        <w:rPr>
          <w:rFonts w:ascii="Times New Roman" w:hAnsi="Times New Roman" w:cs="Times New Roman"/>
          <w:sz w:val="24"/>
          <w:szCs w:val="24"/>
        </w:rPr>
        <w:t>nabrał w znacznym stopniu charakteru „europejskiego sądu konstytucyjnego”, co oznacza, że podstawową treścią jego działalności stało się nie tylko rozstrzyganie spraw indywidualnych, ale też ustalanie stan</w:t>
      </w:r>
      <w:r w:rsidR="00960E4D">
        <w:rPr>
          <w:rFonts w:ascii="Times New Roman" w:hAnsi="Times New Roman" w:cs="Times New Roman"/>
          <w:sz w:val="24"/>
          <w:szCs w:val="24"/>
        </w:rPr>
        <w:t>dardów ochrony praw człowieka o </w:t>
      </w:r>
      <w:r w:rsidR="001910D4" w:rsidRPr="00515FC7">
        <w:rPr>
          <w:rFonts w:ascii="Times New Roman" w:hAnsi="Times New Roman" w:cs="Times New Roman"/>
          <w:sz w:val="24"/>
          <w:szCs w:val="24"/>
        </w:rPr>
        <w:t xml:space="preserve">powszechnie stosowalnym charakterze. </w:t>
      </w:r>
    </w:p>
    <w:p w:rsidR="004C7916" w:rsidRPr="00515FC7" w:rsidRDefault="00926F13" w:rsidP="00515FC7">
      <w:pPr>
        <w:pStyle w:val="Akapitzlist"/>
        <w:spacing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Stąd też organy krajowe, w tym RPO, powinien odwoływać się do orzecznictwa</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w prowadzonych sprawach, wskazując na</w:t>
      </w:r>
      <w:r w:rsidR="004E2200" w:rsidRPr="00515FC7">
        <w:rPr>
          <w:rFonts w:ascii="Times New Roman" w:hAnsi="Times New Roman" w:cs="Times New Roman"/>
          <w:sz w:val="24"/>
          <w:szCs w:val="24"/>
        </w:rPr>
        <w:t> </w:t>
      </w:r>
      <w:r w:rsidR="00960E4D">
        <w:rPr>
          <w:rFonts w:ascii="Times New Roman" w:hAnsi="Times New Roman" w:cs="Times New Roman"/>
          <w:sz w:val="24"/>
          <w:szCs w:val="24"/>
        </w:rPr>
        <w:t>pojmowanie praw wynikających z </w:t>
      </w:r>
      <w:r w:rsidRPr="00515FC7">
        <w:rPr>
          <w:rFonts w:ascii="Times New Roman" w:hAnsi="Times New Roman" w:cs="Times New Roman"/>
          <w:sz w:val="24"/>
          <w:szCs w:val="24"/>
        </w:rPr>
        <w:t xml:space="preserve">Konwencji i ich interpretację dokonywaną przez Trybunał. </w:t>
      </w:r>
    </w:p>
    <w:p w:rsidR="00926F13" w:rsidRPr="00515FC7" w:rsidRDefault="00926F13" w:rsidP="00515FC7">
      <w:pPr>
        <w:pStyle w:val="Akapitzlist"/>
        <w:spacing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Nawet w dorocznym raporcie z wykonywania wyroków</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przez Polskę przygotowywanym przez MSZ jest osobny załącznik, poświęcony istotnym wyrokom</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w sprawach dotyczących innych państw, które jednak mogą mieć znaczenie interpretacyjne przy stosowaniu prawa w Polsce. </w:t>
      </w:r>
    </w:p>
    <w:p w:rsidR="00535DCD" w:rsidRPr="00515FC7" w:rsidRDefault="00535DCD" w:rsidP="004E2200">
      <w:pPr>
        <w:jc w:val="both"/>
        <w:rPr>
          <w:rFonts w:ascii="Times New Roman" w:hAnsi="Times New Roman" w:cs="Times New Roman"/>
          <w:sz w:val="24"/>
          <w:szCs w:val="24"/>
        </w:rPr>
      </w:pPr>
      <w:r w:rsidRPr="00515FC7">
        <w:rPr>
          <w:rFonts w:ascii="Times New Roman" w:hAnsi="Times New Roman" w:cs="Times New Roman"/>
          <w:sz w:val="24"/>
          <w:szCs w:val="24"/>
        </w:rPr>
        <w:br w:type="page"/>
      </w:r>
    </w:p>
    <w:p w:rsidR="005609DB" w:rsidRDefault="005609DB" w:rsidP="004E2200">
      <w:pPr>
        <w:pStyle w:val="Nagwek1"/>
        <w:spacing w:before="120" w:line="240" w:lineRule="auto"/>
        <w:jc w:val="both"/>
        <w:rPr>
          <w:rFonts w:ascii="Times New Roman" w:hAnsi="Times New Roman" w:cs="Times New Roman"/>
          <w:color w:val="auto"/>
          <w:sz w:val="40"/>
        </w:rPr>
      </w:pPr>
      <w:bookmarkStart w:id="1" w:name="_Toc504117606"/>
      <w:r w:rsidRPr="00515FC7">
        <w:rPr>
          <w:rFonts w:ascii="Times New Roman" w:hAnsi="Times New Roman" w:cs="Times New Roman"/>
          <w:color w:val="auto"/>
          <w:sz w:val="40"/>
        </w:rPr>
        <w:lastRenderedPageBreak/>
        <w:t>Przykłady post</w:t>
      </w:r>
      <w:r w:rsidR="004E2200" w:rsidRPr="00515FC7">
        <w:rPr>
          <w:rFonts w:ascii="Times New Roman" w:hAnsi="Times New Roman" w:cs="Times New Roman"/>
          <w:color w:val="auto"/>
          <w:sz w:val="40"/>
        </w:rPr>
        <w:t>ę</w:t>
      </w:r>
      <w:r w:rsidRPr="00515FC7">
        <w:rPr>
          <w:rFonts w:ascii="Times New Roman" w:hAnsi="Times New Roman" w:cs="Times New Roman"/>
          <w:color w:val="auto"/>
          <w:sz w:val="40"/>
        </w:rPr>
        <w:t>powań sądowych z udzia</w:t>
      </w:r>
      <w:r w:rsidR="00960E4D">
        <w:rPr>
          <w:rFonts w:ascii="Times New Roman" w:hAnsi="Times New Roman" w:cs="Times New Roman"/>
          <w:color w:val="auto"/>
          <w:sz w:val="40"/>
        </w:rPr>
        <w:t>łem RPO, w </w:t>
      </w:r>
      <w:r w:rsidRPr="00515FC7">
        <w:rPr>
          <w:rFonts w:ascii="Times New Roman" w:hAnsi="Times New Roman" w:cs="Times New Roman"/>
          <w:color w:val="auto"/>
          <w:sz w:val="40"/>
        </w:rPr>
        <w:t>których RPO powołuje się na</w:t>
      </w:r>
      <w:r w:rsidR="004E2200" w:rsidRPr="00515FC7">
        <w:rPr>
          <w:rFonts w:ascii="Times New Roman" w:hAnsi="Times New Roman" w:cs="Times New Roman"/>
          <w:color w:val="auto"/>
          <w:sz w:val="40"/>
        </w:rPr>
        <w:t> </w:t>
      </w:r>
      <w:r w:rsidRPr="00515FC7">
        <w:rPr>
          <w:rFonts w:ascii="Times New Roman" w:hAnsi="Times New Roman" w:cs="Times New Roman"/>
          <w:color w:val="auto"/>
          <w:sz w:val="40"/>
        </w:rPr>
        <w:t>orzecznictwo</w:t>
      </w:r>
      <w:r w:rsidR="00DA7701" w:rsidRPr="00515FC7">
        <w:rPr>
          <w:rFonts w:ascii="Times New Roman" w:hAnsi="Times New Roman" w:cs="Times New Roman"/>
          <w:color w:val="auto"/>
          <w:sz w:val="40"/>
        </w:rPr>
        <w:t xml:space="preserve"> </w:t>
      </w:r>
      <w:proofErr w:type="spellStart"/>
      <w:r w:rsidR="00DA7701" w:rsidRPr="00515FC7">
        <w:rPr>
          <w:rFonts w:ascii="Times New Roman" w:hAnsi="Times New Roman" w:cs="Times New Roman"/>
          <w:color w:val="auto"/>
          <w:sz w:val="40"/>
        </w:rPr>
        <w:t>EKPCz</w:t>
      </w:r>
      <w:bookmarkEnd w:id="1"/>
      <w:proofErr w:type="spellEnd"/>
    </w:p>
    <w:p w:rsidR="000125E8" w:rsidRPr="000125E8" w:rsidRDefault="000125E8" w:rsidP="000125E8"/>
    <w:p w:rsidR="001C675E" w:rsidRPr="00515FC7" w:rsidRDefault="001C675E" w:rsidP="004E2200">
      <w:pPr>
        <w:pStyle w:val="Nagwek2"/>
        <w:numPr>
          <w:ilvl w:val="0"/>
          <w:numId w:val="18"/>
        </w:numPr>
        <w:spacing w:before="120" w:line="360" w:lineRule="auto"/>
        <w:jc w:val="both"/>
        <w:rPr>
          <w:rFonts w:ascii="Times New Roman" w:hAnsi="Times New Roman" w:cs="Times New Roman"/>
        </w:rPr>
      </w:pPr>
      <w:bookmarkStart w:id="2" w:name="_Toc504117607"/>
      <w:r w:rsidRPr="00515FC7">
        <w:rPr>
          <w:rFonts w:ascii="Times New Roman" w:hAnsi="Times New Roman" w:cs="Times New Roman"/>
        </w:rPr>
        <w:t xml:space="preserve">Czy prawo do prywatności </w:t>
      </w:r>
      <w:r w:rsidR="004F506D" w:rsidRPr="00515FC7">
        <w:rPr>
          <w:rFonts w:ascii="Times New Roman" w:hAnsi="Times New Roman" w:cs="Times New Roman"/>
        </w:rPr>
        <w:t xml:space="preserve">jest </w:t>
      </w:r>
      <w:r w:rsidRPr="00515FC7">
        <w:rPr>
          <w:rFonts w:ascii="Times New Roman" w:hAnsi="Times New Roman" w:cs="Times New Roman"/>
        </w:rPr>
        <w:t>narusz</w:t>
      </w:r>
      <w:r w:rsidR="004F506D" w:rsidRPr="00515FC7">
        <w:rPr>
          <w:rFonts w:ascii="Times New Roman" w:hAnsi="Times New Roman" w:cs="Times New Roman"/>
        </w:rPr>
        <w:t xml:space="preserve">one przez </w:t>
      </w:r>
      <w:r w:rsidRPr="00515FC7">
        <w:rPr>
          <w:rFonts w:ascii="Times New Roman" w:hAnsi="Times New Roman" w:cs="Times New Roman"/>
        </w:rPr>
        <w:t xml:space="preserve">opublikowanie w mediach danych powoda, gdy nie było na to zgody organu </w:t>
      </w:r>
      <w:r w:rsidR="004F506D" w:rsidRPr="00515FC7">
        <w:rPr>
          <w:rFonts w:ascii="Times New Roman" w:hAnsi="Times New Roman" w:cs="Times New Roman"/>
        </w:rPr>
        <w:t>prokuratora</w:t>
      </w:r>
      <w:r w:rsidRPr="00515FC7">
        <w:rPr>
          <w:rFonts w:ascii="Times New Roman" w:hAnsi="Times New Roman" w:cs="Times New Roman"/>
        </w:rPr>
        <w:t>, ale dane te są znane z</w:t>
      </w:r>
      <w:r w:rsidR="004E2200" w:rsidRPr="00515FC7">
        <w:rPr>
          <w:rFonts w:ascii="Times New Roman" w:hAnsi="Times New Roman" w:cs="Times New Roman"/>
        </w:rPr>
        <w:t> </w:t>
      </w:r>
      <w:r w:rsidRPr="00515FC7">
        <w:rPr>
          <w:rFonts w:ascii="Times New Roman" w:hAnsi="Times New Roman" w:cs="Times New Roman"/>
        </w:rPr>
        <w:t>wcześniejszych</w:t>
      </w:r>
      <w:r w:rsidR="004F506D" w:rsidRPr="00515FC7">
        <w:rPr>
          <w:rFonts w:ascii="Times New Roman" w:hAnsi="Times New Roman" w:cs="Times New Roman"/>
        </w:rPr>
        <w:t xml:space="preserve">, także z wypowiedzi w mediach </w:t>
      </w:r>
      <w:r w:rsidRPr="00515FC7">
        <w:rPr>
          <w:rFonts w:ascii="Times New Roman" w:hAnsi="Times New Roman" w:cs="Times New Roman"/>
        </w:rPr>
        <w:t xml:space="preserve">osób publicznych, </w:t>
      </w:r>
      <w:r w:rsidR="00960E4D">
        <w:rPr>
          <w:rFonts w:ascii="Times New Roman" w:hAnsi="Times New Roman" w:cs="Times New Roman"/>
        </w:rPr>
        <w:t>w </w:t>
      </w:r>
      <w:r w:rsidRPr="00515FC7">
        <w:rPr>
          <w:rFonts w:ascii="Times New Roman" w:hAnsi="Times New Roman" w:cs="Times New Roman"/>
        </w:rPr>
        <w:t>których komentowano działalność powoda? Czy publikacje te nie stanowią realizacji konstytucyjnej wolności wypowiedzi?</w:t>
      </w:r>
      <w:bookmarkEnd w:id="2"/>
    </w:p>
    <w:p w:rsidR="000C7231" w:rsidRPr="00515FC7" w:rsidRDefault="005609DB"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RPO </w:t>
      </w:r>
      <w:r w:rsidR="009B2AE1" w:rsidRPr="00515FC7">
        <w:rPr>
          <w:rFonts w:ascii="Times New Roman" w:hAnsi="Times New Roman" w:cs="Times New Roman"/>
          <w:bCs/>
          <w:sz w:val="24"/>
          <w:szCs w:val="24"/>
        </w:rPr>
        <w:t xml:space="preserve">przystąpił </w:t>
      </w:r>
      <w:r w:rsidRPr="00515FC7">
        <w:rPr>
          <w:rFonts w:ascii="Times New Roman" w:hAnsi="Times New Roman" w:cs="Times New Roman"/>
          <w:bCs/>
          <w:sz w:val="24"/>
          <w:szCs w:val="24"/>
        </w:rPr>
        <w:t>do</w:t>
      </w:r>
      <w:r w:rsidR="00F44783" w:rsidRPr="00515FC7">
        <w:rPr>
          <w:rFonts w:ascii="Times New Roman" w:hAnsi="Times New Roman" w:cs="Times New Roman"/>
          <w:bCs/>
          <w:sz w:val="24"/>
          <w:szCs w:val="24"/>
        </w:rPr>
        <w:t xml:space="preserve"> postępowania przed Trybunałem Konstytucyjnym wszczętego</w:t>
      </w:r>
      <w:r w:rsidRPr="00515FC7">
        <w:rPr>
          <w:rFonts w:ascii="Times New Roman" w:hAnsi="Times New Roman" w:cs="Times New Roman"/>
          <w:bCs/>
          <w:sz w:val="24"/>
          <w:szCs w:val="24"/>
        </w:rPr>
        <w:t xml:space="preserve"> pytani</w:t>
      </w:r>
      <w:r w:rsidR="00F44783" w:rsidRPr="00515FC7">
        <w:rPr>
          <w:rFonts w:ascii="Times New Roman" w:hAnsi="Times New Roman" w:cs="Times New Roman"/>
          <w:bCs/>
          <w:sz w:val="24"/>
          <w:szCs w:val="24"/>
        </w:rPr>
        <w:t>em</w:t>
      </w:r>
      <w:r w:rsidRPr="00515FC7">
        <w:rPr>
          <w:rFonts w:ascii="Times New Roman" w:hAnsi="Times New Roman" w:cs="Times New Roman"/>
          <w:bCs/>
          <w:sz w:val="24"/>
          <w:szCs w:val="24"/>
        </w:rPr>
        <w:t xml:space="preserve"> prawn</w:t>
      </w:r>
      <w:r w:rsidR="00F44783" w:rsidRPr="00515FC7">
        <w:rPr>
          <w:rFonts w:ascii="Times New Roman" w:hAnsi="Times New Roman" w:cs="Times New Roman"/>
          <w:bCs/>
          <w:sz w:val="24"/>
          <w:szCs w:val="24"/>
        </w:rPr>
        <w:t>ym</w:t>
      </w:r>
      <w:r w:rsidRPr="00515FC7">
        <w:rPr>
          <w:rFonts w:ascii="Times New Roman" w:hAnsi="Times New Roman" w:cs="Times New Roman"/>
          <w:bCs/>
          <w:sz w:val="24"/>
          <w:szCs w:val="24"/>
        </w:rPr>
        <w:t xml:space="preserve"> skierowan</w:t>
      </w:r>
      <w:r w:rsidR="00F44783" w:rsidRPr="00515FC7">
        <w:rPr>
          <w:rFonts w:ascii="Times New Roman" w:hAnsi="Times New Roman" w:cs="Times New Roman"/>
          <w:bCs/>
          <w:sz w:val="24"/>
          <w:szCs w:val="24"/>
        </w:rPr>
        <w:t>ym</w:t>
      </w:r>
      <w:r w:rsidRPr="00515FC7">
        <w:rPr>
          <w:rFonts w:ascii="Times New Roman" w:hAnsi="Times New Roman" w:cs="Times New Roman"/>
          <w:bCs/>
          <w:sz w:val="24"/>
          <w:szCs w:val="24"/>
        </w:rPr>
        <w:t xml:space="preserve"> przez Sąd Apelacyjny w Warszawie do TK, a dotyczącego </w:t>
      </w:r>
      <w:r w:rsidRPr="00515FC7">
        <w:rPr>
          <w:rFonts w:ascii="Times New Roman" w:hAnsi="Times New Roman" w:cs="Times New Roman"/>
          <w:b/>
          <w:bCs/>
          <w:sz w:val="24"/>
          <w:szCs w:val="24"/>
        </w:rPr>
        <w:t>zgodności art. 13 ust. 2 w związku z art. 13 ust. 3 ustawy Prawo prasowe z art. 54 ust. 1 Konstytucji RP.</w:t>
      </w:r>
      <w:r w:rsidRPr="00515FC7">
        <w:rPr>
          <w:rFonts w:ascii="Times New Roman" w:hAnsi="Times New Roman" w:cs="Times New Roman"/>
          <w:bCs/>
          <w:sz w:val="24"/>
          <w:szCs w:val="24"/>
        </w:rPr>
        <w:t xml:space="preserve"> Sprawa </w:t>
      </w:r>
      <w:r w:rsidR="009B2AE1" w:rsidRPr="00515FC7">
        <w:rPr>
          <w:rFonts w:ascii="Times New Roman" w:hAnsi="Times New Roman" w:cs="Times New Roman"/>
          <w:bCs/>
          <w:sz w:val="24"/>
          <w:szCs w:val="24"/>
        </w:rPr>
        <w:t xml:space="preserve">została </w:t>
      </w:r>
      <w:r w:rsidRPr="00515FC7">
        <w:rPr>
          <w:rFonts w:ascii="Times New Roman" w:hAnsi="Times New Roman" w:cs="Times New Roman"/>
          <w:bCs/>
          <w:sz w:val="24"/>
          <w:szCs w:val="24"/>
        </w:rPr>
        <w:t xml:space="preserve">umorzona, </w:t>
      </w:r>
      <w:r w:rsidR="001C675E" w:rsidRPr="00515FC7">
        <w:rPr>
          <w:rFonts w:ascii="Times New Roman" w:hAnsi="Times New Roman" w:cs="Times New Roman"/>
          <w:bCs/>
          <w:sz w:val="24"/>
          <w:szCs w:val="24"/>
        </w:rPr>
        <w:t>bo sąd pytanie wycofał</w:t>
      </w:r>
      <w:r w:rsidR="009B2AE1" w:rsidRPr="00515FC7">
        <w:rPr>
          <w:rFonts w:ascii="Times New Roman" w:hAnsi="Times New Roman" w:cs="Times New Roman"/>
          <w:bCs/>
          <w:sz w:val="24"/>
          <w:szCs w:val="24"/>
        </w:rPr>
        <w:t xml:space="preserve">. </w:t>
      </w:r>
      <w:r w:rsidR="00F44783" w:rsidRPr="00515FC7">
        <w:rPr>
          <w:rFonts w:ascii="Times New Roman" w:hAnsi="Times New Roman" w:cs="Times New Roman"/>
          <w:bCs/>
          <w:sz w:val="24"/>
          <w:szCs w:val="24"/>
        </w:rPr>
        <w:t>Sąd samodzielnie odmówił zastosowania niekonstytucyjnych przepisów wydając w tej sprawie wyrok.</w:t>
      </w:r>
    </w:p>
    <w:p w:rsidR="00DF2CDB" w:rsidRPr="00515FC7" w:rsidRDefault="005609DB"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Rzecznik jest zdania, że Prawo prasowe </w:t>
      </w:r>
      <w:r w:rsidR="000D230D" w:rsidRPr="00515FC7">
        <w:rPr>
          <w:rFonts w:ascii="Times New Roman" w:hAnsi="Times New Roman" w:cs="Times New Roman"/>
          <w:bCs/>
          <w:sz w:val="24"/>
          <w:szCs w:val="24"/>
        </w:rPr>
        <w:t>(art. 13 ust. 2)</w:t>
      </w:r>
      <w:r w:rsidR="000C7231" w:rsidRPr="00515FC7">
        <w:rPr>
          <w:rFonts w:ascii="Times New Roman" w:hAnsi="Times New Roman" w:cs="Times New Roman"/>
          <w:bCs/>
          <w:sz w:val="24"/>
          <w:szCs w:val="24"/>
        </w:rPr>
        <w:t xml:space="preserve"> </w:t>
      </w:r>
      <w:r w:rsidRPr="00515FC7">
        <w:rPr>
          <w:rFonts w:ascii="Times New Roman" w:hAnsi="Times New Roman" w:cs="Times New Roman"/>
          <w:bCs/>
          <w:sz w:val="24"/>
          <w:szCs w:val="24"/>
        </w:rPr>
        <w:t xml:space="preserve">w zakresie, w jakim zakazuje publikowania danych osób publicznych, </w:t>
      </w:r>
      <w:r w:rsidR="001C675E" w:rsidRPr="00515FC7">
        <w:rPr>
          <w:rFonts w:ascii="Times New Roman" w:hAnsi="Times New Roman" w:cs="Times New Roman"/>
          <w:bCs/>
          <w:sz w:val="24"/>
          <w:szCs w:val="24"/>
        </w:rPr>
        <w:t>wobec których toczą się</w:t>
      </w:r>
      <w:r w:rsidRPr="00515FC7">
        <w:rPr>
          <w:rFonts w:ascii="Times New Roman" w:hAnsi="Times New Roman" w:cs="Times New Roman"/>
          <w:bCs/>
          <w:sz w:val="24"/>
          <w:szCs w:val="24"/>
        </w:rPr>
        <w:t xml:space="preserve"> postępowanie karne </w:t>
      </w:r>
      <w:r w:rsidR="001C675E" w:rsidRPr="00515FC7">
        <w:rPr>
          <w:rFonts w:ascii="Times New Roman" w:hAnsi="Times New Roman" w:cs="Times New Roman"/>
          <w:bCs/>
          <w:sz w:val="24"/>
          <w:szCs w:val="24"/>
        </w:rPr>
        <w:t>w</w:t>
      </w:r>
      <w:r w:rsidR="004E2200" w:rsidRPr="00515FC7">
        <w:rPr>
          <w:rFonts w:ascii="Times New Roman" w:hAnsi="Times New Roman" w:cs="Times New Roman"/>
          <w:bCs/>
          <w:sz w:val="24"/>
          <w:szCs w:val="24"/>
        </w:rPr>
        <w:t> </w:t>
      </w:r>
      <w:r w:rsidR="001C675E" w:rsidRPr="00515FC7">
        <w:rPr>
          <w:rFonts w:ascii="Times New Roman" w:hAnsi="Times New Roman" w:cs="Times New Roman"/>
          <w:bCs/>
          <w:sz w:val="24"/>
          <w:szCs w:val="24"/>
        </w:rPr>
        <w:t xml:space="preserve">związku z </w:t>
      </w:r>
      <w:r w:rsidRPr="00515FC7">
        <w:rPr>
          <w:rFonts w:ascii="Times New Roman" w:hAnsi="Times New Roman" w:cs="Times New Roman"/>
          <w:bCs/>
          <w:sz w:val="24"/>
          <w:szCs w:val="24"/>
        </w:rPr>
        <w:t>ich działalnoś</w:t>
      </w:r>
      <w:r w:rsidR="001C675E" w:rsidRPr="00515FC7">
        <w:rPr>
          <w:rFonts w:ascii="Times New Roman" w:hAnsi="Times New Roman" w:cs="Times New Roman"/>
          <w:bCs/>
          <w:sz w:val="24"/>
          <w:szCs w:val="24"/>
        </w:rPr>
        <w:t>cią</w:t>
      </w:r>
      <w:r w:rsidRPr="00515FC7">
        <w:rPr>
          <w:rFonts w:ascii="Times New Roman" w:hAnsi="Times New Roman" w:cs="Times New Roman"/>
          <w:bCs/>
          <w:sz w:val="24"/>
          <w:szCs w:val="24"/>
        </w:rPr>
        <w:t xml:space="preserve"> publiczną, jest niezgodny z art. 54 ust. 1 w związku z art. 31 ust. 3 Konstytucji RP. </w:t>
      </w:r>
    </w:p>
    <w:p w:rsidR="000C7231" w:rsidRPr="00515FC7" w:rsidRDefault="007D3C4F"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RPO przywołuje głównie </w:t>
      </w:r>
      <w:r w:rsidR="005609DB" w:rsidRPr="00515FC7">
        <w:rPr>
          <w:rFonts w:ascii="Times New Roman" w:hAnsi="Times New Roman" w:cs="Times New Roman"/>
          <w:bCs/>
          <w:sz w:val="24"/>
          <w:szCs w:val="24"/>
        </w:rPr>
        <w:t>wypowiedzi</w:t>
      </w:r>
      <w:r w:rsidRPr="00515FC7">
        <w:rPr>
          <w:rFonts w:ascii="Times New Roman" w:hAnsi="Times New Roman" w:cs="Times New Roman"/>
          <w:bCs/>
          <w:sz w:val="24"/>
          <w:szCs w:val="24"/>
        </w:rPr>
        <w:t xml:space="preserve"> doktrynalne z wyroków</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00060F2A" w:rsidRPr="00515FC7">
        <w:rPr>
          <w:rFonts w:ascii="Times New Roman" w:hAnsi="Times New Roman" w:cs="Times New Roman"/>
          <w:bCs/>
          <w:sz w:val="24"/>
          <w:szCs w:val="24"/>
        </w:rPr>
        <w:t xml:space="preserve"> </w:t>
      </w:r>
      <w:r w:rsidR="005609DB" w:rsidRPr="00515FC7">
        <w:rPr>
          <w:rFonts w:ascii="Times New Roman" w:hAnsi="Times New Roman" w:cs="Times New Roman"/>
          <w:bCs/>
          <w:sz w:val="24"/>
          <w:szCs w:val="24"/>
        </w:rPr>
        <w:t>- na poparcie tezy</w:t>
      </w:r>
      <w:r w:rsidR="009B2AE1" w:rsidRPr="00515FC7">
        <w:rPr>
          <w:rFonts w:ascii="Times New Roman" w:hAnsi="Times New Roman" w:cs="Times New Roman"/>
          <w:bCs/>
          <w:sz w:val="24"/>
          <w:szCs w:val="24"/>
        </w:rPr>
        <w:t>,</w:t>
      </w:r>
      <w:r w:rsidR="005609DB" w:rsidRPr="00515FC7">
        <w:rPr>
          <w:rFonts w:ascii="Times New Roman" w:hAnsi="Times New Roman" w:cs="Times New Roman"/>
          <w:bCs/>
          <w:sz w:val="24"/>
          <w:szCs w:val="24"/>
        </w:rPr>
        <w:t xml:space="preserve"> że w razie konfliktu między swobodą wypowiedzi </w:t>
      </w:r>
      <w:r w:rsidR="00060F2A" w:rsidRPr="00515FC7">
        <w:rPr>
          <w:rFonts w:ascii="Times New Roman" w:hAnsi="Times New Roman" w:cs="Times New Roman"/>
          <w:bCs/>
          <w:sz w:val="24"/>
          <w:szCs w:val="24"/>
        </w:rPr>
        <w:t>(</w:t>
      </w:r>
      <w:r w:rsidR="005609DB" w:rsidRPr="00515FC7">
        <w:rPr>
          <w:rFonts w:ascii="Times New Roman" w:hAnsi="Times New Roman" w:cs="Times New Roman"/>
          <w:bCs/>
          <w:sz w:val="24"/>
          <w:szCs w:val="24"/>
        </w:rPr>
        <w:t>art. 10 Konwencji</w:t>
      </w:r>
      <w:r w:rsidR="00060F2A" w:rsidRPr="00515FC7">
        <w:rPr>
          <w:rFonts w:ascii="Times New Roman" w:hAnsi="Times New Roman" w:cs="Times New Roman"/>
          <w:bCs/>
          <w:sz w:val="24"/>
          <w:szCs w:val="24"/>
        </w:rPr>
        <w:t>)</w:t>
      </w:r>
      <w:r w:rsidR="005609DB" w:rsidRPr="00515FC7">
        <w:rPr>
          <w:rFonts w:ascii="Times New Roman" w:hAnsi="Times New Roman" w:cs="Times New Roman"/>
          <w:bCs/>
          <w:sz w:val="24"/>
          <w:szCs w:val="24"/>
        </w:rPr>
        <w:t xml:space="preserve"> a prawem do</w:t>
      </w:r>
      <w:r w:rsidR="004E2200" w:rsidRPr="00515FC7">
        <w:rPr>
          <w:rFonts w:ascii="Times New Roman" w:hAnsi="Times New Roman" w:cs="Times New Roman"/>
          <w:bCs/>
          <w:sz w:val="24"/>
          <w:szCs w:val="24"/>
        </w:rPr>
        <w:t> </w:t>
      </w:r>
      <w:r w:rsidR="005609DB" w:rsidRPr="00515FC7">
        <w:rPr>
          <w:rFonts w:ascii="Times New Roman" w:hAnsi="Times New Roman" w:cs="Times New Roman"/>
          <w:bCs/>
          <w:sz w:val="24"/>
          <w:szCs w:val="24"/>
        </w:rPr>
        <w:t xml:space="preserve">ochrony prywatności </w:t>
      </w:r>
      <w:r w:rsidR="00060F2A" w:rsidRPr="00515FC7">
        <w:rPr>
          <w:rFonts w:ascii="Times New Roman" w:hAnsi="Times New Roman" w:cs="Times New Roman"/>
          <w:bCs/>
          <w:sz w:val="24"/>
          <w:szCs w:val="24"/>
        </w:rPr>
        <w:t>(</w:t>
      </w:r>
      <w:r w:rsidR="005609DB" w:rsidRPr="00515FC7">
        <w:rPr>
          <w:rFonts w:ascii="Times New Roman" w:hAnsi="Times New Roman" w:cs="Times New Roman"/>
          <w:bCs/>
          <w:sz w:val="24"/>
          <w:szCs w:val="24"/>
        </w:rPr>
        <w:t>art. 8 Konwencji</w:t>
      </w:r>
      <w:r w:rsidR="00060F2A" w:rsidRPr="00515FC7">
        <w:rPr>
          <w:rFonts w:ascii="Times New Roman" w:hAnsi="Times New Roman" w:cs="Times New Roman"/>
          <w:bCs/>
          <w:sz w:val="24"/>
          <w:szCs w:val="24"/>
        </w:rPr>
        <w:t>)</w:t>
      </w:r>
      <w:r w:rsidR="005609DB" w:rsidRPr="00515FC7">
        <w:rPr>
          <w:rFonts w:ascii="Times New Roman" w:hAnsi="Times New Roman" w:cs="Times New Roman"/>
          <w:bCs/>
          <w:sz w:val="24"/>
          <w:szCs w:val="24"/>
        </w:rPr>
        <w:t xml:space="preserve">, w orzeczeniach widać tendencję </w:t>
      </w:r>
      <w:r w:rsidRPr="00515FC7">
        <w:rPr>
          <w:rFonts w:ascii="Times New Roman" w:hAnsi="Times New Roman" w:cs="Times New Roman"/>
          <w:bCs/>
          <w:sz w:val="24"/>
          <w:szCs w:val="24"/>
        </w:rPr>
        <w:t xml:space="preserve">do </w:t>
      </w:r>
      <w:r w:rsidR="005609DB" w:rsidRPr="00515FC7">
        <w:rPr>
          <w:rFonts w:ascii="Times New Roman" w:hAnsi="Times New Roman" w:cs="Times New Roman"/>
          <w:bCs/>
          <w:sz w:val="24"/>
          <w:szCs w:val="24"/>
        </w:rPr>
        <w:t>przyzna</w:t>
      </w:r>
      <w:r w:rsidRPr="00515FC7">
        <w:rPr>
          <w:rFonts w:ascii="Times New Roman" w:hAnsi="Times New Roman" w:cs="Times New Roman"/>
          <w:bCs/>
          <w:sz w:val="24"/>
          <w:szCs w:val="24"/>
        </w:rPr>
        <w:t>wania</w:t>
      </w:r>
      <w:r w:rsidR="005609DB" w:rsidRPr="00515FC7">
        <w:rPr>
          <w:rFonts w:ascii="Times New Roman" w:hAnsi="Times New Roman" w:cs="Times New Roman"/>
          <w:bCs/>
          <w:sz w:val="24"/>
          <w:szCs w:val="24"/>
        </w:rPr>
        <w:t xml:space="preserve"> prymat</w:t>
      </w:r>
      <w:r w:rsidRPr="00515FC7">
        <w:rPr>
          <w:rFonts w:ascii="Times New Roman" w:hAnsi="Times New Roman" w:cs="Times New Roman"/>
          <w:bCs/>
          <w:sz w:val="24"/>
          <w:szCs w:val="24"/>
        </w:rPr>
        <w:t>u</w:t>
      </w:r>
      <w:r w:rsidR="005609DB" w:rsidRPr="00515FC7">
        <w:rPr>
          <w:rFonts w:ascii="Times New Roman" w:hAnsi="Times New Roman" w:cs="Times New Roman"/>
          <w:bCs/>
          <w:sz w:val="24"/>
          <w:szCs w:val="24"/>
        </w:rPr>
        <w:t xml:space="preserve"> zasadzie swobody wypowiedzi </w:t>
      </w:r>
      <w:r w:rsidRPr="00515FC7">
        <w:rPr>
          <w:rFonts w:ascii="Times New Roman" w:hAnsi="Times New Roman" w:cs="Times New Roman"/>
          <w:bCs/>
          <w:sz w:val="24"/>
          <w:szCs w:val="24"/>
        </w:rPr>
        <w:t xml:space="preserve">tylko </w:t>
      </w:r>
      <w:r w:rsidR="005609DB" w:rsidRPr="00515FC7">
        <w:rPr>
          <w:rFonts w:ascii="Times New Roman" w:hAnsi="Times New Roman" w:cs="Times New Roman"/>
          <w:bCs/>
          <w:sz w:val="24"/>
          <w:szCs w:val="24"/>
        </w:rPr>
        <w:t>w tych przypadkach, gdy sprawa dotyczy publicznych aspektów i wyw</w:t>
      </w:r>
      <w:r w:rsidR="009B2AE1" w:rsidRPr="00515FC7">
        <w:rPr>
          <w:rFonts w:ascii="Times New Roman" w:hAnsi="Times New Roman" w:cs="Times New Roman"/>
          <w:bCs/>
          <w:sz w:val="24"/>
          <w:szCs w:val="24"/>
        </w:rPr>
        <w:t xml:space="preserve">ołuje zainteresowanie publiczne. </w:t>
      </w:r>
    </w:p>
    <w:p w:rsidR="00433B5A" w:rsidRPr="00515FC7" w:rsidRDefault="00433B5A"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Przykłady </w:t>
      </w:r>
      <w:r w:rsidR="005609DB" w:rsidRPr="00515FC7">
        <w:rPr>
          <w:rFonts w:ascii="Times New Roman" w:hAnsi="Times New Roman" w:cs="Times New Roman"/>
          <w:bCs/>
          <w:sz w:val="24"/>
          <w:szCs w:val="24"/>
        </w:rPr>
        <w:t>wyroków</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005609DB" w:rsidRPr="00515FC7">
        <w:rPr>
          <w:rFonts w:ascii="Times New Roman" w:hAnsi="Times New Roman" w:cs="Times New Roman"/>
          <w:bCs/>
          <w:sz w:val="24"/>
          <w:szCs w:val="24"/>
        </w:rPr>
        <w:t xml:space="preserve"> zawierających przytoczoną myśl: w sprawie </w:t>
      </w:r>
      <w:proofErr w:type="spellStart"/>
      <w:r w:rsidR="005609DB" w:rsidRPr="00515FC7">
        <w:rPr>
          <w:rFonts w:ascii="Times New Roman" w:hAnsi="Times New Roman" w:cs="Times New Roman"/>
          <w:bCs/>
          <w:i/>
          <w:sz w:val="24"/>
          <w:szCs w:val="24"/>
        </w:rPr>
        <w:t>Tammer</w:t>
      </w:r>
      <w:proofErr w:type="spellEnd"/>
      <w:r w:rsidR="005609DB" w:rsidRPr="00515FC7">
        <w:rPr>
          <w:rFonts w:ascii="Times New Roman" w:hAnsi="Times New Roman" w:cs="Times New Roman"/>
          <w:bCs/>
          <w:i/>
          <w:sz w:val="24"/>
          <w:szCs w:val="24"/>
        </w:rPr>
        <w:t xml:space="preserve"> p</w:t>
      </w:r>
      <w:r w:rsidR="004E2200" w:rsidRPr="00515FC7">
        <w:rPr>
          <w:rFonts w:ascii="Times New Roman" w:hAnsi="Times New Roman" w:cs="Times New Roman"/>
          <w:bCs/>
          <w:i/>
          <w:sz w:val="24"/>
          <w:szCs w:val="24"/>
        </w:rPr>
        <w:t>. </w:t>
      </w:r>
      <w:r w:rsidR="005609DB" w:rsidRPr="00515FC7">
        <w:rPr>
          <w:rFonts w:ascii="Times New Roman" w:hAnsi="Times New Roman" w:cs="Times New Roman"/>
          <w:bCs/>
          <w:i/>
          <w:sz w:val="24"/>
          <w:szCs w:val="24"/>
        </w:rPr>
        <w:t>Estonii</w:t>
      </w:r>
      <w:r w:rsidR="005609DB" w:rsidRPr="00515FC7">
        <w:rPr>
          <w:rFonts w:ascii="Times New Roman" w:hAnsi="Times New Roman" w:cs="Times New Roman"/>
          <w:bCs/>
          <w:sz w:val="24"/>
          <w:szCs w:val="24"/>
        </w:rPr>
        <w:t xml:space="preserve">; wyrok w sprawie </w:t>
      </w:r>
      <w:r w:rsidR="005609DB" w:rsidRPr="00515FC7">
        <w:rPr>
          <w:rFonts w:ascii="Times New Roman" w:hAnsi="Times New Roman" w:cs="Times New Roman"/>
          <w:bCs/>
          <w:i/>
          <w:sz w:val="24"/>
          <w:szCs w:val="24"/>
        </w:rPr>
        <w:t xml:space="preserve">von </w:t>
      </w:r>
      <w:proofErr w:type="spellStart"/>
      <w:r w:rsidR="005609DB" w:rsidRPr="00515FC7">
        <w:rPr>
          <w:rFonts w:ascii="Times New Roman" w:hAnsi="Times New Roman" w:cs="Times New Roman"/>
          <w:bCs/>
          <w:i/>
          <w:sz w:val="24"/>
          <w:szCs w:val="24"/>
        </w:rPr>
        <w:t>Hannover</w:t>
      </w:r>
      <w:proofErr w:type="spellEnd"/>
      <w:r w:rsidR="005609DB" w:rsidRPr="00515FC7">
        <w:rPr>
          <w:rFonts w:ascii="Times New Roman" w:hAnsi="Times New Roman" w:cs="Times New Roman"/>
          <w:bCs/>
          <w:i/>
          <w:sz w:val="24"/>
          <w:szCs w:val="24"/>
        </w:rPr>
        <w:t xml:space="preserve"> p. Niemcom (nr 1);</w:t>
      </w:r>
      <w:r w:rsidR="005609DB" w:rsidRPr="00515FC7">
        <w:rPr>
          <w:rFonts w:ascii="Times New Roman" w:hAnsi="Times New Roman" w:cs="Times New Roman"/>
          <w:bCs/>
          <w:sz w:val="24"/>
          <w:szCs w:val="24"/>
        </w:rPr>
        <w:t xml:space="preserve"> wyrok</w:t>
      </w:r>
      <w:r w:rsidR="009B2AE1" w:rsidRPr="00515FC7">
        <w:rPr>
          <w:rFonts w:ascii="Times New Roman" w:hAnsi="Times New Roman" w:cs="Times New Roman"/>
          <w:bCs/>
          <w:sz w:val="24"/>
          <w:szCs w:val="24"/>
        </w:rPr>
        <w:t xml:space="preserve"> </w:t>
      </w:r>
      <w:r w:rsidR="005609DB" w:rsidRPr="00515FC7">
        <w:rPr>
          <w:rFonts w:ascii="Times New Roman" w:hAnsi="Times New Roman" w:cs="Times New Roman"/>
          <w:bCs/>
          <w:sz w:val="24"/>
          <w:szCs w:val="24"/>
        </w:rPr>
        <w:t xml:space="preserve">w sprawie </w:t>
      </w:r>
      <w:r w:rsidR="005609DB" w:rsidRPr="00515FC7">
        <w:rPr>
          <w:rFonts w:ascii="Times New Roman" w:hAnsi="Times New Roman" w:cs="Times New Roman"/>
          <w:bCs/>
          <w:i/>
          <w:sz w:val="24"/>
          <w:szCs w:val="24"/>
        </w:rPr>
        <w:t>von</w:t>
      </w:r>
      <w:r w:rsidR="004E2200" w:rsidRPr="00515FC7">
        <w:rPr>
          <w:rFonts w:ascii="Times New Roman" w:hAnsi="Times New Roman" w:cs="Times New Roman"/>
          <w:bCs/>
          <w:i/>
          <w:sz w:val="24"/>
          <w:szCs w:val="24"/>
        </w:rPr>
        <w:t> </w:t>
      </w:r>
      <w:proofErr w:type="spellStart"/>
      <w:r w:rsidR="005609DB" w:rsidRPr="00515FC7">
        <w:rPr>
          <w:rFonts w:ascii="Times New Roman" w:hAnsi="Times New Roman" w:cs="Times New Roman"/>
          <w:bCs/>
          <w:i/>
          <w:sz w:val="24"/>
          <w:szCs w:val="24"/>
        </w:rPr>
        <w:t>Hannover</w:t>
      </w:r>
      <w:proofErr w:type="spellEnd"/>
      <w:r w:rsidR="005609DB" w:rsidRPr="00515FC7">
        <w:rPr>
          <w:rFonts w:ascii="Times New Roman" w:hAnsi="Times New Roman" w:cs="Times New Roman"/>
          <w:bCs/>
          <w:i/>
          <w:sz w:val="24"/>
          <w:szCs w:val="24"/>
        </w:rPr>
        <w:t xml:space="preserve"> p. Niemcom (nr 2)</w:t>
      </w:r>
      <w:r w:rsidR="005609DB" w:rsidRPr="00515FC7">
        <w:rPr>
          <w:rFonts w:ascii="Times New Roman" w:hAnsi="Times New Roman" w:cs="Times New Roman"/>
          <w:bCs/>
          <w:sz w:val="24"/>
          <w:szCs w:val="24"/>
        </w:rPr>
        <w:t xml:space="preserve">. </w:t>
      </w:r>
    </w:p>
    <w:p w:rsidR="00056D7E" w:rsidRPr="00515FC7" w:rsidRDefault="00433B5A"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Najsilniejszej ochronie powinny podlegać </w:t>
      </w:r>
      <w:r w:rsidR="005609DB" w:rsidRPr="00515FC7">
        <w:rPr>
          <w:rFonts w:ascii="Times New Roman" w:hAnsi="Times New Roman" w:cs="Times New Roman"/>
          <w:bCs/>
          <w:sz w:val="24"/>
          <w:szCs w:val="24"/>
        </w:rPr>
        <w:t>wypowiedzi</w:t>
      </w:r>
      <w:r w:rsidRPr="00515FC7">
        <w:rPr>
          <w:rFonts w:ascii="Times New Roman" w:hAnsi="Times New Roman" w:cs="Times New Roman"/>
          <w:bCs/>
          <w:sz w:val="24"/>
          <w:szCs w:val="24"/>
        </w:rPr>
        <w:t xml:space="preserve"> dotyczą życia prywatnego mało znanych osób i nie przyczyniają się do debaty publicznej nad kwestiami budzącymi zainteresowanie całego społeczeństwa.</w:t>
      </w:r>
      <w:r w:rsidR="00056D7E" w:rsidRPr="00515FC7">
        <w:rPr>
          <w:rFonts w:ascii="Times New Roman" w:hAnsi="Times New Roman" w:cs="Times New Roman"/>
          <w:bCs/>
          <w:sz w:val="24"/>
          <w:szCs w:val="24"/>
        </w:rPr>
        <w:t xml:space="preserve"> (</w:t>
      </w:r>
      <w:r w:rsidR="005609DB" w:rsidRPr="00515FC7">
        <w:rPr>
          <w:rFonts w:ascii="Times New Roman" w:hAnsi="Times New Roman" w:cs="Times New Roman"/>
          <w:bCs/>
          <w:sz w:val="24"/>
          <w:szCs w:val="24"/>
        </w:rPr>
        <w:t>jak wskazał</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005609DB" w:rsidRPr="00515FC7">
        <w:rPr>
          <w:rFonts w:ascii="Times New Roman" w:hAnsi="Times New Roman" w:cs="Times New Roman"/>
          <w:bCs/>
          <w:sz w:val="24"/>
          <w:szCs w:val="24"/>
        </w:rPr>
        <w:t xml:space="preserve"> w wyroku z dnia 23 lipca 2009 r. w sprawie </w:t>
      </w:r>
      <w:r w:rsidR="005609DB" w:rsidRPr="00515FC7">
        <w:rPr>
          <w:rFonts w:ascii="Times New Roman" w:hAnsi="Times New Roman" w:cs="Times New Roman"/>
          <w:bCs/>
          <w:i/>
          <w:sz w:val="24"/>
          <w:szCs w:val="24"/>
        </w:rPr>
        <w:t xml:space="preserve">Hachette </w:t>
      </w:r>
      <w:proofErr w:type="spellStart"/>
      <w:r w:rsidR="005609DB" w:rsidRPr="00515FC7">
        <w:rPr>
          <w:rFonts w:ascii="Times New Roman" w:hAnsi="Times New Roman" w:cs="Times New Roman"/>
          <w:bCs/>
          <w:i/>
          <w:sz w:val="24"/>
          <w:szCs w:val="24"/>
        </w:rPr>
        <w:t>Filipacchi</w:t>
      </w:r>
      <w:proofErr w:type="spellEnd"/>
      <w:r w:rsidR="005609DB" w:rsidRPr="00515FC7">
        <w:rPr>
          <w:rFonts w:ascii="Times New Roman" w:hAnsi="Times New Roman" w:cs="Times New Roman"/>
          <w:bCs/>
          <w:i/>
          <w:sz w:val="24"/>
          <w:szCs w:val="24"/>
        </w:rPr>
        <w:t xml:space="preserve"> </w:t>
      </w:r>
      <w:proofErr w:type="spellStart"/>
      <w:r w:rsidR="005609DB" w:rsidRPr="00515FC7">
        <w:rPr>
          <w:rFonts w:ascii="Times New Roman" w:hAnsi="Times New Roman" w:cs="Times New Roman"/>
          <w:bCs/>
          <w:i/>
          <w:sz w:val="24"/>
          <w:szCs w:val="24"/>
        </w:rPr>
        <w:t>Associes</w:t>
      </w:r>
      <w:proofErr w:type="spellEnd"/>
      <w:r w:rsidR="005609DB" w:rsidRPr="00515FC7">
        <w:rPr>
          <w:rFonts w:ascii="Times New Roman" w:hAnsi="Times New Roman" w:cs="Times New Roman"/>
          <w:bCs/>
          <w:i/>
          <w:sz w:val="24"/>
          <w:szCs w:val="24"/>
        </w:rPr>
        <w:t xml:space="preserve"> p. Francji</w:t>
      </w:r>
      <w:r w:rsidR="00056D7E" w:rsidRPr="00515FC7">
        <w:rPr>
          <w:rFonts w:ascii="Times New Roman" w:hAnsi="Times New Roman" w:cs="Times New Roman"/>
          <w:bCs/>
          <w:i/>
          <w:sz w:val="24"/>
          <w:szCs w:val="24"/>
        </w:rPr>
        <w:t>).</w:t>
      </w:r>
      <w:r w:rsidR="005609DB" w:rsidRPr="00515FC7">
        <w:rPr>
          <w:rFonts w:ascii="Times New Roman" w:hAnsi="Times New Roman" w:cs="Times New Roman"/>
          <w:bCs/>
          <w:sz w:val="24"/>
          <w:szCs w:val="24"/>
        </w:rPr>
        <w:t xml:space="preserve"> </w:t>
      </w:r>
    </w:p>
    <w:p w:rsidR="005609DB" w:rsidRPr="00515FC7" w:rsidRDefault="009B2AE1"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Orzeczenia</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Pr="00515FC7">
        <w:rPr>
          <w:rFonts w:ascii="Times New Roman" w:hAnsi="Times New Roman" w:cs="Times New Roman"/>
          <w:bCs/>
          <w:sz w:val="24"/>
          <w:szCs w:val="24"/>
        </w:rPr>
        <w:t xml:space="preserve"> powoływane są również w</w:t>
      </w:r>
      <w:r w:rsidR="005609DB" w:rsidRPr="00515FC7">
        <w:rPr>
          <w:rFonts w:ascii="Times New Roman" w:hAnsi="Times New Roman" w:cs="Times New Roman"/>
          <w:bCs/>
          <w:sz w:val="24"/>
          <w:szCs w:val="24"/>
        </w:rPr>
        <w:t xml:space="preserve"> celu podkreślenia znaczenia, jakie Trybunał przypisuje wolności słowa dla kształtowania się postaw i opinii w sprawach budzących publiczne zainteresowanie i zatroskanie (</w:t>
      </w:r>
      <w:r w:rsidRPr="00515FC7">
        <w:rPr>
          <w:rFonts w:ascii="Times New Roman" w:hAnsi="Times New Roman" w:cs="Times New Roman"/>
          <w:bCs/>
          <w:sz w:val="24"/>
          <w:szCs w:val="24"/>
        </w:rPr>
        <w:t>m</w:t>
      </w:r>
      <w:r w:rsidR="005609DB" w:rsidRPr="00515FC7">
        <w:rPr>
          <w:rFonts w:ascii="Times New Roman" w:hAnsi="Times New Roman" w:cs="Times New Roman"/>
          <w:bCs/>
          <w:sz w:val="24"/>
          <w:szCs w:val="24"/>
        </w:rPr>
        <w:t>.in. wyrok</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005609DB" w:rsidRPr="00515FC7">
        <w:rPr>
          <w:rFonts w:ascii="Times New Roman" w:hAnsi="Times New Roman" w:cs="Times New Roman"/>
          <w:bCs/>
          <w:sz w:val="24"/>
          <w:szCs w:val="24"/>
        </w:rPr>
        <w:t xml:space="preserve"> w sprawach Hertel przeciwko Szwajcarii z 25 sierpnia 1998 r., nr 25181/94).</w:t>
      </w:r>
    </w:p>
    <w:p w:rsidR="004F506D" w:rsidRPr="00515FC7" w:rsidRDefault="004F506D" w:rsidP="004E2200">
      <w:pPr>
        <w:pStyle w:val="Nagwek2"/>
        <w:numPr>
          <w:ilvl w:val="0"/>
          <w:numId w:val="18"/>
        </w:numPr>
        <w:spacing w:before="120" w:line="360" w:lineRule="auto"/>
        <w:jc w:val="both"/>
        <w:rPr>
          <w:rFonts w:ascii="Times New Roman" w:hAnsi="Times New Roman" w:cs="Times New Roman"/>
        </w:rPr>
      </w:pPr>
      <w:bookmarkStart w:id="3" w:name="_Toc504117608"/>
      <w:r w:rsidRPr="00515FC7">
        <w:rPr>
          <w:rFonts w:ascii="Times New Roman" w:hAnsi="Times New Roman" w:cs="Times New Roman"/>
        </w:rPr>
        <w:t>Problem naruszanie dóbr osobistych w</w:t>
      </w:r>
      <w:r w:rsidR="00960E4D">
        <w:rPr>
          <w:rFonts w:ascii="Times New Roman" w:hAnsi="Times New Roman" w:cs="Times New Roman"/>
        </w:rPr>
        <w:t xml:space="preserve"> wydaniu elektronicznym prasy i </w:t>
      </w:r>
      <w:r w:rsidRPr="00515FC7">
        <w:rPr>
          <w:rFonts w:ascii="Times New Roman" w:hAnsi="Times New Roman" w:cs="Times New Roman"/>
        </w:rPr>
        <w:t>żądanie usunięcia artykułu zniesławiającego.</w:t>
      </w:r>
      <w:bookmarkEnd w:id="3"/>
      <w:r w:rsidRPr="00515FC7">
        <w:rPr>
          <w:rFonts w:ascii="Times New Roman" w:hAnsi="Times New Roman" w:cs="Times New Roman"/>
        </w:rPr>
        <w:t xml:space="preserve"> </w:t>
      </w:r>
    </w:p>
    <w:p w:rsidR="004F506D" w:rsidRPr="00515FC7" w:rsidRDefault="004F506D"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W sprawie tej problem sprowadzał się do odpowiedzi na pytanie, czy usuwanie treści jest dopuszczalne, czy też należy domagać się innego sposobu usunięcia skutków naruszenia dobra osobistego. </w:t>
      </w:r>
    </w:p>
    <w:p w:rsidR="004F506D" w:rsidRPr="00515FC7" w:rsidRDefault="004F506D"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W skardze kasacyjnej RPO przywołał wyroki</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Pr="00515FC7">
        <w:rPr>
          <w:rFonts w:ascii="Times New Roman" w:hAnsi="Times New Roman" w:cs="Times New Roman"/>
          <w:bCs/>
          <w:sz w:val="24"/>
          <w:szCs w:val="24"/>
        </w:rPr>
        <w:t>, w których wskazywał on na</w:t>
      </w:r>
      <w:r w:rsidR="004E2200" w:rsidRPr="00515FC7">
        <w:rPr>
          <w:rFonts w:ascii="Times New Roman" w:hAnsi="Times New Roman" w:cs="Times New Roman"/>
          <w:bCs/>
          <w:sz w:val="24"/>
          <w:szCs w:val="24"/>
        </w:rPr>
        <w:t> </w:t>
      </w:r>
      <w:r w:rsidRPr="00515FC7">
        <w:rPr>
          <w:rFonts w:ascii="Times New Roman" w:hAnsi="Times New Roman" w:cs="Times New Roman"/>
          <w:bCs/>
          <w:sz w:val="24"/>
          <w:szCs w:val="24"/>
        </w:rPr>
        <w:t xml:space="preserve">funkcję i wkład archiwów internetowych w proces przechowywania i udostępniania wiadomości. </w:t>
      </w:r>
    </w:p>
    <w:p w:rsidR="004F506D" w:rsidRPr="00515FC7" w:rsidRDefault="004F506D"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I na te orzeczenia powołał się następnie sąd w uzasadnieniu wyroku: § 59 w sprawie </w:t>
      </w:r>
      <w:r w:rsidRPr="00515FC7">
        <w:rPr>
          <w:rFonts w:ascii="Times New Roman" w:hAnsi="Times New Roman" w:cs="Times New Roman"/>
          <w:bCs/>
          <w:i/>
          <w:sz w:val="24"/>
          <w:szCs w:val="24"/>
        </w:rPr>
        <w:t xml:space="preserve">Węgrzynowski i </w:t>
      </w:r>
      <w:proofErr w:type="spellStart"/>
      <w:r w:rsidRPr="00515FC7">
        <w:rPr>
          <w:rFonts w:ascii="Times New Roman" w:hAnsi="Times New Roman" w:cs="Times New Roman"/>
          <w:bCs/>
          <w:i/>
          <w:sz w:val="24"/>
          <w:szCs w:val="24"/>
        </w:rPr>
        <w:t>Smolczewski</w:t>
      </w:r>
      <w:proofErr w:type="spellEnd"/>
      <w:r w:rsidRPr="00515FC7">
        <w:rPr>
          <w:rFonts w:ascii="Times New Roman" w:hAnsi="Times New Roman" w:cs="Times New Roman"/>
          <w:bCs/>
          <w:i/>
          <w:sz w:val="24"/>
          <w:szCs w:val="24"/>
        </w:rPr>
        <w:t xml:space="preserve"> przeciwko Polsce </w:t>
      </w:r>
      <w:r w:rsidRPr="00515FC7">
        <w:rPr>
          <w:rFonts w:ascii="Times New Roman" w:hAnsi="Times New Roman" w:cs="Times New Roman"/>
          <w:bCs/>
          <w:sz w:val="24"/>
          <w:szCs w:val="24"/>
        </w:rPr>
        <w:t xml:space="preserve">z dnia 16 lipca 2013 r. oraz § 27 </w:t>
      </w:r>
      <w:r w:rsidRPr="00515FC7">
        <w:rPr>
          <w:rFonts w:ascii="Times New Roman" w:hAnsi="Times New Roman" w:cs="Times New Roman"/>
          <w:bCs/>
          <w:i/>
          <w:sz w:val="24"/>
          <w:szCs w:val="24"/>
        </w:rPr>
        <w:t xml:space="preserve">Times </w:t>
      </w:r>
      <w:proofErr w:type="spellStart"/>
      <w:r w:rsidRPr="00515FC7">
        <w:rPr>
          <w:rFonts w:ascii="Times New Roman" w:hAnsi="Times New Roman" w:cs="Times New Roman"/>
          <w:bCs/>
          <w:i/>
          <w:sz w:val="24"/>
          <w:szCs w:val="24"/>
        </w:rPr>
        <w:t>Newspaper</w:t>
      </w:r>
      <w:proofErr w:type="spellEnd"/>
      <w:r w:rsidRPr="00515FC7">
        <w:rPr>
          <w:rFonts w:ascii="Times New Roman" w:hAnsi="Times New Roman" w:cs="Times New Roman"/>
          <w:bCs/>
          <w:i/>
          <w:sz w:val="24"/>
          <w:szCs w:val="24"/>
        </w:rPr>
        <w:t xml:space="preserve"> LTD przeciwko Wielkiej Brytanii</w:t>
      </w:r>
      <w:r w:rsidRPr="00515FC7">
        <w:rPr>
          <w:rFonts w:ascii="Times New Roman" w:hAnsi="Times New Roman" w:cs="Times New Roman"/>
          <w:bCs/>
          <w:sz w:val="24"/>
          <w:szCs w:val="24"/>
        </w:rPr>
        <w:t xml:space="preserve"> z 10 marca 2009 r. w sprawie 3002/03 i</w:t>
      </w:r>
      <w:r w:rsidR="004E2200" w:rsidRPr="00515FC7">
        <w:rPr>
          <w:rFonts w:ascii="Times New Roman" w:hAnsi="Times New Roman" w:cs="Times New Roman"/>
          <w:bCs/>
          <w:sz w:val="24"/>
          <w:szCs w:val="24"/>
        </w:rPr>
        <w:t> </w:t>
      </w:r>
      <w:r w:rsidRPr="00515FC7">
        <w:rPr>
          <w:rFonts w:ascii="Times New Roman" w:hAnsi="Times New Roman" w:cs="Times New Roman"/>
          <w:bCs/>
          <w:sz w:val="24"/>
          <w:szCs w:val="24"/>
        </w:rPr>
        <w:t xml:space="preserve">2367/03. </w:t>
      </w:r>
    </w:p>
    <w:p w:rsidR="004F506D" w:rsidRPr="00515FC7" w:rsidRDefault="00DA7701"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 </w:t>
      </w:r>
      <w:proofErr w:type="spellStart"/>
      <w:r w:rsidRPr="00515FC7">
        <w:rPr>
          <w:rFonts w:ascii="Times New Roman" w:hAnsi="Times New Roman" w:cs="Times New Roman"/>
          <w:bCs/>
          <w:sz w:val="24"/>
          <w:szCs w:val="24"/>
        </w:rPr>
        <w:t>EKPCz</w:t>
      </w:r>
      <w:proofErr w:type="spellEnd"/>
      <w:r w:rsidR="004F506D" w:rsidRPr="00515FC7">
        <w:rPr>
          <w:rFonts w:ascii="Times New Roman" w:hAnsi="Times New Roman" w:cs="Times New Roman"/>
          <w:bCs/>
          <w:sz w:val="24"/>
          <w:szCs w:val="24"/>
        </w:rPr>
        <w:t xml:space="preserve"> wskazał, że nie jest nieproporcjonalną ingerencją w prawo swobody wypowiedzi wymaganie opublikowania odpowiedniego zastrzeżenia do artykułu znajdującego się w archiwum internetowym „w sytuacji, gdy redakcję zawiadomiono, że w odniesieniu do tego samego artykułu opublikowanego w prasie drukowanej wniesiony został pozew o zniesławienie” (§ 59 w sprawie Węgrzynowski i </w:t>
      </w:r>
      <w:proofErr w:type="spellStart"/>
      <w:r w:rsidR="004F506D" w:rsidRPr="00515FC7">
        <w:rPr>
          <w:rFonts w:ascii="Times New Roman" w:hAnsi="Times New Roman" w:cs="Times New Roman"/>
          <w:bCs/>
          <w:sz w:val="24"/>
          <w:szCs w:val="24"/>
        </w:rPr>
        <w:t>Smolczewski</w:t>
      </w:r>
      <w:proofErr w:type="spellEnd"/>
      <w:r w:rsidR="004F506D" w:rsidRPr="00515FC7">
        <w:rPr>
          <w:rFonts w:ascii="Times New Roman" w:hAnsi="Times New Roman" w:cs="Times New Roman"/>
          <w:bCs/>
          <w:sz w:val="24"/>
          <w:szCs w:val="24"/>
        </w:rPr>
        <w:t xml:space="preserve"> przeciwko Polsce).</w:t>
      </w:r>
    </w:p>
    <w:p w:rsidR="005609DB" w:rsidRPr="00515FC7" w:rsidRDefault="005609DB" w:rsidP="004E2200">
      <w:pPr>
        <w:pStyle w:val="Akapitzlist"/>
        <w:spacing w:before="120" w:after="0" w:line="360" w:lineRule="auto"/>
        <w:ind w:left="0" w:firstLine="709"/>
        <w:contextualSpacing w:val="0"/>
        <w:jc w:val="both"/>
        <w:rPr>
          <w:rFonts w:ascii="Times New Roman" w:hAnsi="Times New Roman" w:cs="Times New Roman"/>
          <w:b/>
          <w:sz w:val="24"/>
          <w:szCs w:val="24"/>
        </w:rPr>
      </w:pPr>
    </w:p>
    <w:p w:rsidR="002B7182" w:rsidRPr="00515FC7" w:rsidRDefault="002B6058" w:rsidP="004E2200">
      <w:pPr>
        <w:pStyle w:val="Nagwek2"/>
        <w:numPr>
          <w:ilvl w:val="0"/>
          <w:numId w:val="18"/>
        </w:numPr>
        <w:spacing w:before="120" w:line="360" w:lineRule="auto"/>
        <w:jc w:val="both"/>
        <w:rPr>
          <w:rFonts w:ascii="Times New Roman" w:hAnsi="Times New Roman" w:cs="Times New Roman"/>
        </w:rPr>
      </w:pPr>
      <w:bookmarkStart w:id="4" w:name="_Toc504117609"/>
      <w:r w:rsidRPr="00515FC7">
        <w:rPr>
          <w:rFonts w:ascii="Times New Roman" w:hAnsi="Times New Roman" w:cs="Times New Roman"/>
        </w:rPr>
        <w:t>Odpowiedzialność administratora strony grupy dyskusyjnej na Facebooku.</w:t>
      </w:r>
      <w:bookmarkEnd w:id="4"/>
      <w:r w:rsidRPr="00515FC7">
        <w:rPr>
          <w:rFonts w:ascii="Times New Roman" w:hAnsi="Times New Roman" w:cs="Times New Roman"/>
        </w:rPr>
        <w:t xml:space="preserve"> </w:t>
      </w:r>
    </w:p>
    <w:p w:rsidR="000C7231" w:rsidRPr="00515FC7" w:rsidRDefault="005609DB" w:rsidP="004E2200">
      <w:pPr>
        <w:pStyle w:val="Akapitzlist"/>
        <w:autoSpaceDE w:val="0"/>
        <w:autoSpaceDN w:val="0"/>
        <w:adjustRightInd w:val="0"/>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bCs/>
          <w:sz w:val="24"/>
          <w:szCs w:val="24"/>
        </w:rPr>
        <w:t xml:space="preserve">RPO wniósł </w:t>
      </w:r>
      <w:r w:rsidR="002B6058" w:rsidRPr="00515FC7">
        <w:rPr>
          <w:rFonts w:ascii="Times New Roman" w:hAnsi="Times New Roman" w:cs="Times New Roman"/>
          <w:bCs/>
          <w:sz w:val="24"/>
          <w:szCs w:val="24"/>
        </w:rPr>
        <w:t xml:space="preserve">w takiej sprawie </w:t>
      </w:r>
      <w:r w:rsidRPr="00515FC7">
        <w:rPr>
          <w:rFonts w:ascii="Times New Roman" w:hAnsi="Times New Roman" w:cs="Times New Roman"/>
          <w:bCs/>
          <w:sz w:val="24"/>
          <w:szCs w:val="24"/>
        </w:rPr>
        <w:t>skargą kasacyjną</w:t>
      </w:r>
      <w:r w:rsidR="002B6058" w:rsidRPr="00515FC7">
        <w:rPr>
          <w:rFonts w:ascii="Times New Roman" w:hAnsi="Times New Roman" w:cs="Times New Roman"/>
          <w:bCs/>
          <w:sz w:val="24"/>
          <w:szCs w:val="24"/>
        </w:rPr>
        <w:t>. W</w:t>
      </w:r>
      <w:r w:rsidRPr="00515FC7">
        <w:rPr>
          <w:rFonts w:ascii="Times New Roman" w:hAnsi="Times New Roman" w:cs="Times New Roman"/>
          <w:bCs/>
          <w:sz w:val="24"/>
          <w:szCs w:val="24"/>
        </w:rPr>
        <w:t>skazywa</w:t>
      </w:r>
      <w:r w:rsidR="002B6058" w:rsidRPr="00515FC7">
        <w:rPr>
          <w:rFonts w:ascii="Times New Roman" w:hAnsi="Times New Roman" w:cs="Times New Roman"/>
          <w:bCs/>
          <w:sz w:val="24"/>
          <w:szCs w:val="24"/>
        </w:rPr>
        <w:t>ł</w:t>
      </w:r>
      <w:r w:rsidRPr="00515FC7">
        <w:rPr>
          <w:rFonts w:ascii="Times New Roman" w:hAnsi="Times New Roman" w:cs="Times New Roman"/>
          <w:bCs/>
          <w:sz w:val="24"/>
          <w:szCs w:val="24"/>
        </w:rPr>
        <w:t xml:space="preserve"> </w:t>
      </w:r>
      <w:r w:rsidR="002B6058" w:rsidRPr="00515FC7">
        <w:rPr>
          <w:rFonts w:ascii="Times New Roman" w:hAnsi="Times New Roman" w:cs="Times New Roman"/>
          <w:bCs/>
          <w:sz w:val="24"/>
          <w:szCs w:val="24"/>
        </w:rPr>
        <w:t xml:space="preserve">w niej </w:t>
      </w:r>
      <w:r w:rsidRPr="00515FC7">
        <w:rPr>
          <w:rFonts w:ascii="Times New Roman" w:hAnsi="Times New Roman" w:cs="Times New Roman"/>
          <w:bCs/>
          <w:sz w:val="24"/>
          <w:szCs w:val="24"/>
        </w:rPr>
        <w:t>wyrok</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009B2AE1" w:rsidRPr="00515FC7">
        <w:rPr>
          <w:rFonts w:ascii="Times New Roman" w:hAnsi="Times New Roman" w:cs="Times New Roman"/>
          <w:bCs/>
          <w:sz w:val="24"/>
          <w:szCs w:val="24"/>
        </w:rPr>
        <w:t xml:space="preserve"> (</w:t>
      </w:r>
      <w:r w:rsidRPr="00515FC7">
        <w:rPr>
          <w:rFonts w:ascii="Times New Roman" w:hAnsi="Times New Roman" w:cs="Times New Roman"/>
          <w:bCs/>
          <w:sz w:val="24"/>
          <w:szCs w:val="24"/>
        </w:rPr>
        <w:t>skarga nr 22947/13</w:t>
      </w:r>
      <w:r w:rsidR="009B2AE1" w:rsidRPr="00515FC7">
        <w:rPr>
          <w:rFonts w:ascii="Times New Roman" w:hAnsi="Times New Roman" w:cs="Times New Roman"/>
          <w:bCs/>
          <w:sz w:val="24"/>
          <w:szCs w:val="24"/>
        </w:rPr>
        <w:t>)</w:t>
      </w:r>
      <w:r w:rsidRPr="00515FC7">
        <w:rPr>
          <w:rFonts w:ascii="Times New Roman" w:hAnsi="Times New Roman" w:cs="Times New Roman"/>
          <w:bCs/>
          <w:sz w:val="24"/>
          <w:szCs w:val="24"/>
        </w:rPr>
        <w:t xml:space="preserve"> w sprawie </w:t>
      </w:r>
      <w:proofErr w:type="spellStart"/>
      <w:r w:rsidRPr="00515FC7">
        <w:rPr>
          <w:rFonts w:ascii="Times New Roman" w:hAnsi="Times New Roman" w:cs="Times New Roman"/>
          <w:bCs/>
          <w:i/>
          <w:sz w:val="24"/>
          <w:szCs w:val="24"/>
        </w:rPr>
        <w:t>Magyar</w:t>
      </w:r>
      <w:proofErr w:type="spellEnd"/>
      <w:r w:rsidRPr="00515FC7">
        <w:rPr>
          <w:rFonts w:ascii="Times New Roman" w:hAnsi="Times New Roman" w:cs="Times New Roman"/>
          <w:bCs/>
          <w:i/>
          <w:sz w:val="24"/>
          <w:szCs w:val="24"/>
        </w:rPr>
        <w:t xml:space="preserve"> </w:t>
      </w:r>
      <w:proofErr w:type="spellStart"/>
      <w:r w:rsidRPr="00515FC7">
        <w:rPr>
          <w:rFonts w:ascii="Times New Roman" w:hAnsi="Times New Roman" w:cs="Times New Roman"/>
          <w:bCs/>
          <w:i/>
          <w:sz w:val="24"/>
          <w:szCs w:val="24"/>
        </w:rPr>
        <w:t>Tartalomszolgáltatók</w:t>
      </w:r>
      <w:proofErr w:type="spellEnd"/>
      <w:r w:rsidRPr="00515FC7">
        <w:rPr>
          <w:rFonts w:ascii="Times New Roman" w:hAnsi="Times New Roman" w:cs="Times New Roman"/>
          <w:bCs/>
          <w:i/>
          <w:sz w:val="24"/>
          <w:szCs w:val="24"/>
        </w:rPr>
        <w:t xml:space="preserve"> </w:t>
      </w:r>
      <w:proofErr w:type="spellStart"/>
      <w:r w:rsidRPr="00515FC7">
        <w:rPr>
          <w:rFonts w:ascii="Times New Roman" w:hAnsi="Times New Roman" w:cs="Times New Roman"/>
          <w:bCs/>
          <w:i/>
          <w:sz w:val="24"/>
          <w:szCs w:val="24"/>
        </w:rPr>
        <w:t>Egyesülete</w:t>
      </w:r>
      <w:proofErr w:type="spellEnd"/>
      <w:r w:rsidRPr="00515FC7">
        <w:rPr>
          <w:rFonts w:ascii="Times New Roman" w:hAnsi="Times New Roman" w:cs="Times New Roman"/>
          <w:bCs/>
          <w:i/>
          <w:sz w:val="24"/>
          <w:szCs w:val="24"/>
        </w:rPr>
        <w:t xml:space="preserve"> i Index.hu ZRT przeciwko Węgrom</w:t>
      </w:r>
      <w:r w:rsidRPr="00515FC7">
        <w:rPr>
          <w:rFonts w:ascii="Times New Roman" w:hAnsi="Times New Roman" w:cs="Times New Roman"/>
          <w:bCs/>
          <w:sz w:val="24"/>
          <w:szCs w:val="24"/>
        </w:rPr>
        <w:t xml:space="preserve"> – jako wskazujący zakres odpowiedzialności administratora</w:t>
      </w:r>
      <w:r w:rsidR="00060F2A" w:rsidRPr="00515FC7">
        <w:rPr>
          <w:rFonts w:ascii="Times New Roman" w:hAnsi="Times New Roman" w:cs="Times New Roman"/>
          <w:bCs/>
          <w:sz w:val="24"/>
          <w:szCs w:val="24"/>
        </w:rPr>
        <w:t>, który</w:t>
      </w:r>
      <w:r w:rsidRPr="00515FC7">
        <w:rPr>
          <w:rFonts w:ascii="Times New Roman" w:hAnsi="Times New Roman" w:cs="Times New Roman"/>
          <w:bCs/>
          <w:sz w:val="24"/>
          <w:szCs w:val="24"/>
        </w:rPr>
        <w:t xml:space="preserve"> nie</w:t>
      </w:r>
      <w:r w:rsidR="004E2200" w:rsidRPr="00515FC7">
        <w:rPr>
          <w:rFonts w:ascii="Times New Roman" w:hAnsi="Times New Roman" w:cs="Times New Roman"/>
          <w:bCs/>
          <w:sz w:val="24"/>
          <w:szCs w:val="24"/>
        </w:rPr>
        <w:t> </w:t>
      </w:r>
      <w:r w:rsidRPr="00515FC7">
        <w:rPr>
          <w:rFonts w:ascii="Times New Roman" w:hAnsi="Times New Roman" w:cs="Times New Roman"/>
          <w:bCs/>
          <w:sz w:val="24"/>
          <w:szCs w:val="24"/>
        </w:rPr>
        <w:t>zarabia na stronie a prowadz</w:t>
      </w:r>
      <w:r w:rsidR="00060F2A" w:rsidRPr="00515FC7">
        <w:rPr>
          <w:rFonts w:ascii="Times New Roman" w:hAnsi="Times New Roman" w:cs="Times New Roman"/>
          <w:bCs/>
          <w:sz w:val="24"/>
          <w:szCs w:val="24"/>
        </w:rPr>
        <w:t xml:space="preserve">i ją, by publikować </w:t>
      </w:r>
      <w:r w:rsidRPr="00515FC7">
        <w:rPr>
          <w:rFonts w:ascii="Times New Roman" w:hAnsi="Times New Roman" w:cs="Times New Roman"/>
          <w:bCs/>
          <w:sz w:val="24"/>
          <w:szCs w:val="24"/>
        </w:rPr>
        <w:t>informacj</w:t>
      </w:r>
      <w:r w:rsidR="00060F2A" w:rsidRPr="00515FC7">
        <w:rPr>
          <w:rFonts w:ascii="Times New Roman" w:hAnsi="Times New Roman" w:cs="Times New Roman"/>
          <w:bCs/>
          <w:sz w:val="24"/>
          <w:szCs w:val="24"/>
        </w:rPr>
        <w:t>a</w:t>
      </w:r>
      <w:r w:rsidRPr="00515FC7">
        <w:rPr>
          <w:rFonts w:ascii="Times New Roman" w:hAnsi="Times New Roman" w:cs="Times New Roman"/>
          <w:bCs/>
          <w:sz w:val="24"/>
          <w:szCs w:val="24"/>
        </w:rPr>
        <w:t xml:space="preserve"> na tematy interesujące społeczeństwo.</w:t>
      </w:r>
      <w:r w:rsidR="009B2AE1" w:rsidRPr="00515FC7">
        <w:rPr>
          <w:rFonts w:ascii="Times New Roman" w:hAnsi="Times New Roman" w:cs="Times New Roman"/>
          <w:bCs/>
          <w:sz w:val="24"/>
          <w:szCs w:val="24"/>
        </w:rPr>
        <w:t xml:space="preserve"> </w:t>
      </w:r>
    </w:p>
    <w:p w:rsidR="005609DB" w:rsidRPr="00515FC7" w:rsidRDefault="00322498" w:rsidP="004E2200">
      <w:pPr>
        <w:pStyle w:val="Akapitzlist"/>
        <w:autoSpaceDE w:val="0"/>
        <w:autoSpaceDN w:val="0"/>
        <w:adjustRightInd w:val="0"/>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bCs/>
          <w:sz w:val="24"/>
          <w:szCs w:val="24"/>
        </w:rPr>
        <w:t>To w</w:t>
      </w:r>
      <w:r w:rsidR="005609DB" w:rsidRPr="00515FC7">
        <w:rPr>
          <w:rFonts w:ascii="Times New Roman" w:hAnsi="Times New Roman" w:cs="Times New Roman"/>
          <w:bCs/>
          <w:sz w:val="24"/>
          <w:szCs w:val="24"/>
        </w:rPr>
        <w:t xml:space="preserve">nioski płynące z tego wyroku </w:t>
      </w:r>
      <w:r w:rsidRPr="00515FC7">
        <w:rPr>
          <w:rFonts w:ascii="Times New Roman" w:hAnsi="Times New Roman" w:cs="Times New Roman"/>
          <w:bCs/>
          <w:sz w:val="24"/>
          <w:szCs w:val="24"/>
        </w:rPr>
        <w:t xml:space="preserve">skłoniły </w:t>
      </w:r>
      <w:r w:rsidR="005609DB" w:rsidRPr="00515FC7">
        <w:rPr>
          <w:rFonts w:ascii="Times New Roman" w:hAnsi="Times New Roman" w:cs="Times New Roman"/>
          <w:bCs/>
          <w:sz w:val="24"/>
          <w:szCs w:val="24"/>
        </w:rPr>
        <w:t xml:space="preserve">RPO </w:t>
      </w:r>
      <w:r w:rsidRPr="00515FC7">
        <w:rPr>
          <w:rFonts w:ascii="Times New Roman" w:hAnsi="Times New Roman" w:cs="Times New Roman"/>
          <w:bCs/>
          <w:sz w:val="24"/>
          <w:szCs w:val="24"/>
        </w:rPr>
        <w:t xml:space="preserve">do złożenia </w:t>
      </w:r>
      <w:r w:rsidR="00FA4DA8" w:rsidRPr="00515FC7">
        <w:rPr>
          <w:rFonts w:ascii="Times New Roman" w:hAnsi="Times New Roman" w:cs="Times New Roman"/>
          <w:bCs/>
          <w:sz w:val="24"/>
          <w:szCs w:val="24"/>
        </w:rPr>
        <w:t xml:space="preserve">skargi </w:t>
      </w:r>
      <w:r w:rsidRPr="00515FC7">
        <w:rPr>
          <w:rFonts w:ascii="Times New Roman" w:hAnsi="Times New Roman" w:cs="Times New Roman"/>
          <w:bCs/>
          <w:sz w:val="24"/>
          <w:szCs w:val="24"/>
        </w:rPr>
        <w:t>kasac</w:t>
      </w:r>
      <w:r w:rsidR="00FA4DA8" w:rsidRPr="00515FC7">
        <w:rPr>
          <w:rFonts w:ascii="Times New Roman" w:hAnsi="Times New Roman" w:cs="Times New Roman"/>
          <w:bCs/>
          <w:sz w:val="24"/>
          <w:szCs w:val="24"/>
        </w:rPr>
        <w:t>yjnej</w:t>
      </w:r>
      <w:r w:rsidRPr="00515FC7">
        <w:rPr>
          <w:rFonts w:ascii="Times New Roman" w:hAnsi="Times New Roman" w:cs="Times New Roman"/>
          <w:bCs/>
          <w:sz w:val="24"/>
          <w:szCs w:val="24"/>
        </w:rPr>
        <w:t>, gdyż</w:t>
      </w:r>
      <w:r w:rsidR="004E2200" w:rsidRPr="00515FC7">
        <w:rPr>
          <w:rFonts w:ascii="Times New Roman" w:hAnsi="Times New Roman" w:cs="Times New Roman"/>
          <w:bCs/>
          <w:sz w:val="24"/>
          <w:szCs w:val="24"/>
        </w:rPr>
        <w:t> </w:t>
      </w:r>
      <w:r w:rsidRPr="00515FC7">
        <w:rPr>
          <w:rFonts w:ascii="Times New Roman" w:hAnsi="Times New Roman" w:cs="Times New Roman"/>
          <w:bCs/>
          <w:sz w:val="24"/>
          <w:szCs w:val="24"/>
        </w:rPr>
        <w:t xml:space="preserve">zdaniem Rzecznika w wyroku </w:t>
      </w:r>
      <w:r w:rsidR="005609DB" w:rsidRPr="00515FC7">
        <w:rPr>
          <w:rFonts w:ascii="Times New Roman" w:hAnsi="Times New Roman" w:cs="Times New Roman"/>
          <w:sz w:val="24"/>
          <w:szCs w:val="24"/>
        </w:rPr>
        <w:t xml:space="preserve">doszło </w:t>
      </w:r>
      <w:r w:rsidRPr="00515FC7">
        <w:rPr>
          <w:rFonts w:ascii="Times New Roman" w:hAnsi="Times New Roman" w:cs="Times New Roman"/>
          <w:sz w:val="24"/>
          <w:szCs w:val="24"/>
        </w:rPr>
        <w:t xml:space="preserve">nie tylko </w:t>
      </w:r>
      <w:r w:rsidR="005609DB" w:rsidRPr="00515FC7">
        <w:rPr>
          <w:rFonts w:ascii="Times New Roman" w:hAnsi="Times New Roman" w:cs="Times New Roman"/>
          <w:bCs/>
          <w:sz w:val="24"/>
          <w:szCs w:val="24"/>
        </w:rPr>
        <w:t>do naruszenia przepisów Konstytucji, ale</w:t>
      </w:r>
      <w:r w:rsidR="004E2200" w:rsidRPr="00515FC7">
        <w:rPr>
          <w:rFonts w:ascii="Times New Roman" w:hAnsi="Times New Roman" w:cs="Times New Roman"/>
          <w:bCs/>
          <w:sz w:val="24"/>
          <w:szCs w:val="24"/>
        </w:rPr>
        <w:t> </w:t>
      </w:r>
      <w:r w:rsidR="005609DB" w:rsidRPr="00515FC7">
        <w:rPr>
          <w:rFonts w:ascii="Times New Roman" w:hAnsi="Times New Roman" w:cs="Times New Roman"/>
          <w:bCs/>
          <w:sz w:val="24"/>
          <w:szCs w:val="24"/>
        </w:rPr>
        <w:t xml:space="preserve">także </w:t>
      </w:r>
      <w:r w:rsidR="005609DB" w:rsidRPr="00515FC7">
        <w:rPr>
          <w:rFonts w:ascii="Times New Roman" w:hAnsi="Times New Roman" w:cs="Times New Roman"/>
          <w:sz w:val="24"/>
          <w:szCs w:val="24"/>
        </w:rPr>
        <w:t>art. 10 Europejskiej Konwencji Praw Człowieka w zw. art. 6 tej Konwencji</w:t>
      </w:r>
      <w:r w:rsidRPr="00515FC7">
        <w:rPr>
          <w:rFonts w:ascii="Times New Roman" w:hAnsi="Times New Roman" w:cs="Times New Roman"/>
          <w:sz w:val="24"/>
          <w:szCs w:val="24"/>
        </w:rPr>
        <w:t>.</w:t>
      </w:r>
      <w:r w:rsidR="005609DB" w:rsidRPr="00515FC7">
        <w:rPr>
          <w:rFonts w:ascii="Times New Roman" w:hAnsi="Times New Roman" w:cs="Times New Roman"/>
          <w:sz w:val="24"/>
          <w:szCs w:val="24"/>
        </w:rPr>
        <w:t xml:space="preserve"> </w:t>
      </w:r>
      <w:r w:rsidRPr="00515FC7">
        <w:rPr>
          <w:rFonts w:ascii="Times New Roman" w:hAnsi="Times New Roman" w:cs="Times New Roman"/>
          <w:sz w:val="24"/>
          <w:szCs w:val="24"/>
        </w:rPr>
        <w:t>G</w:t>
      </w:r>
      <w:r w:rsidR="005609DB" w:rsidRPr="00515FC7">
        <w:rPr>
          <w:rFonts w:ascii="Times New Roman" w:hAnsi="Times New Roman" w:cs="Times New Roman"/>
          <w:sz w:val="24"/>
          <w:szCs w:val="24"/>
        </w:rPr>
        <w:t>warantują</w:t>
      </w:r>
      <w:r w:rsidRPr="00515FC7">
        <w:rPr>
          <w:rFonts w:ascii="Times New Roman" w:hAnsi="Times New Roman" w:cs="Times New Roman"/>
          <w:sz w:val="24"/>
          <w:szCs w:val="24"/>
        </w:rPr>
        <w:t xml:space="preserve"> one</w:t>
      </w:r>
      <w:r w:rsidR="005609DB" w:rsidRPr="00515FC7">
        <w:rPr>
          <w:rFonts w:ascii="Times New Roman" w:hAnsi="Times New Roman" w:cs="Times New Roman"/>
          <w:sz w:val="24"/>
          <w:szCs w:val="24"/>
        </w:rPr>
        <w:t xml:space="preserve"> każdemu wolność do wyrażania poglądów oraz pozyskiwania i</w:t>
      </w:r>
      <w:r w:rsidR="004E2200" w:rsidRPr="00515FC7">
        <w:rPr>
          <w:rFonts w:ascii="Times New Roman" w:hAnsi="Times New Roman" w:cs="Times New Roman"/>
          <w:sz w:val="24"/>
          <w:szCs w:val="24"/>
        </w:rPr>
        <w:t> </w:t>
      </w:r>
      <w:r w:rsidR="005609DB" w:rsidRPr="00515FC7">
        <w:rPr>
          <w:rFonts w:ascii="Times New Roman" w:hAnsi="Times New Roman" w:cs="Times New Roman"/>
          <w:sz w:val="24"/>
          <w:szCs w:val="24"/>
        </w:rPr>
        <w:t>rozpowszechniania informacji, także prawo do rozpoznania sprawy przez niezależny, niezawisły sąd.</w:t>
      </w:r>
      <w:r w:rsidR="009B2AE1" w:rsidRPr="00515FC7">
        <w:rPr>
          <w:rFonts w:ascii="Times New Roman" w:hAnsi="Times New Roman" w:cs="Times New Roman"/>
          <w:sz w:val="24"/>
          <w:szCs w:val="24"/>
        </w:rPr>
        <w:t xml:space="preserve"> Wyrok</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009B2AE1" w:rsidRPr="00515FC7">
        <w:rPr>
          <w:rFonts w:ascii="Times New Roman" w:hAnsi="Times New Roman" w:cs="Times New Roman"/>
          <w:sz w:val="24"/>
          <w:szCs w:val="24"/>
        </w:rPr>
        <w:t xml:space="preserve"> powoływany jest zatem jako argument za stanowiskiem RPO.</w:t>
      </w:r>
    </w:p>
    <w:p w:rsidR="005609DB" w:rsidRPr="00515FC7" w:rsidRDefault="005609DB" w:rsidP="004E2200">
      <w:pPr>
        <w:pStyle w:val="Akapitzlist"/>
        <w:spacing w:before="120" w:after="0" w:line="360" w:lineRule="auto"/>
        <w:ind w:left="0" w:firstLine="709"/>
        <w:contextualSpacing w:val="0"/>
        <w:jc w:val="both"/>
        <w:rPr>
          <w:rFonts w:ascii="Times New Roman" w:hAnsi="Times New Roman" w:cs="Times New Roman"/>
          <w:b/>
          <w:sz w:val="24"/>
          <w:szCs w:val="24"/>
        </w:rPr>
      </w:pPr>
    </w:p>
    <w:p w:rsidR="004C7916" w:rsidRPr="00515FC7" w:rsidRDefault="004C7916" w:rsidP="004E2200">
      <w:pPr>
        <w:jc w:val="both"/>
        <w:rPr>
          <w:rFonts w:ascii="Times New Roman" w:eastAsiaTheme="majorEastAsia" w:hAnsi="Times New Roman" w:cs="Times New Roman"/>
          <w:b/>
          <w:bCs/>
          <w:color w:val="365F91" w:themeColor="accent1" w:themeShade="BF"/>
          <w:sz w:val="28"/>
          <w:szCs w:val="28"/>
        </w:rPr>
      </w:pPr>
      <w:r w:rsidRPr="00515FC7">
        <w:rPr>
          <w:rFonts w:ascii="Times New Roman" w:hAnsi="Times New Roman" w:cs="Times New Roman"/>
        </w:rPr>
        <w:br w:type="page"/>
      </w:r>
    </w:p>
    <w:p w:rsidR="00365422" w:rsidRDefault="00365422" w:rsidP="004E2200">
      <w:pPr>
        <w:pStyle w:val="Nagwek1"/>
        <w:jc w:val="both"/>
        <w:rPr>
          <w:rFonts w:ascii="Times New Roman" w:hAnsi="Times New Roman" w:cs="Times New Roman"/>
          <w:color w:val="auto"/>
          <w:sz w:val="36"/>
        </w:rPr>
      </w:pPr>
      <w:bookmarkStart w:id="5" w:name="_Toc504117610"/>
      <w:r w:rsidRPr="00515FC7">
        <w:rPr>
          <w:rFonts w:ascii="Times New Roman" w:hAnsi="Times New Roman" w:cs="Times New Roman"/>
          <w:color w:val="auto"/>
          <w:sz w:val="36"/>
        </w:rPr>
        <w:t>Przykład spraw</w:t>
      </w:r>
      <w:r w:rsidR="00550EAD" w:rsidRPr="00515FC7">
        <w:rPr>
          <w:rFonts w:ascii="Times New Roman" w:hAnsi="Times New Roman" w:cs="Times New Roman"/>
          <w:color w:val="auto"/>
          <w:sz w:val="36"/>
        </w:rPr>
        <w:t>y</w:t>
      </w:r>
      <w:r w:rsidRPr="00515FC7">
        <w:rPr>
          <w:rFonts w:ascii="Times New Roman" w:hAnsi="Times New Roman" w:cs="Times New Roman"/>
          <w:color w:val="auto"/>
          <w:sz w:val="36"/>
        </w:rPr>
        <w:t>, w któr</w:t>
      </w:r>
      <w:r w:rsidR="00550EAD" w:rsidRPr="00515FC7">
        <w:rPr>
          <w:rFonts w:ascii="Times New Roman" w:hAnsi="Times New Roman" w:cs="Times New Roman"/>
          <w:color w:val="auto"/>
          <w:sz w:val="36"/>
        </w:rPr>
        <w:t xml:space="preserve">ej </w:t>
      </w:r>
      <w:r w:rsidRPr="00515FC7">
        <w:rPr>
          <w:rFonts w:ascii="Times New Roman" w:hAnsi="Times New Roman" w:cs="Times New Roman"/>
          <w:color w:val="auto"/>
          <w:sz w:val="36"/>
        </w:rPr>
        <w:t>RPO w odpowiedzi do</w:t>
      </w:r>
      <w:r w:rsidR="00535DCD" w:rsidRPr="00515FC7">
        <w:rPr>
          <w:rFonts w:ascii="Times New Roman" w:hAnsi="Times New Roman" w:cs="Times New Roman"/>
          <w:color w:val="auto"/>
          <w:sz w:val="36"/>
        </w:rPr>
        <w:t> </w:t>
      </w:r>
      <w:r w:rsidRPr="00515FC7">
        <w:rPr>
          <w:rFonts w:ascii="Times New Roman" w:hAnsi="Times New Roman" w:cs="Times New Roman"/>
          <w:color w:val="auto"/>
          <w:sz w:val="36"/>
        </w:rPr>
        <w:t>skarżących</w:t>
      </w:r>
      <w:r w:rsidR="00513D40" w:rsidRPr="00515FC7">
        <w:rPr>
          <w:rFonts w:ascii="Times New Roman" w:hAnsi="Times New Roman" w:cs="Times New Roman"/>
          <w:color w:val="auto"/>
          <w:sz w:val="36"/>
        </w:rPr>
        <w:t xml:space="preserve"> lub pismach kierowanych do</w:t>
      </w:r>
      <w:r w:rsidR="004E2200" w:rsidRPr="00515FC7">
        <w:rPr>
          <w:rFonts w:ascii="Times New Roman" w:hAnsi="Times New Roman" w:cs="Times New Roman"/>
          <w:color w:val="auto"/>
          <w:sz w:val="36"/>
        </w:rPr>
        <w:t> </w:t>
      </w:r>
      <w:r w:rsidR="00513D40" w:rsidRPr="00515FC7">
        <w:rPr>
          <w:rFonts w:ascii="Times New Roman" w:hAnsi="Times New Roman" w:cs="Times New Roman"/>
          <w:color w:val="auto"/>
          <w:sz w:val="36"/>
        </w:rPr>
        <w:t>właściwych organów</w:t>
      </w:r>
      <w:r w:rsidRPr="00515FC7">
        <w:rPr>
          <w:rFonts w:ascii="Times New Roman" w:hAnsi="Times New Roman" w:cs="Times New Roman"/>
          <w:color w:val="auto"/>
          <w:sz w:val="36"/>
        </w:rPr>
        <w:t xml:space="preserve"> wskaz</w:t>
      </w:r>
      <w:r w:rsidR="00550EAD" w:rsidRPr="00515FC7">
        <w:rPr>
          <w:rFonts w:ascii="Times New Roman" w:hAnsi="Times New Roman" w:cs="Times New Roman"/>
          <w:color w:val="auto"/>
          <w:sz w:val="36"/>
        </w:rPr>
        <w:t xml:space="preserve">ał </w:t>
      </w:r>
      <w:r w:rsidRPr="00515FC7">
        <w:rPr>
          <w:rFonts w:ascii="Times New Roman" w:hAnsi="Times New Roman" w:cs="Times New Roman"/>
          <w:color w:val="auto"/>
          <w:sz w:val="36"/>
        </w:rPr>
        <w:t>na standard wynikający z</w:t>
      </w:r>
      <w:r w:rsidR="00535DCD" w:rsidRPr="00515FC7">
        <w:rPr>
          <w:rFonts w:ascii="Times New Roman" w:hAnsi="Times New Roman" w:cs="Times New Roman"/>
          <w:color w:val="auto"/>
          <w:sz w:val="36"/>
        </w:rPr>
        <w:t> </w:t>
      </w:r>
      <w:r w:rsidRPr="00515FC7">
        <w:rPr>
          <w:rFonts w:ascii="Times New Roman" w:hAnsi="Times New Roman" w:cs="Times New Roman"/>
          <w:color w:val="auto"/>
          <w:sz w:val="36"/>
        </w:rPr>
        <w:t>orzecznictwa</w:t>
      </w:r>
      <w:r w:rsidR="00DA7701" w:rsidRPr="00515FC7">
        <w:rPr>
          <w:rFonts w:ascii="Times New Roman" w:hAnsi="Times New Roman" w:cs="Times New Roman"/>
          <w:color w:val="auto"/>
          <w:sz w:val="36"/>
        </w:rPr>
        <w:t xml:space="preserve"> </w:t>
      </w:r>
      <w:proofErr w:type="spellStart"/>
      <w:r w:rsidR="00DA7701" w:rsidRPr="00515FC7">
        <w:rPr>
          <w:rFonts w:ascii="Times New Roman" w:hAnsi="Times New Roman" w:cs="Times New Roman"/>
          <w:color w:val="auto"/>
          <w:sz w:val="36"/>
        </w:rPr>
        <w:t>EKPCz</w:t>
      </w:r>
      <w:bookmarkEnd w:id="5"/>
      <w:proofErr w:type="spellEnd"/>
    </w:p>
    <w:p w:rsidR="000125E8" w:rsidRPr="000125E8" w:rsidRDefault="000125E8" w:rsidP="000125E8"/>
    <w:p w:rsidR="00322498" w:rsidRPr="00515FC7" w:rsidRDefault="00322498" w:rsidP="004E2200">
      <w:pPr>
        <w:pStyle w:val="Nagwek2"/>
        <w:spacing w:before="120" w:line="360" w:lineRule="auto"/>
        <w:jc w:val="both"/>
        <w:rPr>
          <w:rFonts w:ascii="Times New Roman" w:hAnsi="Times New Roman" w:cs="Times New Roman"/>
        </w:rPr>
      </w:pPr>
      <w:bookmarkStart w:id="6" w:name="_Toc504117611"/>
      <w:r w:rsidRPr="00515FC7">
        <w:rPr>
          <w:rFonts w:ascii="Times New Roman" w:hAnsi="Times New Roman" w:cs="Times New Roman"/>
        </w:rPr>
        <w:t>Skargi dotyczące obecności krzyża w budynkach użyteczności publicznej</w:t>
      </w:r>
      <w:r w:rsidR="00550EAD" w:rsidRPr="00515FC7">
        <w:rPr>
          <w:rFonts w:ascii="Times New Roman" w:hAnsi="Times New Roman" w:cs="Times New Roman"/>
        </w:rPr>
        <w:t>.</w:t>
      </w:r>
      <w:bookmarkEnd w:id="6"/>
      <w:r w:rsidR="00550EAD" w:rsidRPr="00515FC7">
        <w:rPr>
          <w:rFonts w:ascii="Times New Roman" w:hAnsi="Times New Roman" w:cs="Times New Roman"/>
        </w:rPr>
        <w:t xml:space="preserve"> </w:t>
      </w:r>
    </w:p>
    <w:p w:rsidR="00322498" w:rsidRPr="00515FC7" w:rsidRDefault="00DA532A" w:rsidP="004E2200">
      <w:pPr>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 xml:space="preserve">Skarżący albo kwestionowali </w:t>
      </w:r>
      <w:r w:rsidR="004F506D" w:rsidRPr="00515FC7">
        <w:rPr>
          <w:rFonts w:ascii="Times New Roman" w:hAnsi="Times New Roman" w:cs="Times New Roman"/>
          <w:sz w:val="24"/>
          <w:szCs w:val="24"/>
        </w:rPr>
        <w:t xml:space="preserve">w pismach do RPO </w:t>
      </w:r>
      <w:r w:rsidRPr="00515FC7">
        <w:rPr>
          <w:rFonts w:ascii="Times New Roman" w:hAnsi="Times New Roman" w:cs="Times New Roman"/>
          <w:sz w:val="24"/>
          <w:szCs w:val="24"/>
        </w:rPr>
        <w:t xml:space="preserve">obecność krzyży w takich miejscach, albo domagali się potwierdzenia jej dopuszczalności. </w:t>
      </w:r>
    </w:p>
    <w:p w:rsidR="00DA532A" w:rsidRPr="00515FC7" w:rsidRDefault="00550EAD" w:rsidP="004E2200">
      <w:pPr>
        <w:spacing w:before="120" w:after="0" w:line="360" w:lineRule="auto"/>
        <w:ind w:firstLine="709"/>
        <w:jc w:val="both"/>
        <w:rPr>
          <w:rFonts w:ascii="Times New Roman" w:hAnsi="Times New Roman" w:cs="Times New Roman"/>
          <w:bCs/>
          <w:sz w:val="24"/>
          <w:szCs w:val="24"/>
        </w:rPr>
      </w:pPr>
      <w:r w:rsidRPr="00515FC7">
        <w:rPr>
          <w:rFonts w:ascii="Times New Roman" w:hAnsi="Times New Roman" w:cs="Times New Roman"/>
          <w:sz w:val="24"/>
          <w:szCs w:val="24"/>
        </w:rPr>
        <w:t xml:space="preserve">RPO w tych sprawach ogranicza się do przedstawienia wyjaśnień. </w:t>
      </w:r>
      <w:r w:rsidR="00322498" w:rsidRPr="00515FC7">
        <w:rPr>
          <w:rFonts w:ascii="Times New Roman" w:hAnsi="Times New Roman" w:cs="Times New Roman"/>
          <w:sz w:val="24"/>
          <w:szCs w:val="24"/>
        </w:rPr>
        <w:t>Przywołuje przy</w:t>
      </w:r>
      <w:r w:rsidR="004E2200" w:rsidRPr="00515FC7">
        <w:rPr>
          <w:rFonts w:ascii="Times New Roman" w:hAnsi="Times New Roman" w:cs="Times New Roman"/>
          <w:sz w:val="24"/>
          <w:szCs w:val="24"/>
        </w:rPr>
        <w:t> </w:t>
      </w:r>
      <w:r w:rsidR="00322498" w:rsidRPr="00515FC7">
        <w:rPr>
          <w:rFonts w:ascii="Times New Roman" w:hAnsi="Times New Roman" w:cs="Times New Roman"/>
          <w:sz w:val="24"/>
          <w:szCs w:val="24"/>
        </w:rPr>
        <w:t xml:space="preserve">tym </w:t>
      </w:r>
      <w:r w:rsidR="00DA532A" w:rsidRPr="00515FC7">
        <w:rPr>
          <w:rFonts w:ascii="Times New Roman" w:hAnsi="Times New Roman" w:cs="Times New Roman"/>
          <w:sz w:val="24"/>
          <w:szCs w:val="24"/>
        </w:rPr>
        <w:t>wyrok</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00DA532A" w:rsidRPr="00515FC7">
        <w:rPr>
          <w:rFonts w:ascii="Times New Roman" w:hAnsi="Times New Roman" w:cs="Times New Roman"/>
          <w:sz w:val="24"/>
          <w:szCs w:val="24"/>
        </w:rPr>
        <w:t xml:space="preserve"> w sprawie </w:t>
      </w:r>
      <w:proofErr w:type="spellStart"/>
      <w:r w:rsidR="00DA532A" w:rsidRPr="00515FC7">
        <w:rPr>
          <w:rFonts w:ascii="Times New Roman" w:hAnsi="Times New Roman" w:cs="Times New Roman"/>
          <w:i/>
          <w:sz w:val="24"/>
          <w:szCs w:val="24"/>
        </w:rPr>
        <w:t>Lautsi</w:t>
      </w:r>
      <w:proofErr w:type="spellEnd"/>
      <w:r w:rsidR="00DA532A" w:rsidRPr="00515FC7">
        <w:rPr>
          <w:rFonts w:ascii="Times New Roman" w:hAnsi="Times New Roman" w:cs="Times New Roman"/>
          <w:i/>
          <w:sz w:val="24"/>
          <w:szCs w:val="24"/>
        </w:rPr>
        <w:t xml:space="preserve"> i inni przeciwko Włochom</w:t>
      </w:r>
      <w:r w:rsidR="00DA532A" w:rsidRPr="00515FC7">
        <w:rPr>
          <w:rFonts w:ascii="Times New Roman" w:hAnsi="Times New Roman" w:cs="Times New Roman"/>
          <w:sz w:val="24"/>
          <w:szCs w:val="24"/>
        </w:rPr>
        <w:t xml:space="preserve"> z 18 marca 2011 r. </w:t>
      </w:r>
      <w:r w:rsidR="00DA532A" w:rsidRPr="00515FC7">
        <w:rPr>
          <w:rFonts w:ascii="Times New Roman" w:hAnsi="Times New Roman" w:cs="Times New Roman"/>
          <w:bCs/>
          <w:sz w:val="24"/>
          <w:szCs w:val="24"/>
        </w:rPr>
        <w:t>Oceniając kwestię obecności krucyfiksów w salach lekcyjnych publicznych szkół we</w:t>
      </w:r>
      <w:r w:rsidR="004E2200" w:rsidRPr="00515FC7">
        <w:rPr>
          <w:rFonts w:ascii="Times New Roman" w:hAnsi="Times New Roman" w:cs="Times New Roman"/>
          <w:bCs/>
          <w:sz w:val="24"/>
          <w:szCs w:val="24"/>
        </w:rPr>
        <w:t> </w:t>
      </w:r>
      <w:r w:rsidR="00DA532A" w:rsidRPr="00515FC7">
        <w:rPr>
          <w:rFonts w:ascii="Times New Roman" w:hAnsi="Times New Roman" w:cs="Times New Roman"/>
          <w:bCs/>
          <w:sz w:val="24"/>
          <w:szCs w:val="24"/>
        </w:rPr>
        <w:t>Włoszech</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00DA532A" w:rsidRPr="00515FC7">
        <w:rPr>
          <w:rFonts w:ascii="Times New Roman" w:hAnsi="Times New Roman" w:cs="Times New Roman"/>
          <w:bCs/>
          <w:sz w:val="24"/>
          <w:szCs w:val="24"/>
        </w:rPr>
        <w:t xml:space="preserve"> wziął pod uwagę całokształt działalności szkół respektujących pluralizm religijny i uznał, że sama obecność krzyża nie stanowi naruszenia wolności wyznania.</w:t>
      </w:r>
      <w:r w:rsidR="00DA7701" w:rsidRPr="00515FC7">
        <w:rPr>
          <w:rFonts w:ascii="Times New Roman" w:hAnsi="Times New Roman" w:cs="Times New Roman"/>
          <w:bCs/>
          <w:sz w:val="24"/>
          <w:szCs w:val="24"/>
        </w:rPr>
        <w:t xml:space="preserve"> </w:t>
      </w:r>
      <w:proofErr w:type="spellStart"/>
      <w:r w:rsidR="00DA7701" w:rsidRPr="00515FC7">
        <w:rPr>
          <w:rFonts w:ascii="Times New Roman" w:hAnsi="Times New Roman" w:cs="Times New Roman"/>
          <w:bCs/>
          <w:sz w:val="24"/>
          <w:szCs w:val="24"/>
        </w:rPr>
        <w:t>EKPCz</w:t>
      </w:r>
      <w:proofErr w:type="spellEnd"/>
      <w:r w:rsidR="00DA532A" w:rsidRPr="00515FC7">
        <w:rPr>
          <w:rFonts w:ascii="Times New Roman" w:hAnsi="Times New Roman" w:cs="Times New Roman"/>
          <w:bCs/>
          <w:sz w:val="24"/>
          <w:szCs w:val="24"/>
        </w:rPr>
        <w:t xml:space="preserve"> podkreślił też, że krzyż stanowi symbol pasywny, który sam w sobie nie ingeruje w wolność światopoglądową jednostki.</w:t>
      </w:r>
    </w:p>
    <w:p w:rsidR="00535DCD" w:rsidRPr="00515FC7" w:rsidRDefault="00535DCD" w:rsidP="004E2200">
      <w:pPr>
        <w:spacing w:before="120" w:after="0" w:line="360" w:lineRule="auto"/>
        <w:ind w:firstLine="709"/>
        <w:jc w:val="both"/>
        <w:rPr>
          <w:rFonts w:ascii="Times New Roman" w:hAnsi="Times New Roman" w:cs="Times New Roman"/>
          <w:sz w:val="24"/>
          <w:szCs w:val="24"/>
        </w:rPr>
      </w:pPr>
    </w:p>
    <w:p w:rsidR="00365422" w:rsidRDefault="00365422" w:rsidP="004E2200">
      <w:pPr>
        <w:pStyle w:val="Nagwek1"/>
        <w:jc w:val="both"/>
        <w:rPr>
          <w:rFonts w:ascii="Times New Roman" w:hAnsi="Times New Roman" w:cs="Times New Roman"/>
          <w:color w:val="auto"/>
          <w:sz w:val="36"/>
        </w:rPr>
      </w:pPr>
      <w:bookmarkStart w:id="7" w:name="_Toc504117612"/>
      <w:r w:rsidRPr="00515FC7">
        <w:rPr>
          <w:rFonts w:ascii="Times New Roman" w:hAnsi="Times New Roman" w:cs="Times New Roman"/>
          <w:color w:val="auto"/>
          <w:sz w:val="36"/>
        </w:rPr>
        <w:t>Przykłady spraw o charakterze generalnym</w:t>
      </w:r>
      <w:r w:rsidR="004C7916" w:rsidRPr="00515FC7">
        <w:rPr>
          <w:rFonts w:ascii="Times New Roman" w:hAnsi="Times New Roman" w:cs="Times New Roman"/>
          <w:color w:val="auto"/>
          <w:sz w:val="36"/>
        </w:rPr>
        <w:t>, w tym debaty o zmianie prawa</w:t>
      </w:r>
      <w:bookmarkEnd w:id="7"/>
    </w:p>
    <w:p w:rsidR="000125E8" w:rsidRPr="000125E8" w:rsidRDefault="000125E8" w:rsidP="000125E8"/>
    <w:p w:rsidR="00DD072A" w:rsidRPr="00515FC7" w:rsidRDefault="00DD072A" w:rsidP="004E2200">
      <w:pPr>
        <w:pStyle w:val="Nagwek2"/>
        <w:numPr>
          <w:ilvl w:val="0"/>
          <w:numId w:val="19"/>
        </w:numPr>
        <w:spacing w:before="120" w:line="360" w:lineRule="auto"/>
        <w:jc w:val="both"/>
        <w:rPr>
          <w:rFonts w:ascii="Times New Roman" w:hAnsi="Times New Roman" w:cs="Times New Roman"/>
        </w:rPr>
      </w:pPr>
      <w:bookmarkStart w:id="8" w:name="_Toc504117613"/>
      <w:r w:rsidRPr="00515FC7">
        <w:rPr>
          <w:rFonts w:ascii="Times New Roman" w:hAnsi="Times New Roman" w:cs="Times New Roman"/>
        </w:rPr>
        <w:t>Projekt ustawy dotyczącej sprawców przestępstw seksualnych</w:t>
      </w:r>
      <w:bookmarkEnd w:id="8"/>
      <w:r w:rsidRPr="00515FC7">
        <w:rPr>
          <w:rFonts w:ascii="Times New Roman" w:hAnsi="Times New Roman" w:cs="Times New Roman"/>
        </w:rPr>
        <w:t xml:space="preserve"> </w:t>
      </w:r>
    </w:p>
    <w:p w:rsidR="00DD072A" w:rsidRPr="00515FC7" w:rsidRDefault="00C240D2" w:rsidP="004E2200">
      <w:pPr>
        <w:spacing w:before="120" w:after="0" w:line="360" w:lineRule="auto"/>
        <w:ind w:firstLine="709"/>
        <w:jc w:val="both"/>
        <w:rPr>
          <w:rFonts w:ascii="Times New Roman" w:hAnsi="Times New Roman" w:cs="Times New Roman"/>
          <w:noProof/>
          <w:sz w:val="24"/>
          <w:szCs w:val="24"/>
          <w:lang w:eastAsia="pl-PL"/>
        </w:rPr>
      </w:pPr>
      <w:r w:rsidRPr="00515FC7">
        <w:rPr>
          <w:rFonts w:ascii="Times New Roman" w:hAnsi="Times New Roman" w:cs="Times New Roman"/>
          <w:sz w:val="24"/>
          <w:szCs w:val="24"/>
        </w:rPr>
        <w:t xml:space="preserve">Projekt, a </w:t>
      </w:r>
      <w:r w:rsidR="00DD072A" w:rsidRPr="00515FC7">
        <w:rPr>
          <w:rFonts w:ascii="Times New Roman" w:hAnsi="Times New Roman" w:cs="Times New Roman"/>
          <w:sz w:val="24"/>
          <w:szCs w:val="24"/>
        </w:rPr>
        <w:t>obecnie już ustawa</w:t>
      </w:r>
      <w:r w:rsidRPr="00515FC7">
        <w:rPr>
          <w:rFonts w:ascii="Times New Roman" w:hAnsi="Times New Roman" w:cs="Times New Roman"/>
          <w:sz w:val="24"/>
          <w:szCs w:val="24"/>
        </w:rPr>
        <w:t xml:space="preserve">, </w:t>
      </w:r>
      <w:r w:rsidR="00DD072A" w:rsidRPr="00515FC7">
        <w:rPr>
          <w:rFonts w:ascii="Times New Roman" w:hAnsi="Times New Roman" w:cs="Times New Roman"/>
          <w:sz w:val="24"/>
          <w:szCs w:val="24"/>
        </w:rPr>
        <w:t>zakładał stworzenie dwóch rejestrów sprawców przestępstw seksualnych - z dostępem ograniczonym i rejestru publicznego. W stanowisku RPO wskazywał na trzy wyroki</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EKPCz</w:t>
      </w:r>
      <w:proofErr w:type="spellEnd"/>
      <w:r w:rsidR="00DD072A" w:rsidRPr="00515FC7">
        <w:rPr>
          <w:rFonts w:ascii="Times New Roman" w:hAnsi="Times New Roman" w:cs="Times New Roman"/>
          <w:sz w:val="24"/>
          <w:szCs w:val="24"/>
        </w:rPr>
        <w:t xml:space="preserve">: </w:t>
      </w:r>
      <w:proofErr w:type="spellStart"/>
      <w:r w:rsidR="00DD072A" w:rsidRPr="00515FC7">
        <w:rPr>
          <w:rFonts w:ascii="Times New Roman" w:hAnsi="Times New Roman" w:cs="Times New Roman"/>
          <w:i/>
          <w:sz w:val="24"/>
          <w:szCs w:val="24"/>
        </w:rPr>
        <w:t>Gardel</w:t>
      </w:r>
      <w:proofErr w:type="spellEnd"/>
      <w:r w:rsidR="00DD072A" w:rsidRPr="00515FC7">
        <w:rPr>
          <w:rFonts w:ascii="Times New Roman" w:hAnsi="Times New Roman" w:cs="Times New Roman"/>
          <w:i/>
          <w:sz w:val="24"/>
          <w:szCs w:val="24"/>
        </w:rPr>
        <w:t xml:space="preserve"> p Francji</w:t>
      </w:r>
      <w:r w:rsidR="00DD072A" w:rsidRPr="00515FC7">
        <w:rPr>
          <w:rFonts w:ascii="Times New Roman" w:hAnsi="Times New Roman" w:cs="Times New Roman"/>
          <w:sz w:val="24"/>
          <w:szCs w:val="24"/>
        </w:rPr>
        <w:t xml:space="preserve"> (16428/05) oraz </w:t>
      </w:r>
      <w:proofErr w:type="spellStart"/>
      <w:r w:rsidR="00DD072A" w:rsidRPr="00515FC7">
        <w:rPr>
          <w:rFonts w:ascii="Times New Roman" w:hAnsi="Times New Roman" w:cs="Times New Roman"/>
          <w:i/>
          <w:sz w:val="24"/>
          <w:szCs w:val="24"/>
        </w:rPr>
        <w:t>Bouchcourt</w:t>
      </w:r>
      <w:proofErr w:type="spellEnd"/>
      <w:r w:rsidR="00DD072A" w:rsidRPr="00515FC7">
        <w:rPr>
          <w:rFonts w:ascii="Times New Roman" w:hAnsi="Times New Roman" w:cs="Times New Roman"/>
          <w:i/>
          <w:sz w:val="24"/>
          <w:szCs w:val="24"/>
        </w:rPr>
        <w:t xml:space="preserve"> p.</w:t>
      </w:r>
      <w:r w:rsidR="004E2200" w:rsidRPr="00515FC7">
        <w:rPr>
          <w:rFonts w:ascii="Times New Roman" w:hAnsi="Times New Roman" w:cs="Times New Roman"/>
          <w:i/>
          <w:sz w:val="24"/>
          <w:szCs w:val="24"/>
        </w:rPr>
        <w:t> </w:t>
      </w:r>
      <w:r w:rsidR="00DD072A" w:rsidRPr="00515FC7">
        <w:rPr>
          <w:rFonts w:ascii="Times New Roman" w:hAnsi="Times New Roman" w:cs="Times New Roman"/>
          <w:i/>
          <w:sz w:val="24"/>
          <w:szCs w:val="24"/>
        </w:rPr>
        <w:t>Francji</w:t>
      </w:r>
      <w:r w:rsidR="00DD072A" w:rsidRPr="00515FC7">
        <w:rPr>
          <w:rFonts w:ascii="Times New Roman" w:hAnsi="Times New Roman" w:cs="Times New Roman"/>
          <w:sz w:val="24"/>
          <w:szCs w:val="24"/>
        </w:rPr>
        <w:t xml:space="preserve"> (5335/06) czy </w:t>
      </w:r>
      <w:r w:rsidR="00DD072A" w:rsidRPr="00515FC7">
        <w:rPr>
          <w:rFonts w:ascii="Times New Roman" w:hAnsi="Times New Roman" w:cs="Times New Roman"/>
          <w:i/>
          <w:sz w:val="24"/>
          <w:szCs w:val="24"/>
        </w:rPr>
        <w:t>M.B. przeciwko Francji</w:t>
      </w:r>
      <w:r w:rsidR="00DD072A" w:rsidRPr="00515FC7">
        <w:rPr>
          <w:rFonts w:ascii="Times New Roman" w:hAnsi="Times New Roman" w:cs="Times New Roman"/>
          <w:sz w:val="24"/>
          <w:szCs w:val="24"/>
        </w:rPr>
        <w:t xml:space="preserve"> (22115/06), które wyznaczają </w:t>
      </w:r>
      <w:r w:rsidR="00DD072A" w:rsidRPr="00515FC7">
        <w:rPr>
          <w:rFonts w:ascii="Times New Roman" w:hAnsi="Times New Roman" w:cs="Times New Roman"/>
          <w:noProof/>
          <w:sz w:val="24"/>
          <w:szCs w:val="24"/>
          <w:lang w:eastAsia="pl-PL"/>
        </w:rPr>
        <w:t>standard określający minimalne gwarancje, pozwalające uznać ingerencję w prawo do prywatności polegajacą na tworzeniu rejestru sprawców przestępstw seksualnych za dopuszczalną w</w:t>
      </w:r>
      <w:r w:rsidR="004E2200" w:rsidRPr="00515FC7">
        <w:rPr>
          <w:rFonts w:ascii="Times New Roman" w:hAnsi="Times New Roman" w:cs="Times New Roman"/>
          <w:noProof/>
          <w:sz w:val="24"/>
          <w:szCs w:val="24"/>
          <w:lang w:eastAsia="pl-PL"/>
        </w:rPr>
        <w:t> </w:t>
      </w:r>
      <w:r w:rsidR="00DD072A" w:rsidRPr="00515FC7">
        <w:rPr>
          <w:rFonts w:ascii="Times New Roman" w:hAnsi="Times New Roman" w:cs="Times New Roman"/>
          <w:noProof/>
          <w:sz w:val="24"/>
          <w:szCs w:val="24"/>
          <w:lang w:eastAsia="pl-PL"/>
        </w:rPr>
        <w:t>świetle art. 8 EKPC.</w:t>
      </w:r>
      <w:r w:rsidRPr="00515FC7">
        <w:rPr>
          <w:rFonts w:ascii="Times New Roman" w:hAnsi="Times New Roman" w:cs="Times New Roman"/>
          <w:noProof/>
          <w:sz w:val="24"/>
          <w:szCs w:val="24"/>
          <w:lang w:eastAsia="pl-PL"/>
        </w:rPr>
        <w:t xml:space="preserve"> </w:t>
      </w:r>
    </w:p>
    <w:p w:rsidR="00DD072A" w:rsidRPr="00515FC7" w:rsidRDefault="00DD072A" w:rsidP="004E2200">
      <w:pPr>
        <w:pStyle w:val="Akapitzlist"/>
        <w:spacing w:before="120" w:after="0" w:line="360" w:lineRule="auto"/>
        <w:ind w:left="0" w:firstLine="709"/>
        <w:contextualSpacing w:val="0"/>
        <w:jc w:val="both"/>
        <w:rPr>
          <w:rFonts w:ascii="Times New Roman" w:hAnsi="Times New Roman" w:cs="Times New Roman"/>
          <w:noProof/>
          <w:sz w:val="24"/>
          <w:szCs w:val="24"/>
          <w:u w:val="single"/>
          <w:lang w:eastAsia="pl-PL"/>
        </w:rPr>
      </w:pPr>
      <w:r w:rsidRPr="00515FC7">
        <w:rPr>
          <w:rFonts w:ascii="Times New Roman" w:hAnsi="Times New Roman" w:cs="Times New Roman"/>
          <w:noProof/>
          <w:sz w:val="24"/>
          <w:szCs w:val="24"/>
          <w:u w:val="single"/>
          <w:lang w:eastAsia="pl-PL"/>
        </w:rPr>
        <w:t>Część uwag RPO została uwzględniona</w:t>
      </w:r>
      <w:r w:rsidR="00826652" w:rsidRPr="00515FC7">
        <w:rPr>
          <w:rFonts w:ascii="Times New Roman" w:hAnsi="Times New Roman" w:cs="Times New Roman"/>
          <w:noProof/>
          <w:sz w:val="24"/>
          <w:szCs w:val="24"/>
          <w:u w:val="single"/>
          <w:lang w:eastAsia="pl-PL"/>
        </w:rPr>
        <w:t xml:space="preserve"> w trakcie prac nad projektem.</w:t>
      </w:r>
    </w:p>
    <w:p w:rsidR="004F506D" w:rsidRPr="00515FC7" w:rsidRDefault="004F506D" w:rsidP="004E2200">
      <w:pPr>
        <w:pStyle w:val="Nagwek2"/>
        <w:numPr>
          <w:ilvl w:val="0"/>
          <w:numId w:val="19"/>
        </w:numPr>
        <w:spacing w:before="120" w:line="360" w:lineRule="auto"/>
        <w:jc w:val="both"/>
        <w:rPr>
          <w:rFonts w:ascii="Times New Roman" w:hAnsi="Times New Roman" w:cs="Times New Roman"/>
        </w:rPr>
      </w:pPr>
      <w:bookmarkStart w:id="9" w:name="_Toc504117614"/>
      <w:r w:rsidRPr="00515FC7">
        <w:rPr>
          <w:rFonts w:ascii="Times New Roman" w:hAnsi="Times New Roman" w:cs="Times New Roman"/>
        </w:rPr>
        <w:t>Zmiany w ustawie</w:t>
      </w:r>
      <w:r w:rsidR="00EF2158" w:rsidRPr="00515FC7">
        <w:rPr>
          <w:rFonts w:ascii="Times New Roman" w:hAnsi="Times New Roman" w:cs="Times New Roman"/>
        </w:rPr>
        <w:t xml:space="preserve"> Krajowej Radzie Sądownictwa</w:t>
      </w:r>
      <w:bookmarkEnd w:id="9"/>
    </w:p>
    <w:p w:rsidR="00EF2158" w:rsidRPr="00515FC7" w:rsidRDefault="008D1C0F" w:rsidP="004E2200">
      <w:pPr>
        <w:pStyle w:val="Akapitzlist"/>
        <w:spacing w:before="120" w:after="0" w:line="360" w:lineRule="auto"/>
        <w:ind w:left="709"/>
        <w:contextualSpacing w:val="0"/>
        <w:jc w:val="both"/>
        <w:rPr>
          <w:rFonts w:ascii="Times New Roman" w:hAnsi="Times New Roman" w:cs="Times New Roman"/>
          <w:sz w:val="24"/>
          <w:szCs w:val="24"/>
        </w:rPr>
      </w:pPr>
      <w:r w:rsidRPr="00515FC7">
        <w:rPr>
          <w:rFonts w:ascii="Times New Roman" w:hAnsi="Times New Roman" w:cs="Times New Roman"/>
          <w:sz w:val="24"/>
          <w:szCs w:val="24"/>
        </w:rPr>
        <w:t>Rzecznik w </w:t>
      </w:r>
      <w:r w:rsidR="00EF2158" w:rsidRPr="00515FC7">
        <w:rPr>
          <w:rFonts w:ascii="Times New Roman" w:hAnsi="Times New Roman" w:cs="Times New Roman"/>
          <w:sz w:val="24"/>
          <w:szCs w:val="24"/>
        </w:rPr>
        <w:t xml:space="preserve">wystąpieniach </w:t>
      </w:r>
      <w:r w:rsidR="00C240D2" w:rsidRPr="00515FC7">
        <w:rPr>
          <w:rFonts w:ascii="Times New Roman" w:hAnsi="Times New Roman" w:cs="Times New Roman"/>
          <w:sz w:val="24"/>
          <w:szCs w:val="24"/>
        </w:rPr>
        <w:t xml:space="preserve">dotyczących zmian w ustawie o KRS </w:t>
      </w:r>
      <w:r w:rsidRPr="00515FC7">
        <w:rPr>
          <w:rFonts w:ascii="Times New Roman" w:hAnsi="Times New Roman" w:cs="Times New Roman"/>
          <w:sz w:val="24"/>
          <w:szCs w:val="24"/>
        </w:rPr>
        <w:t xml:space="preserve">przywoływał </w:t>
      </w:r>
      <w:r w:rsidR="00EF2158" w:rsidRPr="00515FC7">
        <w:rPr>
          <w:rFonts w:ascii="Times New Roman" w:hAnsi="Times New Roman" w:cs="Times New Roman"/>
          <w:sz w:val="24"/>
          <w:szCs w:val="24"/>
        </w:rPr>
        <w:t>wyrok</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00EF2158" w:rsidRPr="00515FC7">
        <w:rPr>
          <w:rFonts w:ascii="Times New Roman" w:hAnsi="Times New Roman" w:cs="Times New Roman"/>
          <w:sz w:val="24"/>
          <w:szCs w:val="24"/>
        </w:rPr>
        <w:t xml:space="preserve"> z dnia 30 listopada 2010 r. w</w:t>
      </w:r>
      <w:r w:rsidRPr="00515FC7">
        <w:rPr>
          <w:rFonts w:ascii="Times New Roman" w:hAnsi="Times New Roman" w:cs="Times New Roman"/>
          <w:sz w:val="24"/>
          <w:szCs w:val="24"/>
        </w:rPr>
        <w:t> </w:t>
      </w:r>
      <w:r w:rsidR="00EF2158" w:rsidRPr="00515FC7">
        <w:rPr>
          <w:rFonts w:ascii="Times New Roman" w:hAnsi="Times New Roman" w:cs="Times New Roman"/>
          <w:sz w:val="24"/>
          <w:szCs w:val="24"/>
        </w:rPr>
        <w:t xml:space="preserve">sprawie </w:t>
      </w:r>
      <w:r w:rsidR="00EF2158" w:rsidRPr="00515FC7">
        <w:rPr>
          <w:rFonts w:ascii="Times New Roman" w:hAnsi="Times New Roman" w:cs="Times New Roman"/>
          <w:i/>
          <w:sz w:val="24"/>
          <w:szCs w:val="24"/>
        </w:rPr>
        <w:t>Henryk Urban i Ryszard Urban p.</w:t>
      </w:r>
      <w:r w:rsidR="004E2200" w:rsidRPr="00515FC7">
        <w:rPr>
          <w:rFonts w:ascii="Times New Roman" w:hAnsi="Times New Roman" w:cs="Times New Roman"/>
          <w:i/>
          <w:sz w:val="24"/>
          <w:szCs w:val="24"/>
        </w:rPr>
        <w:t> </w:t>
      </w:r>
      <w:r w:rsidR="00EF2158" w:rsidRPr="00515FC7">
        <w:rPr>
          <w:rFonts w:ascii="Times New Roman" w:hAnsi="Times New Roman" w:cs="Times New Roman"/>
          <w:i/>
          <w:sz w:val="24"/>
          <w:szCs w:val="24"/>
        </w:rPr>
        <w:t>Polsce</w:t>
      </w:r>
      <w:r w:rsidR="00EF2158" w:rsidRPr="00515FC7">
        <w:rPr>
          <w:rFonts w:ascii="Times New Roman" w:hAnsi="Times New Roman" w:cs="Times New Roman"/>
          <w:sz w:val="24"/>
          <w:szCs w:val="24"/>
        </w:rPr>
        <w:t xml:space="preserve"> </w:t>
      </w:r>
      <w:r w:rsidRPr="00515FC7">
        <w:rPr>
          <w:rFonts w:ascii="Times New Roman" w:hAnsi="Times New Roman" w:cs="Times New Roman"/>
          <w:sz w:val="24"/>
          <w:szCs w:val="24"/>
        </w:rPr>
        <w:t>(</w:t>
      </w:r>
      <w:r w:rsidR="00EF2158" w:rsidRPr="00515FC7">
        <w:rPr>
          <w:rFonts w:ascii="Times New Roman" w:hAnsi="Times New Roman" w:cs="Times New Roman"/>
          <w:sz w:val="24"/>
          <w:szCs w:val="24"/>
        </w:rPr>
        <w:t>skarga nr 23614/08</w:t>
      </w:r>
      <w:r w:rsidRPr="00515FC7">
        <w:rPr>
          <w:rFonts w:ascii="Times New Roman" w:hAnsi="Times New Roman" w:cs="Times New Roman"/>
          <w:sz w:val="24"/>
          <w:szCs w:val="24"/>
        </w:rPr>
        <w:t>)</w:t>
      </w:r>
      <w:r w:rsidR="00826652" w:rsidRPr="00515FC7">
        <w:rPr>
          <w:rFonts w:ascii="Times New Roman" w:hAnsi="Times New Roman" w:cs="Times New Roman"/>
          <w:sz w:val="24"/>
          <w:szCs w:val="24"/>
        </w:rPr>
        <w:t xml:space="preserve">,z których jasno wynika, że </w:t>
      </w:r>
      <w:r w:rsidR="00EF2158" w:rsidRPr="00515FC7">
        <w:rPr>
          <w:rFonts w:ascii="Times New Roman" w:hAnsi="Times New Roman" w:cs="Times New Roman"/>
          <w:sz w:val="24"/>
          <w:szCs w:val="24"/>
        </w:rPr>
        <w:t>niezawisłość sędziowska jest warunkiem poszanowania praw i wolności człowieka.</w:t>
      </w:r>
    </w:p>
    <w:p w:rsidR="004F506D" w:rsidRPr="00515FC7" w:rsidRDefault="008D1C0F" w:rsidP="004E2200">
      <w:pPr>
        <w:pStyle w:val="Nagwek2"/>
        <w:numPr>
          <w:ilvl w:val="0"/>
          <w:numId w:val="19"/>
        </w:numPr>
        <w:spacing w:before="120" w:line="360" w:lineRule="auto"/>
        <w:jc w:val="both"/>
        <w:rPr>
          <w:rFonts w:ascii="Times New Roman" w:hAnsi="Times New Roman" w:cs="Times New Roman"/>
        </w:rPr>
      </w:pPr>
      <w:bookmarkStart w:id="10" w:name="_Toc504117615"/>
      <w:r w:rsidRPr="00515FC7">
        <w:rPr>
          <w:rFonts w:ascii="Times New Roman" w:hAnsi="Times New Roman" w:cs="Times New Roman"/>
        </w:rPr>
        <w:t xml:space="preserve">Wykonanie </w:t>
      </w:r>
      <w:r w:rsidR="004F506D" w:rsidRPr="00515FC7">
        <w:rPr>
          <w:rFonts w:ascii="Times New Roman" w:hAnsi="Times New Roman" w:cs="Times New Roman"/>
        </w:rPr>
        <w:t xml:space="preserve">przez rząd </w:t>
      </w:r>
      <w:r w:rsidRPr="00515FC7">
        <w:rPr>
          <w:rFonts w:ascii="Times New Roman" w:hAnsi="Times New Roman" w:cs="Times New Roman"/>
        </w:rPr>
        <w:t>ustawy o planowaniu rodziny (tzw.</w:t>
      </w:r>
      <w:r w:rsidR="004E2200" w:rsidRPr="00515FC7">
        <w:rPr>
          <w:rFonts w:ascii="Times New Roman" w:hAnsi="Times New Roman" w:cs="Times New Roman"/>
        </w:rPr>
        <w:t> </w:t>
      </w:r>
      <w:r w:rsidRPr="00515FC7">
        <w:rPr>
          <w:rFonts w:ascii="Times New Roman" w:hAnsi="Times New Roman" w:cs="Times New Roman"/>
        </w:rPr>
        <w:t>antyaborcyjnej z 1993 r.).</w:t>
      </w:r>
      <w:bookmarkEnd w:id="10"/>
      <w:r w:rsidRPr="00515FC7">
        <w:rPr>
          <w:rFonts w:ascii="Times New Roman" w:hAnsi="Times New Roman" w:cs="Times New Roman"/>
        </w:rPr>
        <w:t xml:space="preserve"> </w:t>
      </w:r>
    </w:p>
    <w:p w:rsidR="008D1C0F" w:rsidRPr="00515FC7" w:rsidRDefault="008D1C0F" w:rsidP="004E2200">
      <w:pPr>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 xml:space="preserve">W </w:t>
      </w:r>
      <w:r w:rsidR="00550EAD" w:rsidRPr="00515FC7">
        <w:rPr>
          <w:rFonts w:ascii="Times New Roman" w:hAnsi="Times New Roman" w:cs="Times New Roman"/>
          <w:bCs/>
          <w:sz w:val="24"/>
          <w:szCs w:val="24"/>
        </w:rPr>
        <w:t xml:space="preserve">wystąpienie </w:t>
      </w:r>
      <w:r w:rsidR="00F640FD" w:rsidRPr="00515FC7">
        <w:rPr>
          <w:rFonts w:ascii="Times New Roman" w:hAnsi="Times New Roman" w:cs="Times New Roman"/>
          <w:bCs/>
          <w:sz w:val="24"/>
          <w:szCs w:val="24"/>
        </w:rPr>
        <w:t xml:space="preserve">do Prezesa Rady Ministrów w sprawie Sprawozdania Rady Ministrów z wykonywania oraz o skutkach stosowania w roku 2014 ustawy </w:t>
      </w:r>
      <w:r w:rsidR="00DF2CDB" w:rsidRPr="00515FC7">
        <w:rPr>
          <w:rFonts w:ascii="Times New Roman" w:hAnsi="Times New Roman" w:cs="Times New Roman"/>
          <w:bCs/>
          <w:sz w:val="24"/>
          <w:szCs w:val="24"/>
        </w:rPr>
        <w:t>o p</w:t>
      </w:r>
      <w:r w:rsidR="00F640FD" w:rsidRPr="00515FC7">
        <w:rPr>
          <w:rFonts w:ascii="Times New Roman" w:hAnsi="Times New Roman" w:cs="Times New Roman"/>
          <w:bCs/>
          <w:sz w:val="24"/>
          <w:szCs w:val="24"/>
        </w:rPr>
        <w:t>lanowaniu rodziny, ochronie płodu ludzkiego i warunkach dopuszczalności przerywania ciąży (druk sejmowy nr</w:t>
      </w:r>
      <w:r w:rsidR="004E2200" w:rsidRPr="00515FC7">
        <w:rPr>
          <w:rFonts w:ascii="Times New Roman" w:hAnsi="Times New Roman" w:cs="Times New Roman"/>
          <w:bCs/>
          <w:sz w:val="24"/>
          <w:szCs w:val="24"/>
        </w:rPr>
        <w:t> </w:t>
      </w:r>
      <w:r w:rsidR="00F640FD" w:rsidRPr="00515FC7">
        <w:rPr>
          <w:rFonts w:ascii="Times New Roman" w:hAnsi="Times New Roman" w:cs="Times New Roman"/>
          <w:bCs/>
          <w:sz w:val="24"/>
          <w:szCs w:val="24"/>
        </w:rPr>
        <w:t>373</w:t>
      </w:r>
      <w:r w:rsidR="00DF2CDB" w:rsidRPr="00515FC7">
        <w:rPr>
          <w:rFonts w:ascii="Times New Roman" w:hAnsi="Times New Roman" w:cs="Times New Roman"/>
          <w:bCs/>
          <w:sz w:val="24"/>
          <w:szCs w:val="24"/>
        </w:rPr>
        <w:t>)</w:t>
      </w:r>
      <w:r w:rsidRPr="00515FC7">
        <w:rPr>
          <w:rFonts w:ascii="Times New Roman" w:hAnsi="Times New Roman" w:cs="Times New Roman"/>
          <w:bCs/>
          <w:sz w:val="24"/>
          <w:szCs w:val="24"/>
        </w:rPr>
        <w:t xml:space="preserve"> </w:t>
      </w:r>
      <w:r w:rsidR="00F640FD" w:rsidRPr="00515FC7">
        <w:rPr>
          <w:rFonts w:ascii="Times New Roman" w:hAnsi="Times New Roman" w:cs="Times New Roman"/>
          <w:sz w:val="24"/>
          <w:szCs w:val="24"/>
        </w:rPr>
        <w:t xml:space="preserve">Rzecznik odniósł się m.in. do problematyki dostępności do legalnej aborcji oraz funkcjonowania klauzuli sumienia. </w:t>
      </w:r>
    </w:p>
    <w:p w:rsidR="008D1C0F" w:rsidRPr="00515FC7" w:rsidRDefault="00F640FD"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Rzecznik zwrócił uwagę na nieefektywny sposób ukształtowania procedury sprzeciwu od orzeczenia lekarza (m.in. zbyt długi termin rozpatrywania spraw czy obowiązek wskazania przez pacjentkę konkretnej podstawy prawnej, z której wynikają jej prawa</w:t>
      </w:r>
      <w:r w:rsidR="00DA7701" w:rsidRPr="00515FC7">
        <w:rPr>
          <w:rFonts w:ascii="Times New Roman" w:hAnsi="Times New Roman" w:cs="Times New Roman"/>
          <w:sz w:val="24"/>
          <w:szCs w:val="24"/>
        </w:rPr>
        <w:t xml:space="preserve"> </w:t>
      </w:r>
      <w:r w:rsidRPr="00515FC7">
        <w:rPr>
          <w:rFonts w:ascii="Times New Roman" w:hAnsi="Times New Roman" w:cs="Times New Roman"/>
          <w:sz w:val="24"/>
          <w:szCs w:val="24"/>
        </w:rPr>
        <w:t xml:space="preserve">i obowiązki). </w:t>
      </w:r>
    </w:p>
    <w:p w:rsidR="00F640FD" w:rsidRPr="00515FC7" w:rsidRDefault="00F640FD"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W piśmie wykorzystane zostały orzeczenia</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w sprawach: </w:t>
      </w:r>
      <w:r w:rsidRPr="00515FC7">
        <w:rPr>
          <w:rFonts w:ascii="Times New Roman" w:hAnsi="Times New Roman" w:cs="Times New Roman"/>
          <w:i/>
          <w:sz w:val="24"/>
          <w:szCs w:val="24"/>
        </w:rPr>
        <w:t>P. i S. p. Pol</w:t>
      </w:r>
      <w:r w:rsidR="00FA4DA8" w:rsidRPr="00515FC7">
        <w:rPr>
          <w:rFonts w:ascii="Times New Roman" w:hAnsi="Times New Roman" w:cs="Times New Roman"/>
          <w:i/>
          <w:sz w:val="24"/>
          <w:szCs w:val="24"/>
        </w:rPr>
        <w:t>s</w:t>
      </w:r>
      <w:r w:rsidRPr="00515FC7">
        <w:rPr>
          <w:rFonts w:ascii="Times New Roman" w:hAnsi="Times New Roman" w:cs="Times New Roman"/>
          <w:i/>
          <w:sz w:val="24"/>
          <w:szCs w:val="24"/>
        </w:rPr>
        <w:t>ce, Tysiąc p. Polsce i R.R. p. Polsce</w:t>
      </w:r>
      <w:r w:rsidRPr="00515FC7">
        <w:rPr>
          <w:rFonts w:ascii="Times New Roman" w:hAnsi="Times New Roman" w:cs="Times New Roman"/>
          <w:sz w:val="24"/>
          <w:szCs w:val="24"/>
        </w:rPr>
        <w:t xml:space="preserve">, które posłużyły </w:t>
      </w:r>
      <w:r w:rsidR="008D1C0F" w:rsidRPr="00515FC7">
        <w:rPr>
          <w:rFonts w:ascii="Times New Roman" w:hAnsi="Times New Roman" w:cs="Times New Roman"/>
          <w:sz w:val="24"/>
          <w:szCs w:val="24"/>
        </w:rPr>
        <w:t xml:space="preserve">do </w:t>
      </w:r>
      <w:r w:rsidRPr="00515FC7">
        <w:rPr>
          <w:rFonts w:ascii="Times New Roman" w:hAnsi="Times New Roman" w:cs="Times New Roman"/>
          <w:sz w:val="24"/>
          <w:szCs w:val="24"/>
        </w:rPr>
        <w:t>rekonstrukcji standardu ochrony praw pacjentem z równoczesnym poszanowaniem wolności sumienia lekarzy. Zgodnie ze</w:t>
      </w:r>
      <w:r w:rsidR="004E2200" w:rsidRPr="00515FC7">
        <w:rPr>
          <w:rFonts w:ascii="Times New Roman" w:hAnsi="Times New Roman" w:cs="Times New Roman"/>
          <w:sz w:val="24"/>
          <w:szCs w:val="24"/>
        </w:rPr>
        <w:t> </w:t>
      </w:r>
      <w:r w:rsidRPr="00515FC7">
        <w:rPr>
          <w:rFonts w:ascii="Times New Roman" w:hAnsi="Times New Roman" w:cs="Times New Roman"/>
          <w:sz w:val="24"/>
          <w:szCs w:val="24"/>
        </w:rPr>
        <w:t>standardem wyrażonym w orzecznictwie Europejskiego Trybunału Praw Człowieka państwa są zobowiązane do organizowania systemu świadczeń zdrowotnych w taki sposób, aby zapewnić, że skuteczne egzekwowanie prawa do wolności sumienia pracowników opieki zdrowotnej w kontekście zawodowym nie uniemożliwia pacjentom uzyskania dostępu do</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świadczeń, do których są uprawnieniu zgodnie ze stosownym ustawodawstwem.</w:t>
      </w:r>
    </w:p>
    <w:p w:rsidR="00F640FD" w:rsidRPr="00515FC7" w:rsidRDefault="00F640FD"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Ponadto zalecenia znajdujące się w orzeczeniu</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w sprawie </w:t>
      </w:r>
      <w:r w:rsidRPr="00515FC7">
        <w:rPr>
          <w:rFonts w:ascii="Times New Roman" w:hAnsi="Times New Roman" w:cs="Times New Roman"/>
          <w:i/>
          <w:sz w:val="24"/>
          <w:szCs w:val="24"/>
        </w:rPr>
        <w:t>Tysiąc p. Pol</w:t>
      </w:r>
      <w:r w:rsidR="00550EAD" w:rsidRPr="00515FC7">
        <w:rPr>
          <w:rFonts w:ascii="Times New Roman" w:hAnsi="Times New Roman" w:cs="Times New Roman"/>
          <w:i/>
          <w:sz w:val="24"/>
          <w:szCs w:val="24"/>
        </w:rPr>
        <w:t>s</w:t>
      </w:r>
      <w:r w:rsidRPr="00515FC7">
        <w:rPr>
          <w:rFonts w:ascii="Times New Roman" w:hAnsi="Times New Roman" w:cs="Times New Roman"/>
          <w:i/>
          <w:sz w:val="24"/>
          <w:szCs w:val="24"/>
        </w:rPr>
        <w:t>ce</w:t>
      </w:r>
      <w:r w:rsidRPr="00515FC7">
        <w:rPr>
          <w:rFonts w:ascii="Times New Roman" w:hAnsi="Times New Roman" w:cs="Times New Roman"/>
          <w:sz w:val="24"/>
          <w:szCs w:val="24"/>
        </w:rPr>
        <w:t xml:space="preserve"> posłużyły do oceny efektywności funkcjonowania instytucji sprzeciwu od orzeczenia lekarza. Zgodnie z zaleceniami krajowe ustawodawstwo powinno przewidywać istnienie posiadającego odpowiednie kwalifikacje ciała, które w sposób niezależny i w odpowiednim terminie dokona weryfikacji kwestionowanej przez pacjenta decyzji lekarza. Ponadto pacjentka powinna mieć możliwość bycia osobiście wysłuchaną przez tenże podmiot, zaś</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decyzja w jej sprawie winna być uzasadniona i sporządzona na piśmie.</w:t>
      </w:r>
    </w:p>
    <w:p w:rsidR="00550EAD" w:rsidRPr="00515FC7" w:rsidRDefault="008D1C0F" w:rsidP="004E2200">
      <w:pPr>
        <w:pStyle w:val="Nagwek2"/>
        <w:numPr>
          <w:ilvl w:val="0"/>
          <w:numId w:val="19"/>
        </w:numPr>
        <w:spacing w:before="120" w:line="360" w:lineRule="auto"/>
        <w:jc w:val="both"/>
        <w:rPr>
          <w:rFonts w:ascii="Times New Roman" w:hAnsi="Times New Roman" w:cs="Times New Roman"/>
        </w:rPr>
      </w:pPr>
      <w:bookmarkStart w:id="11" w:name="_Toc504117616"/>
      <w:r w:rsidRPr="00515FC7">
        <w:rPr>
          <w:rFonts w:ascii="Times New Roman" w:hAnsi="Times New Roman" w:cs="Times New Roman"/>
        </w:rPr>
        <w:t>Klauzul</w:t>
      </w:r>
      <w:r w:rsidR="002B7182" w:rsidRPr="00515FC7">
        <w:rPr>
          <w:rFonts w:ascii="Times New Roman" w:hAnsi="Times New Roman" w:cs="Times New Roman"/>
        </w:rPr>
        <w:t>a</w:t>
      </w:r>
      <w:r w:rsidRPr="00515FC7">
        <w:rPr>
          <w:rFonts w:ascii="Times New Roman" w:hAnsi="Times New Roman" w:cs="Times New Roman"/>
        </w:rPr>
        <w:t xml:space="preserve"> sumienia farmaceutów</w:t>
      </w:r>
      <w:bookmarkEnd w:id="11"/>
    </w:p>
    <w:p w:rsidR="00F640FD" w:rsidRPr="00515FC7" w:rsidRDefault="00F640FD"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Sprawa dotyczy napływających do Rzecznika informacji o odmowie sprzedaży niektórych produktów leczniczych z powołaniem się na</w:t>
      </w:r>
      <w:r w:rsidR="00DF2CDB" w:rsidRPr="00515FC7">
        <w:rPr>
          <w:rFonts w:ascii="Times New Roman" w:hAnsi="Times New Roman" w:cs="Times New Roman"/>
          <w:sz w:val="24"/>
          <w:szCs w:val="24"/>
        </w:rPr>
        <w:t> </w:t>
      </w:r>
      <w:r w:rsidRPr="00515FC7">
        <w:rPr>
          <w:rFonts w:ascii="Times New Roman" w:hAnsi="Times New Roman" w:cs="Times New Roman"/>
          <w:sz w:val="24"/>
          <w:szCs w:val="24"/>
        </w:rPr>
        <w:t>klauzulę sumienia. Rzecznik wyraził stanowisko, że taka praktyka pozostaje w sprzeczności z prawem.</w:t>
      </w:r>
      <w:r w:rsidR="008D1C0F" w:rsidRPr="00515FC7">
        <w:rPr>
          <w:rFonts w:ascii="Times New Roman" w:hAnsi="Times New Roman" w:cs="Times New Roman"/>
          <w:sz w:val="24"/>
          <w:szCs w:val="24"/>
        </w:rPr>
        <w:t xml:space="preserve"> W</w:t>
      </w:r>
      <w:r w:rsidRPr="00515FC7">
        <w:rPr>
          <w:rFonts w:ascii="Times New Roman" w:hAnsi="Times New Roman" w:cs="Times New Roman"/>
          <w:sz w:val="24"/>
          <w:szCs w:val="24"/>
        </w:rPr>
        <w:t xml:space="preserve">skazał na wyrok Europejskiego Trybunału Praw Człowieka w sprawie </w:t>
      </w:r>
      <w:proofErr w:type="spellStart"/>
      <w:r w:rsidRPr="00515FC7">
        <w:rPr>
          <w:rFonts w:ascii="Times New Roman" w:hAnsi="Times New Roman" w:cs="Times New Roman"/>
          <w:i/>
          <w:sz w:val="24"/>
          <w:szCs w:val="24"/>
        </w:rPr>
        <w:t>Pichon</w:t>
      </w:r>
      <w:proofErr w:type="spellEnd"/>
      <w:r w:rsidRPr="00515FC7">
        <w:rPr>
          <w:rFonts w:ascii="Times New Roman" w:hAnsi="Times New Roman" w:cs="Times New Roman"/>
          <w:i/>
          <w:sz w:val="24"/>
          <w:szCs w:val="24"/>
        </w:rPr>
        <w:t xml:space="preserve"> i </w:t>
      </w:r>
      <w:proofErr w:type="spellStart"/>
      <w:r w:rsidRPr="00515FC7">
        <w:rPr>
          <w:rFonts w:ascii="Times New Roman" w:hAnsi="Times New Roman" w:cs="Times New Roman"/>
          <w:i/>
          <w:sz w:val="24"/>
          <w:szCs w:val="24"/>
        </w:rPr>
        <w:t>Sajous</w:t>
      </w:r>
      <w:proofErr w:type="spellEnd"/>
      <w:r w:rsidRPr="00515FC7">
        <w:rPr>
          <w:rFonts w:ascii="Times New Roman" w:hAnsi="Times New Roman" w:cs="Times New Roman"/>
          <w:i/>
          <w:sz w:val="24"/>
          <w:szCs w:val="24"/>
        </w:rPr>
        <w:t xml:space="preserve"> p. Francji.</w:t>
      </w:r>
      <w:r w:rsidRPr="00515FC7">
        <w:rPr>
          <w:rFonts w:ascii="Times New Roman" w:hAnsi="Times New Roman" w:cs="Times New Roman"/>
          <w:sz w:val="24"/>
          <w:szCs w:val="24"/>
        </w:rPr>
        <w:t xml:space="preserve"> Trybunał uznał w nim, że uniemożliwienie farmaceucie odmowy sprzedaży leków nie stanowi naruszenia art. 9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zauważył, że tak długo, jak sprzedaż środków antykoncepcyjnych jest legalna, dostępna na podstawie recepty wystawionej przez lekarza, a</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preparaty te możliwe są do nabycia jedynie w aptece, farmaceuci nie mają prawa narzucać innym swoich przekonań moralnych odmawiając sprzedaży leku.</w:t>
      </w:r>
    </w:p>
    <w:p w:rsidR="00511E9B" w:rsidRPr="00515FC7" w:rsidRDefault="00511E9B" w:rsidP="004E2200">
      <w:pPr>
        <w:pStyle w:val="Nagwek2"/>
        <w:numPr>
          <w:ilvl w:val="0"/>
          <w:numId w:val="19"/>
        </w:numPr>
        <w:spacing w:before="120" w:line="360" w:lineRule="auto"/>
        <w:jc w:val="both"/>
        <w:rPr>
          <w:rFonts w:ascii="Times New Roman" w:hAnsi="Times New Roman" w:cs="Times New Roman"/>
        </w:rPr>
      </w:pPr>
      <w:bookmarkStart w:id="12" w:name="_Toc504117617"/>
      <w:r w:rsidRPr="00515FC7">
        <w:rPr>
          <w:rFonts w:ascii="Times New Roman" w:hAnsi="Times New Roman" w:cs="Times New Roman"/>
        </w:rPr>
        <w:t>Reprywatyzacja – naruszenie art. 6 Konwencji oraz art. 1 Protokołu Nr 1</w:t>
      </w:r>
      <w:bookmarkEnd w:id="12"/>
    </w:p>
    <w:p w:rsidR="00964B7D" w:rsidRPr="00515FC7" w:rsidRDefault="00511E9B"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Orzeczenia</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są przywoływane również w kontekście nierozwiązanych problemów reprywatyzacyjnych: przewlekłości postępowania (tu: administracyjnego, w tym na tle tzw. dekretu warszawskiego), nierównego traktowania, niejasności prawa, naruszenia praw majątkowych. </w:t>
      </w:r>
    </w:p>
    <w:p w:rsidR="00511E9B" w:rsidRPr="00515FC7" w:rsidRDefault="00511E9B"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W kontekście reprywatyzacji szczególną uwagę należy zwrócić m.in. na wyrok w</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sprawie Plechanow przeciwko Polsce (skarga nr 22279/04, wyrok z dnia 7 lutego 2009 r.), tłem którego były trudności dawnego właściciela nieruchomości objętej działaniem dekretu warszawskiego z uzyskaniem odszkodowania za wadliwe działania władz w odniesieniu do</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nieruchomości skarżącego. W uzasadnieniu wyroku Trybunał przypomniał, iż</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„rzeczywiste i skuteczne korzystanie z prawa chronio</w:t>
      </w:r>
      <w:r w:rsidR="00960E4D">
        <w:rPr>
          <w:rFonts w:ascii="Times New Roman" w:hAnsi="Times New Roman" w:cs="Times New Roman"/>
          <w:sz w:val="24"/>
          <w:szCs w:val="24"/>
        </w:rPr>
        <w:t>nego Artykułem 1 Protokołu nr 1 </w:t>
      </w:r>
      <w:r w:rsidRPr="00515FC7">
        <w:rPr>
          <w:rFonts w:ascii="Times New Roman" w:hAnsi="Times New Roman" w:cs="Times New Roman"/>
          <w:sz w:val="24"/>
          <w:szCs w:val="24"/>
        </w:rPr>
        <w:t>do</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Konwencji nie polega jedynie na obowiązku powstrzymania się przez państwo od</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ingerencji, ale także prowadzi do powstania obowiązku działań pozytywnych". W</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sytuacjach, w których państwo decyduje się na naprawienie szkód powstałych przed ratyfikowaniem Konwencji, uregulowanie takie „musi zostać wprowadzone w sposób jasny i</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spójny, tak, aby uniknąć niepewności prawnej". Jako że, zdaniem Trybunału, „skarżący stali się ofiarami reform administracyjnych, niekonsekwencji orzecznictwa oraz braku pewności i</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spójności prawa w tym zakresie", na skutek czego nie byli w stanie uzyskać należnego odszkodowania za poniesioną szkodę, skutkowało to stwierdzeniem naruszenia przez Polskę art. 1 Protokołu Nr 1 do Konwencji” (analogicznie w sprawie Sierpiński przeciwko Polsce, skarga Nr 38016/07, wyrok z 3 listopada 2009 r.)</w:t>
      </w:r>
    </w:p>
    <w:p w:rsidR="00511E9B" w:rsidRPr="00515FC7" w:rsidRDefault="00511E9B"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Podobne stanowisko przedstawiono w kolejnym bardzo obszernym wystąpieniu do</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Prezes Rady Ministrów z 7 października 2016 r.,), gdzie Rzecznik ponownie powołał się na wskazówki, jakie płyną z orzecznictwa</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w:t>
      </w:r>
    </w:p>
    <w:p w:rsidR="00511E9B" w:rsidRPr="00515FC7" w:rsidRDefault="00511E9B" w:rsidP="004E2200">
      <w:pPr>
        <w:pStyle w:val="Akapitzlist"/>
        <w:spacing w:before="120" w:after="0" w:line="360" w:lineRule="auto"/>
        <w:ind w:left="0" w:firstLine="709"/>
        <w:contextualSpacing w:val="0"/>
        <w:jc w:val="both"/>
        <w:rPr>
          <w:rFonts w:ascii="Times New Roman" w:hAnsi="Times New Roman" w:cs="Times New Roman"/>
          <w:sz w:val="24"/>
          <w:szCs w:val="24"/>
        </w:rPr>
      </w:pPr>
    </w:p>
    <w:p w:rsidR="002B7182" w:rsidRPr="00515FC7" w:rsidRDefault="00304BFA" w:rsidP="004E2200">
      <w:pPr>
        <w:pStyle w:val="Nagwek2"/>
        <w:numPr>
          <w:ilvl w:val="0"/>
          <w:numId w:val="19"/>
        </w:numPr>
        <w:spacing w:before="120" w:line="360" w:lineRule="auto"/>
        <w:jc w:val="both"/>
        <w:rPr>
          <w:rFonts w:ascii="Times New Roman" w:hAnsi="Times New Roman" w:cs="Times New Roman"/>
          <w:noProof/>
          <w:lang w:eastAsia="pl-PL"/>
        </w:rPr>
      </w:pPr>
      <w:bookmarkStart w:id="13" w:name="_Toc504117618"/>
      <w:r w:rsidRPr="00515FC7">
        <w:rPr>
          <w:rFonts w:ascii="Times New Roman" w:hAnsi="Times New Roman" w:cs="Times New Roman"/>
          <w:noProof/>
          <w:lang w:eastAsia="pl-PL"/>
        </w:rPr>
        <w:t>Blokowanie stron internetowych</w:t>
      </w:r>
      <w:bookmarkEnd w:id="13"/>
      <w:r w:rsidRPr="00515FC7">
        <w:rPr>
          <w:rFonts w:ascii="Times New Roman" w:hAnsi="Times New Roman" w:cs="Times New Roman"/>
          <w:noProof/>
          <w:lang w:eastAsia="pl-PL"/>
        </w:rPr>
        <w:t xml:space="preserve"> </w:t>
      </w:r>
    </w:p>
    <w:p w:rsidR="00304BFA" w:rsidRPr="00515FC7" w:rsidRDefault="00286063" w:rsidP="004E2200">
      <w:pPr>
        <w:pStyle w:val="Akapitzlist"/>
        <w:spacing w:before="120" w:after="0" w:line="360" w:lineRule="auto"/>
        <w:ind w:left="0" w:firstLine="709"/>
        <w:contextualSpacing w:val="0"/>
        <w:jc w:val="both"/>
        <w:rPr>
          <w:rFonts w:ascii="Times New Roman" w:hAnsi="Times New Roman" w:cs="Times New Roman"/>
          <w:noProof/>
          <w:sz w:val="24"/>
          <w:szCs w:val="24"/>
          <w:lang w:eastAsia="pl-PL"/>
        </w:rPr>
      </w:pPr>
      <w:r w:rsidRPr="00515FC7">
        <w:rPr>
          <w:rFonts w:ascii="Times New Roman" w:hAnsi="Times New Roman" w:cs="Times New Roman"/>
          <w:noProof/>
          <w:sz w:val="24"/>
          <w:szCs w:val="24"/>
          <w:lang w:eastAsia="pl-PL"/>
        </w:rPr>
        <w:t>P</w:t>
      </w:r>
      <w:r w:rsidR="00304BFA" w:rsidRPr="00515FC7">
        <w:rPr>
          <w:rFonts w:ascii="Times New Roman" w:hAnsi="Times New Roman" w:cs="Times New Roman"/>
          <w:noProof/>
          <w:sz w:val="24"/>
          <w:szCs w:val="24"/>
          <w:lang w:eastAsia="pl-PL"/>
        </w:rPr>
        <w:t xml:space="preserve">roblem </w:t>
      </w:r>
      <w:r w:rsidRPr="00515FC7">
        <w:rPr>
          <w:rFonts w:ascii="Times New Roman" w:hAnsi="Times New Roman" w:cs="Times New Roman"/>
          <w:noProof/>
          <w:sz w:val="24"/>
          <w:szCs w:val="24"/>
          <w:lang w:eastAsia="pl-PL"/>
        </w:rPr>
        <w:t>blokowania stron internetowych wiąże się z kwestią prawa do informacji i</w:t>
      </w:r>
      <w:r w:rsidR="00DA7701" w:rsidRPr="00515FC7">
        <w:rPr>
          <w:rFonts w:ascii="Times New Roman" w:hAnsi="Times New Roman" w:cs="Times New Roman"/>
          <w:noProof/>
          <w:sz w:val="24"/>
          <w:szCs w:val="24"/>
          <w:lang w:eastAsia="pl-PL"/>
        </w:rPr>
        <w:t> </w:t>
      </w:r>
      <w:r w:rsidRPr="00515FC7">
        <w:rPr>
          <w:rFonts w:ascii="Times New Roman" w:hAnsi="Times New Roman" w:cs="Times New Roman"/>
          <w:noProof/>
          <w:sz w:val="24"/>
          <w:szCs w:val="24"/>
          <w:lang w:eastAsia="pl-PL"/>
        </w:rPr>
        <w:t xml:space="preserve">wolności wypowiedzi. W prawie polskim pojawił się w ostatnim czasie </w:t>
      </w:r>
      <w:r w:rsidR="00304BFA" w:rsidRPr="00515FC7">
        <w:rPr>
          <w:rFonts w:ascii="Times New Roman" w:hAnsi="Times New Roman" w:cs="Times New Roman"/>
          <w:noProof/>
          <w:sz w:val="24"/>
          <w:szCs w:val="24"/>
          <w:lang w:eastAsia="pl-PL"/>
        </w:rPr>
        <w:t>kilkakrotnie: w</w:t>
      </w:r>
      <w:r w:rsidR="00DA7701" w:rsidRPr="00515FC7">
        <w:rPr>
          <w:rFonts w:ascii="Times New Roman" w:hAnsi="Times New Roman" w:cs="Times New Roman"/>
          <w:noProof/>
          <w:sz w:val="24"/>
          <w:szCs w:val="24"/>
          <w:lang w:eastAsia="pl-PL"/>
        </w:rPr>
        <w:t> </w:t>
      </w:r>
      <w:r w:rsidR="00304BFA" w:rsidRPr="00515FC7">
        <w:rPr>
          <w:rFonts w:ascii="Times New Roman" w:hAnsi="Times New Roman" w:cs="Times New Roman"/>
          <w:noProof/>
          <w:sz w:val="24"/>
          <w:szCs w:val="24"/>
          <w:lang w:eastAsia="pl-PL"/>
        </w:rPr>
        <w:t>ustawie o działaniach antyterrorystycznych (przedmiot wniosku RPO do TK), w ustawie nowelizującej przepisy o grach hazardowych</w:t>
      </w:r>
      <w:r w:rsidR="00826652" w:rsidRPr="00515FC7">
        <w:rPr>
          <w:rFonts w:ascii="Times New Roman" w:hAnsi="Times New Roman" w:cs="Times New Roman"/>
          <w:noProof/>
          <w:sz w:val="24"/>
          <w:szCs w:val="24"/>
          <w:lang w:eastAsia="pl-PL"/>
        </w:rPr>
        <w:t xml:space="preserve"> czy też </w:t>
      </w:r>
      <w:r w:rsidR="00304BFA" w:rsidRPr="00515FC7">
        <w:rPr>
          <w:rFonts w:ascii="Times New Roman" w:hAnsi="Times New Roman" w:cs="Times New Roman"/>
          <w:noProof/>
          <w:sz w:val="24"/>
          <w:szCs w:val="24"/>
          <w:lang w:eastAsia="pl-PL"/>
        </w:rPr>
        <w:t>w projekcie ustawy o nadzorze nad</w:t>
      </w:r>
      <w:r w:rsidR="00DA7701" w:rsidRPr="00515FC7">
        <w:rPr>
          <w:rFonts w:ascii="Times New Roman" w:hAnsi="Times New Roman" w:cs="Times New Roman"/>
          <w:noProof/>
          <w:sz w:val="24"/>
          <w:szCs w:val="24"/>
          <w:lang w:eastAsia="pl-PL"/>
        </w:rPr>
        <w:t> </w:t>
      </w:r>
      <w:r w:rsidR="00304BFA" w:rsidRPr="00515FC7">
        <w:rPr>
          <w:rFonts w:ascii="Times New Roman" w:hAnsi="Times New Roman" w:cs="Times New Roman"/>
          <w:noProof/>
          <w:sz w:val="24"/>
          <w:szCs w:val="24"/>
          <w:lang w:eastAsia="pl-PL"/>
        </w:rPr>
        <w:t>rynkiem finansowym.</w:t>
      </w:r>
    </w:p>
    <w:p w:rsidR="00DF2CDB" w:rsidRPr="00515FC7" w:rsidRDefault="00304BFA"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noProof/>
          <w:sz w:val="24"/>
          <w:szCs w:val="24"/>
          <w:lang w:eastAsia="pl-PL"/>
        </w:rPr>
        <w:t xml:space="preserve">RPO </w:t>
      </w:r>
      <w:r w:rsidR="00207F65" w:rsidRPr="00515FC7">
        <w:rPr>
          <w:rFonts w:ascii="Times New Roman" w:hAnsi="Times New Roman" w:cs="Times New Roman"/>
          <w:noProof/>
          <w:sz w:val="24"/>
          <w:szCs w:val="24"/>
          <w:lang w:eastAsia="pl-PL"/>
        </w:rPr>
        <w:t>wskazywał, że k</w:t>
      </w:r>
      <w:proofErr w:type="spellStart"/>
      <w:r w:rsidRPr="00515FC7">
        <w:rPr>
          <w:rFonts w:ascii="Times New Roman" w:hAnsi="Times New Roman" w:cs="Times New Roman"/>
          <w:sz w:val="24"/>
          <w:szCs w:val="24"/>
        </w:rPr>
        <w:t>luczowe</w:t>
      </w:r>
      <w:proofErr w:type="spellEnd"/>
      <w:r w:rsidRPr="00515FC7">
        <w:rPr>
          <w:rFonts w:ascii="Times New Roman" w:hAnsi="Times New Roman" w:cs="Times New Roman"/>
          <w:sz w:val="24"/>
          <w:szCs w:val="24"/>
        </w:rPr>
        <w:t xml:space="preserve"> znaczenie dla oceny dopuszczalności wprowadzenia </w:t>
      </w:r>
      <w:r w:rsidR="00AC01D9" w:rsidRPr="00515FC7">
        <w:rPr>
          <w:rFonts w:ascii="Times New Roman" w:hAnsi="Times New Roman" w:cs="Times New Roman"/>
          <w:sz w:val="24"/>
          <w:szCs w:val="24"/>
        </w:rPr>
        <w:t xml:space="preserve">takich </w:t>
      </w:r>
      <w:r w:rsidRPr="00515FC7">
        <w:rPr>
          <w:rFonts w:ascii="Times New Roman" w:hAnsi="Times New Roman" w:cs="Times New Roman"/>
          <w:sz w:val="24"/>
          <w:szCs w:val="24"/>
        </w:rPr>
        <w:t xml:space="preserve">ograniczeń ma art. 10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550EAD" w:rsidRPr="00515FC7">
        <w:rPr>
          <w:rFonts w:ascii="Times New Roman" w:hAnsi="Times New Roman" w:cs="Times New Roman"/>
          <w:sz w:val="24"/>
          <w:szCs w:val="24"/>
        </w:rPr>
        <w:t xml:space="preserve">. </w:t>
      </w:r>
    </w:p>
    <w:p w:rsidR="00AC01D9" w:rsidRPr="00515FC7" w:rsidRDefault="00304BFA"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Analiza spraw, rozstrzygniętych przez</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prowadzi do wniosków, że </w:t>
      </w:r>
      <w:r w:rsidRPr="00515FC7">
        <w:rPr>
          <w:rFonts w:ascii="Times New Roman" w:hAnsi="Times New Roman" w:cs="Times New Roman"/>
          <w:bCs/>
          <w:sz w:val="24"/>
          <w:szCs w:val="24"/>
        </w:rPr>
        <w:t>art. 10</w:t>
      </w:r>
      <w:r w:rsidR="00550EAD" w:rsidRPr="00515FC7">
        <w:rPr>
          <w:rFonts w:ascii="Times New Roman" w:hAnsi="Times New Roman" w:cs="Times New Roman"/>
          <w:bCs/>
          <w:sz w:val="24"/>
          <w:szCs w:val="24"/>
        </w:rPr>
        <w:t xml:space="preserve"> </w:t>
      </w:r>
      <w:proofErr w:type="spellStart"/>
      <w:r w:rsidR="00AD6F44" w:rsidRPr="00515FC7">
        <w:rPr>
          <w:rFonts w:ascii="Times New Roman" w:hAnsi="Times New Roman" w:cs="Times New Roman"/>
          <w:bCs/>
          <w:sz w:val="24"/>
          <w:szCs w:val="24"/>
        </w:rPr>
        <w:t>EKPC</w:t>
      </w:r>
      <w:r w:rsidR="00DA7701" w:rsidRPr="00515FC7">
        <w:rPr>
          <w:rFonts w:ascii="Times New Roman" w:hAnsi="Times New Roman" w:cs="Times New Roman"/>
          <w:bCs/>
          <w:sz w:val="24"/>
          <w:szCs w:val="24"/>
        </w:rPr>
        <w:t>z</w:t>
      </w:r>
      <w:proofErr w:type="spellEnd"/>
      <w:r w:rsidRPr="00515FC7">
        <w:rPr>
          <w:rFonts w:ascii="Times New Roman" w:hAnsi="Times New Roman" w:cs="Times New Roman"/>
          <w:bCs/>
          <w:sz w:val="24"/>
          <w:szCs w:val="24"/>
        </w:rPr>
        <w:t xml:space="preserve"> zasadniczo nie wyklucza blokowani</w:t>
      </w:r>
      <w:r w:rsidR="00AC01D9" w:rsidRPr="00515FC7">
        <w:rPr>
          <w:rFonts w:ascii="Times New Roman" w:hAnsi="Times New Roman" w:cs="Times New Roman"/>
          <w:bCs/>
          <w:sz w:val="24"/>
          <w:szCs w:val="24"/>
        </w:rPr>
        <w:t>a</w:t>
      </w:r>
      <w:r w:rsidR="00550EAD" w:rsidRPr="00515FC7">
        <w:rPr>
          <w:rFonts w:ascii="Times New Roman" w:hAnsi="Times New Roman" w:cs="Times New Roman"/>
          <w:bCs/>
          <w:sz w:val="24"/>
          <w:szCs w:val="24"/>
        </w:rPr>
        <w:t xml:space="preserve"> </w:t>
      </w:r>
      <w:r w:rsidRPr="00515FC7">
        <w:rPr>
          <w:rFonts w:ascii="Times New Roman" w:hAnsi="Times New Roman" w:cs="Times New Roman"/>
          <w:bCs/>
          <w:sz w:val="24"/>
          <w:szCs w:val="24"/>
        </w:rPr>
        <w:t>stron internetowych, ale zagrożenia z nimi związane są na tyle poważne, że działania</w:t>
      </w:r>
      <w:r w:rsidR="00550EAD" w:rsidRPr="00515FC7">
        <w:rPr>
          <w:rFonts w:ascii="Times New Roman" w:hAnsi="Times New Roman" w:cs="Times New Roman"/>
          <w:bCs/>
          <w:sz w:val="24"/>
          <w:szCs w:val="24"/>
        </w:rPr>
        <w:t xml:space="preserve"> </w:t>
      </w:r>
      <w:r w:rsidRPr="00515FC7">
        <w:rPr>
          <w:rFonts w:ascii="Times New Roman" w:hAnsi="Times New Roman" w:cs="Times New Roman"/>
          <w:bCs/>
          <w:sz w:val="24"/>
          <w:szCs w:val="24"/>
        </w:rPr>
        <w:t>władz krajowych wymagają wyjątkowo restrykcyjnej kontroli</w:t>
      </w:r>
      <w:r w:rsidRPr="00515FC7">
        <w:rPr>
          <w:rFonts w:ascii="Times New Roman" w:hAnsi="Times New Roman" w:cs="Times New Roman"/>
          <w:b/>
          <w:bCs/>
          <w:sz w:val="24"/>
          <w:szCs w:val="24"/>
        </w:rPr>
        <w:t xml:space="preserve"> </w:t>
      </w:r>
      <w:r w:rsidRPr="00515FC7">
        <w:rPr>
          <w:rFonts w:ascii="Times New Roman" w:hAnsi="Times New Roman" w:cs="Times New Roman"/>
          <w:sz w:val="24"/>
          <w:szCs w:val="24"/>
        </w:rPr>
        <w:t xml:space="preserve">(por. sprawę </w:t>
      </w:r>
      <w:proofErr w:type="spellStart"/>
      <w:r w:rsidRPr="00515FC7">
        <w:rPr>
          <w:rFonts w:ascii="Times New Roman" w:hAnsi="Times New Roman" w:cs="Times New Roman"/>
          <w:i/>
          <w:iCs/>
          <w:sz w:val="24"/>
          <w:szCs w:val="24"/>
        </w:rPr>
        <w:t>Observer</w:t>
      </w:r>
      <w:proofErr w:type="spellEnd"/>
      <w:r w:rsidR="00550EAD" w:rsidRPr="00515FC7">
        <w:rPr>
          <w:rFonts w:ascii="Times New Roman" w:hAnsi="Times New Roman" w:cs="Times New Roman"/>
          <w:i/>
          <w:iCs/>
          <w:sz w:val="24"/>
          <w:szCs w:val="24"/>
        </w:rPr>
        <w:t xml:space="preserve"> </w:t>
      </w:r>
      <w:r w:rsidRPr="00515FC7">
        <w:rPr>
          <w:rFonts w:ascii="Times New Roman" w:hAnsi="Times New Roman" w:cs="Times New Roman"/>
          <w:i/>
          <w:iCs/>
          <w:sz w:val="24"/>
          <w:szCs w:val="24"/>
        </w:rPr>
        <w:t xml:space="preserve">i Guardian p. Wielkiej Brytanii </w:t>
      </w:r>
      <w:r w:rsidRPr="00515FC7">
        <w:rPr>
          <w:rFonts w:ascii="Times New Roman" w:hAnsi="Times New Roman" w:cs="Times New Roman"/>
          <w:sz w:val="24"/>
          <w:szCs w:val="24"/>
        </w:rPr>
        <w:t xml:space="preserve">(skargi 13585/88 i 13166/87). </w:t>
      </w:r>
    </w:p>
    <w:p w:rsidR="00DF2CDB" w:rsidRPr="00515FC7" w:rsidRDefault="00550EAD"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 xml:space="preserve">RPO wskazał w swoim stanowisku na orzeczenia podkreślające rolę </w:t>
      </w:r>
      <w:proofErr w:type="spellStart"/>
      <w:r w:rsidR="00AC01D9" w:rsidRPr="00515FC7">
        <w:rPr>
          <w:rFonts w:ascii="Times New Roman" w:hAnsi="Times New Roman" w:cs="Times New Roman"/>
          <w:sz w:val="24"/>
          <w:szCs w:val="24"/>
        </w:rPr>
        <w:t>i</w:t>
      </w:r>
      <w:r w:rsidRPr="00515FC7">
        <w:rPr>
          <w:rFonts w:ascii="Times New Roman" w:hAnsi="Times New Roman" w:cs="Times New Roman"/>
          <w:sz w:val="24"/>
          <w:szCs w:val="24"/>
        </w:rPr>
        <w:t>nternetu</w:t>
      </w:r>
      <w:proofErr w:type="spellEnd"/>
      <w:r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w</w:t>
      </w:r>
      <w:r w:rsidR="00DA7701" w:rsidRPr="00515FC7">
        <w:rPr>
          <w:rFonts w:ascii="Times New Roman" w:hAnsi="Times New Roman" w:cs="Times New Roman"/>
          <w:sz w:val="24"/>
          <w:szCs w:val="24"/>
        </w:rPr>
        <w:t> </w:t>
      </w:r>
      <w:r w:rsidR="00304BFA" w:rsidRPr="00515FC7">
        <w:rPr>
          <w:rFonts w:ascii="Times New Roman" w:hAnsi="Times New Roman" w:cs="Times New Roman"/>
          <w:sz w:val="24"/>
          <w:szCs w:val="24"/>
        </w:rPr>
        <w:t>zapewnieniu społeczeństwu dostępu do wiadomości</w:t>
      </w:r>
      <w:r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 xml:space="preserve">i ułatwia rozpowszechnianie informacji w ogólności (por. sprawę </w:t>
      </w:r>
      <w:proofErr w:type="spellStart"/>
      <w:r w:rsidR="00304BFA" w:rsidRPr="00515FC7">
        <w:rPr>
          <w:rFonts w:ascii="Times New Roman" w:hAnsi="Times New Roman" w:cs="Times New Roman"/>
          <w:i/>
          <w:iCs/>
          <w:sz w:val="24"/>
          <w:szCs w:val="24"/>
        </w:rPr>
        <w:t>Delfi</w:t>
      </w:r>
      <w:proofErr w:type="spellEnd"/>
      <w:r w:rsidR="00304BFA" w:rsidRPr="00515FC7">
        <w:rPr>
          <w:rFonts w:ascii="Times New Roman" w:hAnsi="Times New Roman" w:cs="Times New Roman"/>
          <w:i/>
          <w:iCs/>
          <w:sz w:val="24"/>
          <w:szCs w:val="24"/>
        </w:rPr>
        <w:t xml:space="preserve"> p. Estonii, </w:t>
      </w:r>
      <w:r w:rsidR="00304BFA" w:rsidRPr="00515FC7">
        <w:rPr>
          <w:rFonts w:ascii="Times New Roman" w:hAnsi="Times New Roman" w:cs="Times New Roman"/>
          <w:sz w:val="24"/>
          <w:szCs w:val="24"/>
        </w:rPr>
        <w:t>skarga</w:t>
      </w:r>
      <w:r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 xml:space="preserve">64569/09). </w:t>
      </w:r>
      <w:r w:rsidRPr="00515FC7">
        <w:rPr>
          <w:rFonts w:ascii="Times New Roman" w:hAnsi="Times New Roman" w:cs="Times New Roman"/>
          <w:sz w:val="24"/>
          <w:szCs w:val="24"/>
        </w:rPr>
        <w:t>Odniósł się również do tych spraw, w których</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xml:space="preserve"> dopuszcza u</w:t>
      </w:r>
      <w:r w:rsidR="00304BFA" w:rsidRPr="00515FC7">
        <w:rPr>
          <w:rFonts w:ascii="Times New Roman" w:hAnsi="Times New Roman" w:cs="Times New Roman"/>
          <w:sz w:val="24"/>
          <w:szCs w:val="24"/>
        </w:rPr>
        <w:t>zasadnienie dla wprowadzenia blokowania dostępu do stron internetowych</w:t>
      </w:r>
      <w:r w:rsidRPr="00515FC7">
        <w:rPr>
          <w:rFonts w:ascii="Times New Roman" w:hAnsi="Times New Roman" w:cs="Times New Roman"/>
          <w:sz w:val="24"/>
          <w:szCs w:val="24"/>
        </w:rPr>
        <w:t xml:space="preserve"> - </w:t>
      </w:r>
      <w:proofErr w:type="spellStart"/>
      <w:r w:rsidR="00304BFA" w:rsidRPr="00515FC7">
        <w:rPr>
          <w:rFonts w:ascii="Times New Roman" w:hAnsi="Times New Roman" w:cs="Times New Roman"/>
          <w:i/>
          <w:iCs/>
          <w:sz w:val="24"/>
          <w:szCs w:val="24"/>
        </w:rPr>
        <w:t>Kalda</w:t>
      </w:r>
      <w:proofErr w:type="spellEnd"/>
      <w:r w:rsidR="00304BFA" w:rsidRPr="00515FC7">
        <w:rPr>
          <w:rFonts w:ascii="Times New Roman" w:hAnsi="Times New Roman" w:cs="Times New Roman"/>
          <w:i/>
          <w:iCs/>
          <w:sz w:val="24"/>
          <w:szCs w:val="24"/>
        </w:rPr>
        <w:t xml:space="preserve"> p. Estonii </w:t>
      </w:r>
      <w:r w:rsidR="00304BFA" w:rsidRPr="00515FC7">
        <w:rPr>
          <w:rFonts w:ascii="Times New Roman" w:hAnsi="Times New Roman" w:cs="Times New Roman"/>
          <w:sz w:val="24"/>
          <w:szCs w:val="24"/>
        </w:rPr>
        <w:t>(skarga</w:t>
      </w:r>
      <w:r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17429/10)</w:t>
      </w:r>
      <w:r w:rsidRPr="00515FC7">
        <w:rPr>
          <w:rFonts w:ascii="Times New Roman" w:hAnsi="Times New Roman" w:cs="Times New Roman"/>
          <w:sz w:val="24"/>
          <w:szCs w:val="24"/>
        </w:rPr>
        <w:t xml:space="preserve">. </w:t>
      </w:r>
    </w:p>
    <w:p w:rsidR="00DF2CDB" w:rsidRPr="00515FC7" w:rsidRDefault="00AC01D9"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Z</w:t>
      </w:r>
      <w:r w:rsidR="00550EAD" w:rsidRPr="00515FC7">
        <w:rPr>
          <w:rFonts w:ascii="Times New Roman" w:hAnsi="Times New Roman" w:cs="Times New Roman"/>
          <w:sz w:val="24"/>
          <w:szCs w:val="24"/>
        </w:rPr>
        <w:t>daniem</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00550EAD"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 xml:space="preserve">blokada stron internetowych musi być stosowana z rozwagą. </w:t>
      </w:r>
      <w:r w:rsidR="00550EAD" w:rsidRPr="00515FC7">
        <w:rPr>
          <w:rFonts w:ascii="Times New Roman" w:hAnsi="Times New Roman" w:cs="Times New Roman"/>
          <w:sz w:val="24"/>
          <w:szCs w:val="24"/>
        </w:rPr>
        <w:t>Również w</w:t>
      </w:r>
      <w:r w:rsidR="00304BFA" w:rsidRPr="00515FC7">
        <w:rPr>
          <w:rFonts w:ascii="Times New Roman" w:hAnsi="Times New Roman" w:cs="Times New Roman"/>
          <w:sz w:val="24"/>
          <w:szCs w:val="24"/>
        </w:rPr>
        <w:t xml:space="preserve"> sprawach tureckich </w:t>
      </w:r>
      <w:proofErr w:type="spellStart"/>
      <w:r w:rsidR="00304BFA" w:rsidRPr="00515FC7">
        <w:rPr>
          <w:rFonts w:ascii="Times New Roman" w:hAnsi="Times New Roman" w:cs="Times New Roman"/>
          <w:i/>
          <w:iCs/>
          <w:sz w:val="24"/>
          <w:szCs w:val="24"/>
        </w:rPr>
        <w:t>Yildirim</w:t>
      </w:r>
      <w:proofErr w:type="spellEnd"/>
      <w:r w:rsidR="00304BFA" w:rsidRPr="00515FC7">
        <w:rPr>
          <w:rFonts w:ascii="Times New Roman" w:hAnsi="Times New Roman" w:cs="Times New Roman"/>
          <w:i/>
          <w:iCs/>
          <w:sz w:val="24"/>
          <w:szCs w:val="24"/>
        </w:rPr>
        <w:t xml:space="preserve"> p. Turcji </w:t>
      </w:r>
      <w:r w:rsidR="00304BFA" w:rsidRPr="00515FC7">
        <w:rPr>
          <w:rFonts w:ascii="Times New Roman" w:hAnsi="Times New Roman" w:cs="Times New Roman"/>
          <w:sz w:val="24"/>
          <w:szCs w:val="24"/>
        </w:rPr>
        <w:t>(skarga</w:t>
      </w:r>
      <w:r w:rsidR="00550EAD"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 xml:space="preserve">3111/10) czy </w:t>
      </w:r>
      <w:proofErr w:type="spellStart"/>
      <w:r w:rsidR="00304BFA" w:rsidRPr="00515FC7">
        <w:rPr>
          <w:rFonts w:ascii="Times New Roman" w:hAnsi="Times New Roman" w:cs="Times New Roman"/>
          <w:i/>
          <w:iCs/>
          <w:sz w:val="24"/>
          <w:szCs w:val="24"/>
        </w:rPr>
        <w:t>Cengiz</w:t>
      </w:r>
      <w:proofErr w:type="spellEnd"/>
      <w:r w:rsidR="00304BFA" w:rsidRPr="00515FC7">
        <w:rPr>
          <w:rFonts w:ascii="Times New Roman" w:hAnsi="Times New Roman" w:cs="Times New Roman"/>
          <w:i/>
          <w:iCs/>
          <w:sz w:val="24"/>
          <w:szCs w:val="24"/>
        </w:rPr>
        <w:t xml:space="preserve"> i in. p. Turcji </w:t>
      </w:r>
      <w:r w:rsidR="00304BFA" w:rsidRPr="00515FC7">
        <w:rPr>
          <w:rFonts w:ascii="Times New Roman" w:hAnsi="Times New Roman" w:cs="Times New Roman"/>
          <w:sz w:val="24"/>
          <w:szCs w:val="24"/>
        </w:rPr>
        <w:t>(skargi 48226/10 i 14027/11)</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304BFA" w:rsidRPr="00515FC7">
        <w:rPr>
          <w:rFonts w:ascii="Times New Roman" w:hAnsi="Times New Roman" w:cs="Times New Roman"/>
          <w:sz w:val="24"/>
          <w:szCs w:val="24"/>
        </w:rPr>
        <w:t xml:space="preserve"> wyraźnie wskazał,</w:t>
      </w:r>
      <w:r w:rsidR="00550EAD"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że blokowanie dostępu do Internetu może być w bezpośrednim konflikcie z aktualnym</w:t>
      </w:r>
      <w:r w:rsidR="00550EAD"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brzmieniem ust. 1 art. 10 Konwencji, zgodnie z którym prawa zagwarantowane w tym</w:t>
      </w:r>
      <w:r w:rsidR="00550EAD"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przepisie są chronione bez względu na</w:t>
      </w:r>
      <w:r w:rsidR="00DA7701" w:rsidRPr="00515FC7">
        <w:rPr>
          <w:rFonts w:ascii="Times New Roman" w:hAnsi="Times New Roman" w:cs="Times New Roman"/>
          <w:sz w:val="24"/>
          <w:szCs w:val="24"/>
        </w:rPr>
        <w:t> </w:t>
      </w:r>
      <w:r w:rsidR="00304BFA" w:rsidRPr="00515FC7">
        <w:rPr>
          <w:rFonts w:ascii="Times New Roman" w:hAnsi="Times New Roman" w:cs="Times New Roman"/>
          <w:sz w:val="24"/>
          <w:szCs w:val="24"/>
        </w:rPr>
        <w:t>granice.</w:t>
      </w:r>
      <w:r w:rsidR="00550EAD" w:rsidRPr="00515FC7">
        <w:rPr>
          <w:rFonts w:ascii="Times New Roman" w:hAnsi="Times New Roman" w:cs="Times New Roman"/>
          <w:sz w:val="24"/>
          <w:szCs w:val="24"/>
        </w:rPr>
        <w:t xml:space="preserve"> RPO odniósł się również do tych orzeczeń, w których</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304BFA" w:rsidRPr="00515FC7">
        <w:rPr>
          <w:rFonts w:ascii="Times New Roman" w:hAnsi="Times New Roman" w:cs="Times New Roman"/>
          <w:sz w:val="24"/>
          <w:szCs w:val="24"/>
        </w:rPr>
        <w:t xml:space="preserve"> dokonał analizy, czy ingerencja w korzystanie z witryny</w:t>
      </w:r>
      <w:r w:rsidR="00550EAD"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 xml:space="preserve">internetowej spełniała kryteria z art. 10 ust. 2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304BFA" w:rsidRPr="00515FC7">
        <w:rPr>
          <w:rFonts w:ascii="Times New Roman" w:hAnsi="Times New Roman" w:cs="Times New Roman"/>
          <w:sz w:val="24"/>
          <w:szCs w:val="24"/>
        </w:rPr>
        <w:t xml:space="preserve">. </w:t>
      </w:r>
    </w:p>
    <w:p w:rsidR="00DF2CDB" w:rsidRPr="00515FC7" w:rsidRDefault="00304BFA"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Ograniczenia</w:t>
      </w:r>
      <w:r w:rsidR="00550EAD" w:rsidRPr="00515FC7">
        <w:rPr>
          <w:rFonts w:ascii="Times New Roman" w:hAnsi="Times New Roman" w:cs="Times New Roman"/>
          <w:sz w:val="24"/>
          <w:szCs w:val="24"/>
        </w:rPr>
        <w:t xml:space="preserve"> </w:t>
      </w:r>
      <w:r w:rsidRPr="00515FC7">
        <w:rPr>
          <w:rFonts w:ascii="Times New Roman" w:hAnsi="Times New Roman" w:cs="Times New Roman"/>
          <w:sz w:val="24"/>
          <w:szCs w:val="24"/>
        </w:rPr>
        <w:t xml:space="preserve">swobody wypowiedzi nie są same w sobie sprzeczne z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jednak muszą być oparte na</w:t>
      </w:r>
      <w:r w:rsidR="00550EAD" w:rsidRPr="00515FC7">
        <w:rPr>
          <w:rFonts w:ascii="Times New Roman" w:hAnsi="Times New Roman" w:cs="Times New Roman"/>
          <w:sz w:val="24"/>
          <w:szCs w:val="24"/>
        </w:rPr>
        <w:t xml:space="preserve"> </w:t>
      </w:r>
      <w:r w:rsidRPr="00515FC7">
        <w:rPr>
          <w:rFonts w:ascii="Times New Roman" w:hAnsi="Times New Roman" w:cs="Times New Roman"/>
          <w:sz w:val="24"/>
          <w:szCs w:val="24"/>
        </w:rPr>
        <w:t>określonej podstawie prawnej, jasno określającej zakres tego ograniczenia i podlegać</w:t>
      </w:r>
      <w:r w:rsidR="00550EAD" w:rsidRPr="00515FC7">
        <w:rPr>
          <w:rFonts w:ascii="Times New Roman" w:hAnsi="Times New Roman" w:cs="Times New Roman"/>
          <w:sz w:val="24"/>
          <w:szCs w:val="24"/>
        </w:rPr>
        <w:t xml:space="preserve"> </w:t>
      </w:r>
      <w:r w:rsidRPr="00515FC7">
        <w:rPr>
          <w:rFonts w:ascii="Times New Roman" w:hAnsi="Times New Roman" w:cs="Times New Roman"/>
          <w:sz w:val="24"/>
          <w:szCs w:val="24"/>
        </w:rPr>
        <w:t xml:space="preserve">kontroli sądowej w celu ochrony przed nadużyciami. </w:t>
      </w:r>
      <w:r w:rsidR="00550EAD" w:rsidRPr="00515FC7">
        <w:rPr>
          <w:rFonts w:ascii="Times New Roman" w:hAnsi="Times New Roman" w:cs="Times New Roman"/>
          <w:sz w:val="24"/>
          <w:szCs w:val="24"/>
        </w:rPr>
        <w:t>W</w:t>
      </w:r>
      <w:r w:rsidR="00DA7701" w:rsidRPr="00515FC7">
        <w:rPr>
          <w:rFonts w:ascii="Times New Roman" w:hAnsi="Times New Roman" w:cs="Times New Roman"/>
          <w:sz w:val="24"/>
          <w:szCs w:val="24"/>
        </w:rPr>
        <w:t> </w:t>
      </w:r>
      <w:r w:rsidR="00550EAD" w:rsidRPr="00515FC7">
        <w:rPr>
          <w:rFonts w:ascii="Times New Roman" w:hAnsi="Times New Roman" w:cs="Times New Roman"/>
          <w:sz w:val="24"/>
          <w:szCs w:val="24"/>
        </w:rPr>
        <w:t xml:space="preserve">szczególności, </w:t>
      </w:r>
      <w:r w:rsidRPr="00515FC7">
        <w:rPr>
          <w:rFonts w:ascii="Times New Roman" w:hAnsi="Times New Roman" w:cs="Times New Roman"/>
          <w:sz w:val="24"/>
          <w:szCs w:val="24"/>
        </w:rPr>
        <w:t xml:space="preserve">w sprawie </w:t>
      </w:r>
      <w:r w:rsidRPr="00515FC7">
        <w:rPr>
          <w:rFonts w:ascii="Times New Roman" w:hAnsi="Times New Roman" w:cs="Times New Roman"/>
          <w:i/>
          <w:iCs/>
          <w:sz w:val="24"/>
          <w:szCs w:val="24"/>
        </w:rPr>
        <w:t>Prince</w:t>
      </w:r>
      <w:r w:rsidR="00550EAD" w:rsidRPr="00515FC7">
        <w:rPr>
          <w:rFonts w:ascii="Times New Roman" w:hAnsi="Times New Roman" w:cs="Times New Roman"/>
          <w:i/>
          <w:iCs/>
          <w:sz w:val="24"/>
          <w:szCs w:val="24"/>
        </w:rPr>
        <w:t xml:space="preserve"> </w:t>
      </w:r>
      <w:r w:rsidRPr="00515FC7">
        <w:rPr>
          <w:rFonts w:ascii="Times New Roman" w:hAnsi="Times New Roman" w:cs="Times New Roman"/>
          <w:i/>
          <w:iCs/>
          <w:sz w:val="24"/>
          <w:szCs w:val="24"/>
        </w:rPr>
        <w:t xml:space="preserve">Hans-Adam II of Liechtenstein p. Niemcom </w:t>
      </w:r>
      <w:r w:rsidRPr="00515FC7">
        <w:rPr>
          <w:rFonts w:ascii="Times New Roman" w:hAnsi="Times New Roman" w:cs="Times New Roman"/>
          <w:sz w:val="24"/>
          <w:szCs w:val="24"/>
        </w:rPr>
        <w:t>(skarga 42527/98)</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wyraźnie zaznaczył,</w:t>
      </w:r>
      <w:r w:rsidR="00550EAD" w:rsidRPr="00515FC7">
        <w:rPr>
          <w:rFonts w:ascii="Times New Roman" w:hAnsi="Times New Roman" w:cs="Times New Roman"/>
          <w:sz w:val="24"/>
          <w:szCs w:val="24"/>
        </w:rPr>
        <w:t xml:space="preserve"> </w:t>
      </w:r>
      <w:r w:rsidRPr="00515FC7">
        <w:rPr>
          <w:rFonts w:ascii="Times New Roman" w:hAnsi="Times New Roman" w:cs="Times New Roman"/>
          <w:sz w:val="24"/>
          <w:szCs w:val="24"/>
        </w:rPr>
        <w:t>że państwa, które przyjęły zobowiązania w celu zapewnienia praw gwarantowanych przez</w:t>
      </w:r>
      <w:r w:rsidR="00550EAD" w:rsidRPr="00515FC7">
        <w:rPr>
          <w:rFonts w:ascii="Times New Roman" w:hAnsi="Times New Roman" w:cs="Times New Roman"/>
          <w:sz w:val="24"/>
          <w:szCs w:val="24"/>
        </w:rPr>
        <w:t xml:space="preserve"> </w:t>
      </w:r>
      <w:r w:rsidRPr="00515FC7">
        <w:rPr>
          <w:rFonts w:ascii="Times New Roman" w:hAnsi="Times New Roman" w:cs="Times New Roman"/>
          <w:sz w:val="24"/>
          <w:szCs w:val="24"/>
        </w:rPr>
        <w:t>Konwencję muszą stosować konkretne i efektywne gwarancje ochrony praw, nie zaś</w:t>
      </w:r>
      <w:r w:rsidR="00550EAD" w:rsidRPr="00515FC7">
        <w:rPr>
          <w:rFonts w:ascii="Times New Roman" w:hAnsi="Times New Roman" w:cs="Times New Roman"/>
          <w:sz w:val="24"/>
          <w:szCs w:val="24"/>
        </w:rPr>
        <w:t xml:space="preserve"> </w:t>
      </w:r>
      <w:r w:rsidRPr="00515FC7">
        <w:rPr>
          <w:rFonts w:ascii="Times New Roman" w:hAnsi="Times New Roman" w:cs="Times New Roman"/>
          <w:sz w:val="24"/>
          <w:szCs w:val="24"/>
        </w:rPr>
        <w:t>teoretyczne i iluzoryczne.</w:t>
      </w:r>
      <w:r w:rsidR="00550EAD" w:rsidRPr="00515FC7">
        <w:rPr>
          <w:rFonts w:ascii="Times New Roman" w:hAnsi="Times New Roman" w:cs="Times New Roman"/>
          <w:sz w:val="24"/>
          <w:szCs w:val="24"/>
        </w:rPr>
        <w:t xml:space="preserve"> </w:t>
      </w:r>
    </w:p>
    <w:p w:rsidR="00304BFA" w:rsidRPr="00515FC7" w:rsidRDefault="004E2200" w:rsidP="004E2200">
      <w:pPr>
        <w:autoSpaceDE w:val="0"/>
        <w:autoSpaceDN w:val="0"/>
        <w:adjustRightInd w:val="0"/>
        <w:spacing w:before="120" w:after="0" w:line="360" w:lineRule="auto"/>
        <w:ind w:firstLine="709"/>
        <w:jc w:val="both"/>
        <w:rPr>
          <w:rFonts w:ascii="Times New Roman" w:hAnsi="Times New Roman" w:cs="Times New Roman"/>
          <w:b/>
          <w:bCs/>
          <w:sz w:val="24"/>
          <w:szCs w:val="24"/>
        </w:rPr>
      </w:pPr>
      <w:r w:rsidRPr="00515FC7">
        <w:rPr>
          <w:rFonts w:ascii="Times New Roman" w:hAnsi="Times New Roman" w:cs="Times New Roman"/>
          <w:sz w:val="24"/>
          <w:szCs w:val="24"/>
        </w:rPr>
        <w:t xml:space="preserve"> </w:t>
      </w:r>
      <w:proofErr w:type="spellStart"/>
      <w:r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304BFA" w:rsidRPr="00515FC7">
        <w:rPr>
          <w:rFonts w:ascii="Times New Roman" w:hAnsi="Times New Roman" w:cs="Times New Roman"/>
          <w:sz w:val="24"/>
          <w:szCs w:val="24"/>
        </w:rPr>
        <w:t xml:space="preserve"> wskazuje zatem, że ingerencja państwa w postaci blokowania lub</w:t>
      </w:r>
      <w:r w:rsidR="00550EAD"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ograniczania dostępu do Internetu musi być przedmiotem szczególnego badania jej</w:t>
      </w:r>
      <w:r w:rsidR="00550EAD"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 xml:space="preserve">dopuszczalności. </w:t>
      </w:r>
      <w:r w:rsidR="00304BFA" w:rsidRPr="00515FC7">
        <w:rPr>
          <w:rFonts w:ascii="Times New Roman" w:hAnsi="Times New Roman" w:cs="Times New Roman"/>
          <w:bCs/>
          <w:sz w:val="24"/>
          <w:szCs w:val="24"/>
        </w:rPr>
        <w:t>Jakiekolwiek ograniczenia muszą być ściśle niezbędne dla osiągnięcia</w:t>
      </w:r>
      <w:r w:rsidR="00550EAD" w:rsidRPr="00515FC7">
        <w:rPr>
          <w:rFonts w:ascii="Times New Roman" w:hAnsi="Times New Roman" w:cs="Times New Roman"/>
          <w:bCs/>
          <w:sz w:val="24"/>
          <w:szCs w:val="24"/>
        </w:rPr>
        <w:t xml:space="preserve"> </w:t>
      </w:r>
      <w:r w:rsidR="00304BFA" w:rsidRPr="00515FC7">
        <w:rPr>
          <w:rFonts w:ascii="Times New Roman" w:hAnsi="Times New Roman" w:cs="Times New Roman"/>
          <w:bCs/>
          <w:sz w:val="24"/>
          <w:szCs w:val="24"/>
        </w:rPr>
        <w:t>uzasadnionego celu.</w:t>
      </w:r>
    </w:p>
    <w:p w:rsidR="002B7182" w:rsidRPr="00515FC7" w:rsidRDefault="00EF2158" w:rsidP="004E2200">
      <w:pPr>
        <w:pStyle w:val="Nagwek2"/>
        <w:numPr>
          <w:ilvl w:val="0"/>
          <w:numId w:val="19"/>
        </w:numPr>
        <w:spacing w:before="120" w:line="360" w:lineRule="auto"/>
        <w:jc w:val="both"/>
        <w:rPr>
          <w:rFonts w:ascii="Times New Roman" w:hAnsi="Times New Roman" w:cs="Times New Roman"/>
          <w:u w:val="single"/>
        </w:rPr>
      </w:pPr>
      <w:bookmarkStart w:id="14" w:name="_Toc504117619"/>
      <w:r w:rsidRPr="00515FC7">
        <w:rPr>
          <w:rFonts w:ascii="Times New Roman" w:hAnsi="Times New Roman" w:cs="Times New Roman"/>
          <w:noProof/>
          <w:lang w:eastAsia="pl-PL"/>
        </w:rPr>
        <w:t>Sprawy związane z ograniczeniem wolności słowa</w:t>
      </w:r>
      <w:bookmarkEnd w:id="14"/>
      <w:r w:rsidRPr="00515FC7">
        <w:rPr>
          <w:rFonts w:ascii="Times New Roman" w:hAnsi="Times New Roman" w:cs="Times New Roman"/>
          <w:noProof/>
          <w:lang w:eastAsia="pl-PL"/>
        </w:rPr>
        <w:t xml:space="preserve"> </w:t>
      </w:r>
    </w:p>
    <w:p w:rsidR="00DF2CDB" w:rsidRPr="00515FC7" w:rsidRDefault="008D2A18" w:rsidP="004E2200">
      <w:pPr>
        <w:pStyle w:val="Akapitzlist"/>
        <w:spacing w:before="120" w:after="0" w:line="360" w:lineRule="auto"/>
        <w:ind w:left="0" w:firstLine="709"/>
        <w:contextualSpacing w:val="0"/>
        <w:jc w:val="both"/>
        <w:rPr>
          <w:rFonts w:ascii="Times New Roman" w:hAnsi="Times New Roman" w:cs="Times New Roman"/>
          <w:bCs/>
          <w:sz w:val="24"/>
          <w:szCs w:val="24"/>
          <w:u w:val="single"/>
        </w:rPr>
      </w:pPr>
      <w:r w:rsidRPr="00515FC7">
        <w:rPr>
          <w:rFonts w:ascii="Times New Roman" w:hAnsi="Times New Roman" w:cs="Times New Roman"/>
          <w:bCs/>
          <w:sz w:val="24"/>
          <w:szCs w:val="24"/>
        </w:rPr>
        <w:t>W tej grupie spraw</w:t>
      </w:r>
      <w:r w:rsidR="004C7916" w:rsidRPr="00515FC7">
        <w:rPr>
          <w:rFonts w:ascii="Times New Roman" w:hAnsi="Times New Roman" w:cs="Times New Roman"/>
          <w:bCs/>
          <w:sz w:val="24"/>
          <w:szCs w:val="24"/>
        </w:rPr>
        <w:t xml:space="preserve"> </w:t>
      </w:r>
      <w:r w:rsidR="00EF2158" w:rsidRPr="00515FC7">
        <w:rPr>
          <w:rFonts w:ascii="Times New Roman" w:hAnsi="Times New Roman" w:cs="Times New Roman"/>
          <w:bCs/>
          <w:sz w:val="24"/>
          <w:szCs w:val="24"/>
        </w:rPr>
        <w:t>chodzi o doniesienia medialne na temat odsunięcia z anteny lub zwolnienia z pracy dziennikarzy na skutek zadawania niewygodnych pytań przedstawicielom strony rządowej lub woli prezentowania w przestrzeni publicznej (radio) różnorodnych poglądów na tematy polityczne i światopoglądowe.</w:t>
      </w:r>
    </w:p>
    <w:p w:rsidR="00EF2158" w:rsidRPr="00515FC7" w:rsidRDefault="00EF2158" w:rsidP="004E2200">
      <w:pPr>
        <w:pStyle w:val="Akapitzlist"/>
        <w:spacing w:before="120" w:after="0" w:line="360" w:lineRule="auto"/>
        <w:ind w:left="0" w:firstLine="709"/>
        <w:contextualSpacing w:val="0"/>
        <w:jc w:val="both"/>
        <w:rPr>
          <w:rFonts w:ascii="Times New Roman" w:hAnsi="Times New Roman" w:cs="Times New Roman"/>
          <w:bCs/>
          <w:sz w:val="24"/>
          <w:szCs w:val="24"/>
          <w:u w:val="single"/>
        </w:rPr>
      </w:pPr>
      <w:r w:rsidRPr="00515FC7">
        <w:rPr>
          <w:rFonts w:ascii="Times New Roman" w:hAnsi="Times New Roman" w:cs="Times New Roman"/>
          <w:bCs/>
          <w:sz w:val="24"/>
          <w:szCs w:val="24"/>
        </w:rPr>
        <w:t>W pismach kierowanych do TVP SA</w:t>
      </w:r>
      <w:r w:rsidR="00AC01D9" w:rsidRPr="00515FC7">
        <w:rPr>
          <w:rFonts w:ascii="Times New Roman" w:hAnsi="Times New Roman" w:cs="Times New Roman"/>
          <w:bCs/>
          <w:sz w:val="24"/>
          <w:szCs w:val="24"/>
        </w:rPr>
        <w:t>,</w:t>
      </w:r>
      <w:r w:rsidRPr="00515FC7">
        <w:rPr>
          <w:rFonts w:ascii="Times New Roman" w:hAnsi="Times New Roman" w:cs="Times New Roman"/>
          <w:bCs/>
          <w:sz w:val="24"/>
          <w:szCs w:val="24"/>
        </w:rPr>
        <w:t xml:space="preserve"> </w:t>
      </w:r>
      <w:r w:rsidR="00AC01D9" w:rsidRPr="00515FC7">
        <w:rPr>
          <w:rFonts w:ascii="Times New Roman" w:hAnsi="Times New Roman" w:cs="Times New Roman"/>
          <w:bCs/>
          <w:sz w:val="24"/>
          <w:szCs w:val="24"/>
        </w:rPr>
        <w:t xml:space="preserve">Polskiego Radia, </w:t>
      </w:r>
      <w:r w:rsidRPr="00515FC7">
        <w:rPr>
          <w:rFonts w:ascii="Times New Roman" w:hAnsi="Times New Roman" w:cs="Times New Roman"/>
          <w:bCs/>
          <w:sz w:val="24"/>
          <w:szCs w:val="24"/>
        </w:rPr>
        <w:t>Krajowej Rady Radiofonii i</w:t>
      </w:r>
      <w:r w:rsidR="00DA7701" w:rsidRPr="00515FC7">
        <w:rPr>
          <w:rFonts w:ascii="Times New Roman" w:hAnsi="Times New Roman" w:cs="Times New Roman"/>
          <w:bCs/>
          <w:sz w:val="24"/>
          <w:szCs w:val="24"/>
        </w:rPr>
        <w:t xml:space="preserve"> </w:t>
      </w:r>
      <w:r w:rsidRPr="00515FC7">
        <w:rPr>
          <w:rFonts w:ascii="Times New Roman" w:hAnsi="Times New Roman" w:cs="Times New Roman"/>
          <w:bCs/>
          <w:sz w:val="24"/>
          <w:szCs w:val="24"/>
        </w:rPr>
        <w:t>Telewizji oraz Rady Mediów Narodowych powoływane są następujące wyroki</w:t>
      </w:r>
      <w:r w:rsidR="00DA7701" w:rsidRPr="00515FC7">
        <w:rPr>
          <w:rFonts w:ascii="Times New Roman" w:hAnsi="Times New Roman" w:cs="Times New Roman"/>
          <w:bCs/>
          <w:sz w:val="24"/>
          <w:szCs w:val="24"/>
        </w:rPr>
        <w:t xml:space="preserve"> </w:t>
      </w:r>
      <w:proofErr w:type="spellStart"/>
      <w:r w:rsidR="004E2200" w:rsidRPr="00515FC7">
        <w:rPr>
          <w:rFonts w:ascii="Times New Roman" w:hAnsi="Times New Roman" w:cs="Times New Roman"/>
          <w:bCs/>
          <w:sz w:val="24"/>
          <w:szCs w:val="24"/>
        </w:rPr>
        <w:t>EKPC</w:t>
      </w:r>
      <w:r w:rsidRPr="00515FC7">
        <w:rPr>
          <w:rFonts w:ascii="Times New Roman" w:hAnsi="Times New Roman" w:cs="Times New Roman"/>
          <w:bCs/>
          <w:sz w:val="24"/>
          <w:szCs w:val="24"/>
        </w:rPr>
        <w:t>z</w:t>
      </w:r>
      <w:proofErr w:type="spellEnd"/>
      <w:r w:rsidRPr="00515FC7">
        <w:rPr>
          <w:rFonts w:ascii="Times New Roman" w:hAnsi="Times New Roman" w:cs="Times New Roman"/>
          <w:bCs/>
          <w:sz w:val="24"/>
          <w:szCs w:val="24"/>
        </w:rPr>
        <w:t>, jako przypomnienie standardu wolności słowa</w:t>
      </w:r>
      <w:r w:rsidRPr="00515FC7">
        <w:rPr>
          <w:rFonts w:ascii="Times New Roman" w:hAnsi="Times New Roman" w:cs="Times New Roman"/>
          <w:bCs/>
          <w:sz w:val="24"/>
          <w:szCs w:val="24"/>
          <w:u w:val="single"/>
        </w:rPr>
        <w:t>:</w:t>
      </w:r>
    </w:p>
    <w:p w:rsidR="00EF2158" w:rsidRPr="00515FC7" w:rsidRDefault="00EF2158" w:rsidP="004E2200">
      <w:pPr>
        <w:pStyle w:val="Akapitzlist"/>
        <w:numPr>
          <w:ilvl w:val="0"/>
          <w:numId w:val="6"/>
        </w:numPr>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sprawa </w:t>
      </w:r>
      <w:proofErr w:type="spellStart"/>
      <w:r w:rsidRPr="00515FC7">
        <w:rPr>
          <w:rFonts w:ascii="Times New Roman" w:hAnsi="Times New Roman" w:cs="Times New Roman"/>
          <w:i/>
          <w:sz w:val="24"/>
          <w:szCs w:val="24"/>
        </w:rPr>
        <w:t>Handyside</w:t>
      </w:r>
      <w:proofErr w:type="spellEnd"/>
      <w:r w:rsidRPr="00515FC7">
        <w:rPr>
          <w:rFonts w:ascii="Times New Roman" w:hAnsi="Times New Roman" w:cs="Times New Roman"/>
          <w:i/>
          <w:sz w:val="24"/>
          <w:szCs w:val="24"/>
        </w:rPr>
        <w:t xml:space="preserve"> przeciwko Wielkiej Brytanii</w:t>
      </w:r>
      <w:r w:rsidRPr="00515FC7">
        <w:rPr>
          <w:rFonts w:ascii="Times New Roman" w:hAnsi="Times New Roman" w:cs="Times New Roman"/>
          <w:sz w:val="24"/>
          <w:szCs w:val="24"/>
        </w:rPr>
        <w:t>, skarga nr 5493/72 - wolność wyrażania opinii obejmuje wolność posiadania poglądów, otrzymywania i przekazywania informacji i idei bez ingerencji władz publicznych.</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uznał zagwarantowaną w nim wolność za niezbędny fundament społeczeństwa demokratycznego i warunek rozwoju każdej jednostki,</w:t>
      </w:r>
    </w:p>
    <w:p w:rsidR="00EF2158" w:rsidRPr="00515FC7" w:rsidRDefault="00EF2158" w:rsidP="004E2200">
      <w:pPr>
        <w:pStyle w:val="Akapitzlist"/>
        <w:numPr>
          <w:ilvl w:val="0"/>
          <w:numId w:val="6"/>
        </w:numPr>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sprawa </w:t>
      </w:r>
      <w:proofErr w:type="spellStart"/>
      <w:r w:rsidRPr="00515FC7">
        <w:rPr>
          <w:rFonts w:ascii="Times New Roman" w:hAnsi="Times New Roman" w:cs="Times New Roman"/>
          <w:i/>
          <w:sz w:val="24"/>
          <w:szCs w:val="24"/>
        </w:rPr>
        <w:t>Sunday</w:t>
      </w:r>
      <w:proofErr w:type="spellEnd"/>
      <w:r w:rsidRPr="00515FC7">
        <w:rPr>
          <w:rFonts w:ascii="Times New Roman" w:hAnsi="Times New Roman" w:cs="Times New Roman"/>
          <w:i/>
          <w:sz w:val="24"/>
          <w:szCs w:val="24"/>
        </w:rPr>
        <w:t xml:space="preserve"> Times przeciwko Wielkiej Brytanii</w:t>
      </w:r>
      <w:r w:rsidRPr="00515FC7">
        <w:rPr>
          <w:rFonts w:ascii="Times New Roman" w:hAnsi="Times New Roman" w:cs="Times New Roman"/>
          <w:sz w:val="24"/>
          <w:szCs w:val="24"/>
        </w:rPr>
        <w:t>, skarga nr 6548/74 - podkreślenie roli prasy i mediów w przekazywaniu informacji oraz prawo publiczności do ich otrzymywania,</w:t>
      </w:r>
    </w:p>
    <w:p w:rsidR="00EF2158" w:rsidRPr="00515FC7" w:rsidRDefault="00EF2158" w:rsidP="004E2200">
      <w:pPr>
        <w:pStyle w:val="Akapitzlist"/>
        <w:numPr>
          <w:ilvl w:val="0"/>
          <w:numId w:val="6"/>
        </w:numPr>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wyrok z 24 listopada 1993 r. </w:t>
      </w:r>
      <w:proofErr w:type="spellStart"/>
      <w:r w:rsidRPr="00515FC7">
        <w:rPr>
          <w:rFonts w:ascii="Times New Roman" w:hAnsi="Times New Roman" w:cs="Times New Roman"/>
          <w:i/>
          <w:sz w:val="24"/>
          <w:szCs w:val="24"/>
        </w:rPr>
        <w:t>Informationsverein</w:t>
      </w:r>
      <w:proofErr w:type="spellEnd"/>
      <w:r w:rsidRPr="00515FC7">
        <w:rPr>
          <w:rFonts w:ascii="Times New Roman" w:hAnsi="Times New Roman" w:cs="Times New Roman"/>
          <w:i/>
          <w:sz w:val="24"/>
          <w:szCs w:val="24"/>
        </w:rPr>
        <w:t xml:space="preserve"> </w:t>
      </w:r>
      <w:proofErr w:type="spellStart"/>
      <w:r w:rsidRPr="00515FC7">
        <w:rPr>
          <w:rFonts w:ascii="Times New Roman" w:hAnsi="Times New Roman" w:cs="Times New Roman"/>
          <w:i/>
          <w:sz w:val="24"/>
          <w:szCs w:val="24"/>
        </w:rPr>
        <w:t>Lentia</w:t>
      </w:r>
      <w:proofErr w:type="spellEnd"/>
      <w:r w:rsidRPr="00515FC7">
        <w:rPr>
          <w:rFonts w:ascii="Times New Roman" w:hAnsi="Times New Roman" w:cs="Times New Roman"/>
          <w:i/>
          <w:sz w:val="24"/>
          <w:szCs w:val="24"/>
        </w:rPr>
        <w:t xml:space="preserve"> i in. przeciwko Austrii</w:t>
      </w:r>
      <w:r w:rsidRPr="00515FC7">
        <w:rPr>
          <w:rFonts w:ascii="Times New Roman" w:hAnsi="Times New Roman" w:cs="Times New Roman"/>
          <w:sz w:val="24"/>
          <w:szCs w:val="24"/>
        </w:rPr>
        <w:t>, skarga 13914/88 -</w:t>
      </w:r>
      <w:r w:rsidR="00DA7701" w:rsidRPr="00515FC7">
        <w:rPr>
          <w:rFonts w:ascii="Times New Roman" w:hAnsi="Times New Roman" w:cs="Times New Roman"/>
          <w:sz w:val="24"/>
          <w:szCs w:val="24"/>
        </w:rPr>
        <w:t xml:space="preserve"> </w:t>
      </w:r>
      <w:r w:rsidRPr="00515FC7">
        <w:rPr>
          <w:rFonts w:ascii="Times New Roman" w:hAnsi="Times New Roman" w:cs="Times New Roman"/>
          <w:sz w:val="24"/>
          <w:szCs w:val="24"/>
        </w:rPr>
        <w:t>swoboda wypowiedzi stanowi jeden z fundamentów demokratycznego społeczeństwa oraz podstawowych warunków jego rozwoju i samorealizacji każdej jednostki. W tym kontekście należy podkreślić, że nie tylko prasa ma za zadanie przekazywanie informacji i idei – społeczeństwo ma też prawo do ich otrzymywania.</w:t>
      </w:r>
    </w:p>
    <w:p w:rsidR="00EF2158" w:rsidRPr="00515FC7" w:rsidRDefault="00EF2158" w:rsidP="004E2200">
      <w:pPr>
        <w:pStyle w:val="Akapitzlist"/>
        <w:numPr>
          <w:ilvl w:val="0"/>
          <w:numId w:val="6"/>
        </w:numPr>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wyrok</w:t>
      </w:r>
      <w:r w:rsidR="00DA7701" w:rsidRPr="00515FC7">
        <w:rPr>
          <w:rFonts w:ascii="Times New Roman" w:hAnsi="Times New Roman" w:cs="Times New Roman"/>
          <w:sz w:val="24"/>
          <w:szCs w:val="24"/>
        </w:rPr>
        <w:t xml:space="preserve"> </w:t>
      </w:r>
      <w:proofErr w:type="spellStart"/>
      <w:r w:rsidR="00515FC7" w:rsidRPr="00515FC7">
        <w:rPr>
          <w:rFonts w:ascii="Times New Roman" w:hAnsi="Times New Roman" w:cs="Times New Roman"/>
          <w:sz w:val="24"/>
          <w:szCs w:val="24"/>
        </w:rPr>
        <w:t>EKPCz</w:t>
      </w:r>
      <w:proofErr w:type="spellEnd"/>
      <w:r w:rsidR="00515FC7" w:rsidRPr="00515FC7">
        <w:rPr>
          <w:rFonts w:ascii="Times New Roman" w:hAnsi="Times New Roman" w:cs="Times New Roman"/>
          <w:sz w:val="24"/>
          <w:szCs w:val="24"/>
        </w:rPr>
        <w:t xml:space="preserve"> </w:t>
      </w:r>
      <w:r w:rsidRPr="00515FC7">
        <w:rPr>
          <w:rFonts w:ascii="Times New Roman" w:hAnsi="Times New Roman" w:cs="Times New Roman"/>
          <w:sz w:val="24"/>
          <w:szCs w:val="24"/>
        </w:rPr>
        <w:t xml:space="preserve">z dnia 17 września 2009 r. </w:t>
      </w:r>
      <w:proofErr w:type="spellStart"/>
      <w:r w:rsidRPr="00515FC7">
        <w:rPr>
          <w:rFonts w:ascii="Times New Roman" w:hAnsi="Times New Roman" w:cs="Times New Roman"/>
          <w:i/>
          <w:sz w:val="24"/>
          <w:szCs w:val="24"/>
        </w:rPr>
        <w:t>Manole</w:t>
      </w:r>
      <w:proofErr w:type="spellEnd"/>
      <w:r w:rsidRPr="00515FC7">
        <w:rPr>
          <w:rFonts w:ascii="Times New Roman" w:hAnsi="Times New Roman" w:cs="Times New Roman"/>
          <w:i/>
          <w:sz w:val="24"/>
          <w:szCs w:val="24"/>
        </w:rPr>
        <w:t xml:space="preserve"> i in. przeciwko Mołdawii</w:t>
      </w:r>
      <w:r w:rsidRPr="00515FC7">
        <w:rPr>
          <w:rFonts w:ascii="Times New Roman" w:hAnsi="Times New Roman" w:cs="Times New Roman"/>
          <w:sz w:val="24"/>
          <w:szCs w:val="24"/>
        </w:rPr>
        <w:t xml:space="preserve"> (skarga 13936/02) – konieczność przedstawiania przez media publiczne zróżnicowanych informacji i poglądów.</w:t>
      </w:r>
    </w:p>
    <w:p w:rsidR="00DF2CDB" w:rsidRPr="00515FC7" w:rsidRDefault="004F506D" w:rsidP="004E2200">
      <w:pPr>
        <w:pStyle w:val="Nagwek2"/>
        <w:numPr>
          <w:ilvl w:val="0"/>
          <w:numId w:val="19"/>
        </w:numPr>
        <w:spacing w:before="120" w:line="360" w:lineRule="auto"/>
        <w:jc w:val="both"/>
        <w:rPr>
          <w:rFonts w:ascii="Times New Roman" w:hAnsi="Times New Roman" w:cs="Times New Roman"/>
        </w:rPr>
      </w:pPr>
      <w:bookmarkStart w:id="15" w:name="_Toc504117620"/>
      <w:r w:rsidRPr="00515FC7">
        <w:rPr>
          <w:rFonts w:ascii="Times New Roman" w:hAnsi="Times New Roman" w:cs="Times New Roman"/>
        </w:rPr>
        <w:t xml:space="preserve">Publiczna zapowiedź marszałka województwa </w:t>
      </w:r>
      <w:r w:rsidR="00960E4D">
        <w:rPr>
          <w:rFonts w:ascii="Times New Roman" w:hAnsi="Times New Roman" w:cs="Times New Roman"/>
        </w:rPr>
        <w:t>„wykluczenie Teatru z </w:t>
      </w:r>
      <w:r w:rsidRPr="00515FC7">
        <w:rPr>
          <w:rFonts w:ascii="Times New Roman" w:hAnsi="Times New Roman" w:cs="Times New Roman"/>
        </w:rPr>
        <w:t>grona partnerów projektu, co</w:t>
      </w:r>
      <w:r w:rsidR="00DA7701" w:rsidRPr="00515FC7">
        <w:rPr>
          <w:rFonts w:ascii="Times New Roman" w:hAnsi="Times New Roman" w:cs="Times New Roman"/>
        </w:rPr>
        <w:t> </w:t>
      </w:r>
      <w:r w:rsidRPr="00515FC7">
        <w:rPr>
          <w:rFonts w:ascii="Times New Roman" w:hAnsi="Times New Roman" w:cs="Times New Roman"/>
        </w:rPr>
        <w:t>zamyka drogę do otrzymania dofinansowania”</w:t>
      </w:r>
      <w:r w:rsidR="00EF2158" w:rsidRPr="00515FC7">
        <w:rPr>
          <w:rFonts w:ascii="Times New Roman" w:hAnsi="Times New Roman" w:cs="Times New Roman"/>
        </w:rPr>
        <w:t>.</w:t>
      </w:r>
      <w:bookmarkEnd w:id="15"/>
      <w:r w:rsidR="00EF2158" w:rsidRPr="00515FC7">
        <w:rPr>
          <w:rFonts w:ascii="Times New Roman" w:hAnsi="Times New Roman" w:cs="Times New Roman"/>
        </w:rPr>
        <w:t xml:space="preserve"> </w:t>
      </w:r>
    </w:p>
    <w:p w:rsidR="004F506D" w:rsidRPr="00515FC7" w:rsidRDefault="004F506D"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sz w:val="24"/>
          <w:szCs w:val="24"/>
        </w:rPr>
        <w:t>Po wystawieniu 25 września 2016 r. sztuki „Nasza przemoc, wasza przemoc” Marszałek Województwa Kujawsko-Pomorskiego zapowiedział wniosek Zarządowi Województwa o „wykluczenie Teatru z grona partnerów projektu, co zamyka drogę do</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otrzymania dofinansowania”</w:t>
      </w:r>
      <w:r w:rsidR="00FA4DA8" w:rsidRPr="00515FC7">
        <w:rPr>
          <w:rFonts w:ascii="Times New Roman" w:hAnsi="Times New Roman" w:cs="Times New Roman"/>
          <w:sz w:val="24"/>
          <w:szCs w:val="24"/>
        </w:rPr>
        <w:t>.</w:t>
      </w:r>
    </w:p>
    <w:p w:rsidR="00EF2158" w:rsidRDefault="00EF2158"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bCs/>
          <w:sz w:val="24"/>
          <w:szCs w:val="24"/>
        </w:rPr>
        <w:t>Rzecznik wskazał na standardy dotyczące wolności słowa w tym zakresie. W</w:t>
      </w:r>
      <w:r w:rsidR="00AC01D9" w:rsidRPr="00515FC7">
        <w:rPr>
          <w:rFonts w:ascii="Times New Roman" w:hAnsi="Times New Roman" w:cs="Times New Roman"/>
          <w:bCs/>
          <w:sz w:val="24"/>
          <w:szCs w:val="24"/>
        </w:rPr>
        <w:t> </w:t>
      </w:r>
      <w:r w:rsidRPr="00515FC7">
        <w:rPr>
          <w:rFonts w:ascii="Times New Roman" w:hAnsi="Times New Roman" w:cs="Times New Roman"/>
          <w:bCs/>
          <w:sz w:val="24"/>
          <w:szCs w:val="24"/>
        </w:rPr>
        <w:t xml:space="preserve">wystąpieniu </w:t>
      </w:r>
      <w:r w:rsidR="00AC01D9" w:rsidRPr="00515FC7">
        <w:rPr>
          <w:rFonts w:ascii="Times New Roman" w:hAnsi="Times New Roman" w:cs="Times New Roman"/>
          <w:bCs/>
          <w:sz w:val="24"/>
          <w:szCs w:val="24"/>
        </w:rPr>
        <w:t xml:space="preserve">przywołał </w:t>
      </w:r>
      <w:r w:rsidRPr="00515FC7">
        <w:rPr>
          <w:rFonts w:ascii="Times New Roman" w:hAnsi="Times New Roman" w:cs="Times New Roman"/>
          <w:bCs/>
          <w:sz w:val="24"/>
          <w:szCs w:val="24"/>
        </w:rPr>
        <w:t xml:space="preserve">wyrok </w:t>
      </w:r>
      <w:r w:rsidRPr="00515FC7">
        <w:rPr>
          <w:rFonts w:ascii="Times New Roman" w:hAnsi="Times New Roman" w:cs="Times New Roman"/>
          <w:sz w:val="24"/>
          <w:szCs w:val="24"/>
        </w:rPr>
        <w:t xml:space="preserve">z dnia 3 maja 2007 r. </w:t>
      </w:r>
      <w:r w:rsidRPr="00515FC7">
        <w:rPr>
          <w:rFonts w:ascii="Times New Roman" w:hAnsi="Times New Roman" w:cs="Times New Roman"/>
          <w:i/>
          <w:sz w:val="24"/>
          <w:szCs w:val="24"/>
        </w:rPr>
        <w:t>Bączkowski i inni przeciwko Polsce</w:t>
      </w:r>
      <w:r w:rsidRPr="00515FC7">
        <w:rPr>
          <w:rFonts w:ascii="Times New Roman" w:hAnsi="Times New Roman" w:cs="Times New Roman"/>
          <w:sz w:val="24"/>
          <w:szCs w:val="24"/>
        </w:rPr>
        <w:t xml:space="preserve"> (skarga nr 1543/06) – </w:t>
      </w:r>
      <w:r w:rsidR="00AC01D9" w:rsidRPr="00515FC7">
        <w:rPr>
          <w:rFonts w:ascii="Times New Roman" w:hAnsi="Times New Roman" w:cs="Times New Roman"/>
          <w:sz w:val="24"/>
          <w:szCs w:val="24"/>
        </w:rPr>
        <w:t xml:space="preserve">jako </w:t>
      </w:r>
      <w:r w:rsidRPr="00515FC7">
        <w:rPr>
          <w:rFonts w:ascii="Times New Roman" w:hAnsi="Times New Roman" w:cs="Times New Roman"/>
          <w:sz w:val="24"/>
          <w:szCs w:val="24"/>
        </w:rPr>
        <w:t>potwierdzenie, że osoby pełniąc</w:t>
      </w:r>
      <w:r w:rsidR="00AC01D9" w:rsidRPr="00515FC7">
        <w:rPr>
          <w:rFonts w:ascii="Times New Roman" w:hAnsi="Times New Roman" w:cs="Times New Roman"/>
          <w:sz w:val="24"/>
          <w:szCs w:val="24"/>
        </w:rPr>
        <w:t>e</w:t>
      </w:r>
      <w:r w:rsidRPr="00515FC7">
        <w:rPr>
          <w:rFonts w:ascii="Times New Roman" w:hAnsi="Times New Roman" w:cs="Times New Roman"/>
          <w:sz w:val="24"/>
          <w:szCs w:val="24"/>
        </w:rPr>
        <w:t xml:space="preserve"> wysokie funkcje w organach władzy publicznej powinny w sposób rozważny i ostrożny wypowiadać się na tematy światopoglądowe, które mogą być istotne z punktu widzenia kształtowania polityki kulturalnej. </w:t>
      </w:r>
    </w:p>
    <w:p w:rsidR="000125E8" w:rsidRPr="00515FC7" w:rsidRDefault="000125E8" w:rsidP="004E2200">
      <w:pPr>
        <w:pStyle w:val="Akapitzlist"/>
        <w:spacing w:before="120" w:after="0" w:line="360" w:lineRule="auto"/>
        <w:ind w:left="0" w:firstLine="709"/>
        <w:contextualSpacing w:val="0"/>
        <w:jc w:val="both"/>
        <w:rPr>
          <w:rFonts w:ascii="Times New Roman" w:hAnsi="Times New Roman" w:cs="Times New Roman"/>
          <w:sz w:val="24"/>
          <w:szCs w:val="24"/>
        </w:rPr>
      </w:pPr>
    </w:p>
    <w:p w:rsidR="004F506D" w:rsidRPr="00515FC7" w:rsidRDefault="004F506D" w:rsidP="004E2200">
      <w:pPr>
        <w:pStyle w:val="Nagwek2"/>
        <w:numPr>
          <w:ilvl w:val="0"/>
          <w:numId w:val="19"/>
        </w:numPr>
        <w:spacing w:before="120" w:line="360" w:lineRule="auto"/>
        <w:jc w:val="both"/>
        <w:rPr>
          <w:rFonts w:ascii="Times New Roman" w:hAnsi="Times New Roman" w:cs="Times New Roman"/>
        </w:rPr>
      </w:pPr>
      <w:bookmarkStart w:id="16" w:name="_Toc504117621"/>
      <w:r w:rsidRPr="00515FC7">
        <w:rPr>
          <w:rFonts w:ascii="Times New Roman" w:hAnsi="Times New Roman" w:cs="Times New Roman"/>
        </w:rPr>
        <w:t>Ustawowy zakaz dla weterynarzy, by krytykować działania innych weterynarzy</w:t>
      </w:r>
      <w:bookmarkEnd w:id="16"/>
    </w:p>
    <w:p w:rsidR="00DF2CDB" w:rsidRPr="00515FC7" w:rsidRDefault="00DF2CDB" w:rsidP="004E2200">
      <w:pPr>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W</w:t>
      </w:r>
      <w:r w:rsidR="00EF2158" w:rsidRPr="00515FC7">
        <w:rPr>
          <w:rFonts w:ascii="Times New Roman" w:hAnsi="Times New Roman" w:cs="Times New Roman"/>
          <w:sz w:val="24"/>
          <w:szCs w:val="24"/>
        </w:rPr>
        <w:t>ątpliwości konstytucyjne dotyczące art. 40 ust. 1 Kodeksu Etyki Lekarza Weterynarii. Zgodnie z powołanym przepisem: „Lekarz weterynarii nie może wypowiadać publicznie niekorzystnych ocen o działalności zawodowej innego lekarza weterynarii lub</w:t>
      </w:r>
      <w:r w:rsidR="00DA7701" w:rsidRPr="00515FC7">
        <w:rPr>
          <w:rFonts w:ascii="Times New Roman" w:hAnsi="Times New Roman" w:cs="Times New Roman"/>
          <w:sz w:val="24"/>
          <w:szCs w:val="24"/>
        </w:rPr>
        <w:t> </w:t>
      </w:r>
      <w:r w:rsidR="00EF2158" w:rsidRPr="00515FC7">
        <w:rPr>
          <w:rFonts w:ascii="Times New Roman" w:hAnsi="Times New Roman" w:cs="Times New Roman"/>
          <w:sz w:val="24"/>
          <w:szCs w:val="24"/>
        </w:rPr>
        <w:t xml:space="preserve">dyskredytować go w jakikolwiek sposób”. </w:t>
      </w:r>
    </w:p>
    <w:p w:rsidR="003761F8" w:rsidRPr="00515FC7" w:rsidRDefault="00EF2158"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W ocenie Rzecznika wskazana norma może prowa</w:t>
      </w:r>
      <w:r w:rsidR="00960E4D">
        <w:rPr>
          <w:rFonts w:ascii="Times New Roman" w:hAnsi="Times New Roman" w:cs="Times New Roman"/>
          <w:bCs/>
          <w:sz w:val="24"/>
          <w:szCs w:val="24"/>
        </w:rPr>
        <w:t>dzić do naruszenia art. 54 ust. </w:t>
      </w:r>
      <w:r w:rsidRPr="00515FC7">
        <w:rPr>
          <w:rFonts w:ascii="Times New Roman" w:hAnsi="Times New Roman" w:cs="Times New Roman"/>
          <w:bCs/>
          <w:sz w:val="24"/>
          <w:szCs w:val="24"/>
        </w:rPr>
        <w:t xml:space="preserve">1 </w:t>
      </w:r>
      <w:r w:rsidR="00960E4D">
        <w:rPr>
          <w:rFonts w:ascii="Times New Roman" w:hAnsi="Times New Roman" w:cs="Times New Roman"/>
          <w:bCs/>
          <w:sz w:val="24"/>
          <w:szCs w:val="24"/>
        </w:rPr>
        <w:t> </w:t>
      </w:r>
      <w:r w:rsidRPr="00515FC7">
        <w:rPr>
          <w:rFonts w:ascii="Times New Roman" w:hAnsi="Times New Roman" w:cs="Times New Roman"/>
          <w:bCs/>
          <w:sz w:val="24"/>
          <w:szCs w:val="24"/>
        </w:rPr>
        <w:t>w</w:t>
      </w:r>
      <w:r w:rsidR="00DA7701" w:rsidRPr="00515FC7">
        <w:rPr>
          <w:rFonts w:ascii="Times New Roman" w:hAnsi="Times New Roman" w:cs="Times New Roman"/>
          <w:bCs/>
          <w:sz w:val="24"/>
          <w:szCs w:val="24"/>
        </w:rPr>
        <w:t> </w:t>
      </w:r>
      <w:r w:rsidRPr="00515FC7">
        <w:rPr>
          <w:rFonts w:ascii="Times New Roman" w:hAnsi="Times New Roman" w:cs="Times New Roman"/>
          <w:bCs/>
          <w:sz w:val="24"/>
          <w:szCs w:val="24"/>
        </w:rPr>
        <w:t xml:space="preserve">związku z art. 31 ust. 3 Konstytucji RP. </w:t>
      </w:r>
      <w:r w:rsidR="00AC01D9" w:rsidRPr="00515FC7">
        <w:rPr>
          <w:rFonts w:ascii="Times New Roman" w:hAnsi="Times New Roman" w:cs="Times New Roman"/>
          <w:bCs/>
          <w:sz w:val="24"/>
          <w:szCs w:val="24"/>
        </w:rPr>
        <w:t xml:space="preserve">Przywołuje </w:t>
      </w:r>
      <w:r w:rsidRPr="00515FC7">
        <w:rPr>
          <w:rFonts w:ascii="Times New Roman" w:hAnsi="Times New Roman" w:cs="Times New Roman"/>
          <w:bCs/>
          <w:sz w:val="24"/>
          <w:szCs w:val="24"/>
        </w:rPr>
        <w:t>wyrok z dnia 16</w:t>
      </w:r>
      <w:r w:rsidR="00AC01D9" w:rsidRPr="00515FC7">
        <w:rPr>
          <w:rFonts w:ascii="Times New Roman" w:hAnsi="Times New Roman" w:cs="Times New Roman"/>
          <w:bCs/>
          <w:sz w:val="24"/>
          <w:szCs w:val="24"/>
        </w:rPr>
        <w:t> </w:t>
      </w:r>
      <w:r w:rsidRPr="00515FC7">
        <w:rPr>
          <w:rFonts w:ascii="Times New Roman" w:hAnsi="Times New Roman" w:cs="Times New Roman"/>
          <w:bCs/>
          <w:sz w:val="24"/>
          <w:szCs w:val="24"/>
        </w:rPr>
        <w:t>grudnia 2008 r. w</w:t>
      </w:r>
      <w:r w:rsidR="00DA7701" w:rsidRPr="00515FC7">
        <w:rPr>
          <w:rFonts w:ascii="Times New Roman" w:hAnsi="Times New Roman" w:cs="Times New Roman"/>
          <w:bCs/>
          <w:sz w:val="24"/>
          <w:szCs w:val="24"/>
        </w:rPr>
        <w:t> </w:t>
      </w:r>
      <w:r w:rsidRPr="00515FC7">
        <w:rPr>
          <w:rFonts w:ascii="Times New Roman" w:hAnsi="Times New Roman" w:cs="Times New Roman"/>
          <w:bCs/>
          <w:sz w:val="24"/>
          <w:szCs w:val="24"/>
        </w:rPr>
        <w:t xml:space="preserve">sprawie </w:t>
      </w:r>
      <w:proofErr w:type="spellStart"/>
      <w:r w:rsidRPr="00515FC7">
        <w:rPr>
          <w:rFonts w:ascii="Times New Roman" w:hAnsi="Times New Roman" w:cs="Times New Roman"/>
          <w:bCs/>
          <w:i/>
          <w:sz w:val="24"/>
          <w:szCs w:val="24"/>
        </w:rPr>
        <w:t>Frankowicz</w:t>
      </w:r>
      <w:proofErr w:type="spellEnd"/>
      <w:r w:rsidRPr="00515FC7">
        <w:rPr>
          <w:rFonts w:ascii="Times New Roman" w:hAnsi="Times New Roman" w:cs="Times New Roman"/>
          <w:bCs/>
          <w:i/>
          <w:sz w:val="24"/>
          <w:szCs w:val="24"/>
        </w:rPr>
        <w:t xml:space="preserve"> przeciwko Polsce</w:t>
      </w:r>
      <w:r w:rsidRPr="00515FC7">
        <w:rPr>
          <w:rFonts w:ascii="Times New Roman" w:hAnsi="Times New Roman" w:cs="Times New Roman"/>
          <w:bCs/>
          <w:sz w:val="24"/>
          <w:szCs w:val="24"/>
        </w:rPr>
        <w:t xml:space="preserve"> (skarga nr 53025/99).</w:t>
      </w:r>
      <w:r w:rsidR="00DA7701" w:rsidRPr="00515FC7">
        <w:rPr>
          <w:rFonts w:ascii="Times New Roman" w:hAnsi="Times New Roman" w:cs="Times New Roman"/>
          <w:bCs/>
          <w:sz w:val="24"/>
          <w:szCs w:val="24"/>
        </w:rPr>
        <w:t xml:space="preserve"> </w:t>
      </w:r>
      <w:proofErr w:type="spellStart"/>
      <w:r w:rsidR="004E2200" w:rsidRPr="00515FC7">
        <w:rPr>
          <w:rFonts w:ascii="Times New Roman" w:hAnsi="Times New Roman" w:cs="Times New Roman"/>
          <w:bCs/>
          <w:sz w:val="24"/>
          <w:szCs w:val="24"/>
        </w:rPr>
        <w:t>EKPC</w:t>
      </w:r>
      <w:r w:rsidRPr="00515FC7">
        <w:rPr>
          <w:rFonts w:ascii="Times New Roman" w:hAnsi="Times New Roman" w:cs="Times New Roman"/>
          <w:bCs/>
          <w:sz w:val="24"/>
          <w:szCs w:val="24"/>
        </w:rPr>
        <w:t>z</w:t>
      </w:r>
      <w:proofErr w:type="spellEnd"/>
      <w:r w:rsidRPr="00515FC7">
        <w:rPr>
          <w:rFonts w:ascii="Times New Roman" w:hAnsi="Times New Roman" w:cs="Times New Roman"/>
          <w:bCs/>
          <w:sz w:val="24"/>
          <w:szCs w:val="24"/>
        </w:rPr>
        <w:t xml:space="preserve"> wypowiedział się o</w:t>
      </w:r>
      <w:r w:rsidR="00DA7701" w:rsidRPr="00515FC7">
        <w:rPr>
          <w:rFonts w:ascii="Times New Roman" w:hAnsi="Times New Roman" w:cs="Times New Roman"/>
          <w:bCs/>
          <w:sz w:val="24"/>
          <w:szCs w:val="24"/>
        </w:rPr>
        <w:t> </w:t>
      </w:r>
      <w:r w:rsidRPr="00515FC7">
        <w:rPr>
          <w:rFonts w:ascii="Times New Roman" w:hAnsi="Times New Roman" w:cs="Times New Roman"/>
          <w:bCs/>
          <w:sz w:val="24"/>
          <w:szCs w:val="24"/>
        </w:rPr>
        <w:t>prawie do wolności słowa lekarza, który wyrażał opinie na temat diagnozy oraz metody leczenia zastosowanej przez innego specjalistę. Ponadto</w:t>
      </w:r>
      <w:r w:rsidR="00DA7701" w:rsidRPr="00515FC7">
        <w:rPr>
          <w:rFonts w:ascii="Times New Roman" w:hAnsi="Times New Roman" w:cs="Times New Roman"/>
          <w:bCs/>
          <w:sz w:val="24"/>
          <w:szCs w:val="24"/>
        </w:rPr>
        <w:t xml:space="preserve"> </w:t>
      </w:r>
      <w:proofErr w:type="spellStart"/>
      <w:r w:rsidR="004E2200" w:rsidRPr="00515FC7">
        <w:rPr>
          <w:rFonts w:ascii="Times New Roman" w:hAnsi="Times New Roman" w:cs="Times New Roman"/>
          <w:bCs/>
          <w:sz w:val="24"/>
          <w:szCs w:val="24"/>
        </w:rPr>
        <w:t>EKPC</w:t>
      </w:r>
      <w:r w:rsidRPr="00515FC7">
        <w:rPr>
          <w:rFonts w:ascii="Times New Roman" w:hAnsi="Times New Roman" w:cs="Times New Roman"/>
          <w:bCs/>
          <w:sz w:val="24"/>
          <w:szCs w:val="24"/>
        </w:rPr>
        <w:t>z</w:t>
      </w:r>
      <w:proofErr w:type="spellEnd"/>
      <w:r w:rsidRPr="00515FC7">
        <w:rPr>
          <w:rFonts w:ascii="Times New Roman" w:hAnsi="Times New Roman" w:cs="Times New Roman"/>
          <w:bCs/>
          <w:sz w:val="24"/>
          <w:szCs w:val="24"/>
        </w:rPr>
        <w:t xml:space="preserve"> określił prawa pacjenta poprzez pryzmat relacji, jaka powstaje pomiędzy lekarzem a pacjentem. Wskazana sprawa dała też okazję do oceny dyscyplinarnych sądów lekarskich. </w:t>
      </w:r>
    </w:p>
    <w:p w:rsidR="003761F8" w:rsidRPr="00515FC7" w:rsidRDefault="004E2200"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 </w:t>
      </w:r>
      <w:proofErr w:type="spellStart"/>
      <w:r w:rsidRPr="00515FC7">
        <w:rPr>
          <w:rFonts w:ascii="Times New Roman" w:hAnsi="Times New Roman" w:cs="Times New Roman"/>
          <w:bCs/>
          <w:sz w:val="24"/>
          <w:szCs w:val="24"/>
        </w:rPr>
        <w:t>EKPC</w:t>
      </w:r>
      <w:r w:rsidR="00EF2158" w:rsidRPr="00515FC7">
        <w:rPr>
          <w:rFonts w:ascii="Times New Roman" w:hAnsi="Times New Roman" w:cs="Times New Roman"/>
          <w:bCs/>
          <w:sz w:val="24"/>
          <w:szCs w:val="24"/>
        </w:rPr>
        <w:t>z</w:t>
      </w:r>
      <w:proofErr w:type="spellEnd"/>
      <w:r w:rsidR="00EF2158" w:rsidRPr="00515FC7">
        <w:rPr>
          <w:rFonts w:ascii="Times New Roman" w:hAnsi="Times New Roman" w:cs="Times New Roman"/>
          <w:bCs/>
          <w:sz w:val="24"/>
          <w:szCs w:val="24"/>
        </w:rPr>
        <w:t xml:space="preserve"> przypomniał, że art. 10 Konwencji o Ochronie Praw Człowieka i</w:t>
      </w:r>
      <w:r w:rsidR="003761F8" w:rsidRPr="00515FC7">
        <w:rPr>
          <w:rFonts w:ascii="Times New Roman" w:hAnsi="Times New Roman" w:cs="Times New Roman"/>
          <w:bCs/>
          <w:sz w:val="24"/>
          <w:szCs w:val="24"/>
        </w:rPr>
        <w:t> </w:t>
      </w:r>
      <w:r w:rsidR="00EF2158" w:rsidRPr="00515FC7">
        <w:rPr>
          <w:rFonts w:ascii="Times New Roman" w:hAnsi="Times New Roman" w:cs="Times New Roman"/>
          <w:bCs/>
          <w:sz w:val="24"/>
          <w:szCs w:val="24"/>
        </w:rPr>
        <w:t xml:space="preserve">Podstawowych Wolności dotyczy wszelkich form wypowiadania idei oraz przekazywania informacji, w tym również dokonywania krytyki sposobu leczenia w opinii cywilnej. </w:t>
      </w:r>
    </w:p>
    <w:p w:rsidR="00EF2158" w:rsidRDefault="004E2200"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 </w:t>
      </w:r>
      <w:proofErr w:type="spellStart"/>
      <w:r w:rsidRPr="00515FC7">
        <w:rPr>
          <w:rFonts w:ascii="Times New Roman" w:hAnsi="Times New Roman" w:cs="Times New Roman"/>
          <w:bCs/>
          <w:sz w:val="24"/>
          <w:szCs w:val="24"/>
        </w:rPr>
        <w:t>EKPC</w:t>
      </w:r>
      <w:r w:rsidR="00EF2158" w:rsidRPr="00515FC7">
        <w:rPr>
          <w:rFonts w:ascii="Times New Roman" w:hAnsi="Times New Roman" w:cs="Times New Roman"/>
          <w:bCs/>
          <w:sz w:val="24"/>
          <w:szCs w:val="24"/>
        </w:rPr>
        <w:t>z</w:t>
      </w:r>
      <w:proofErr w:type="spellEnd"/>
      <w:r w:rsidR="00EF2158" w:rsidRPr="00515FC7">
        <w:rPr>
          <w:rFonts w:ascii="Times New Roman" w:hAnsi="Times New Roman" w:cs="Times New Roman"/>
          <w:bCs/>
          <w:sz w:val="24"/>
          <w:szCs w:val="24"/>
        </w:rPr>
        <w:t xml:space="preserve"> uznał, że dyscyplinarna sankcja w postaci nagany wymierzona skarżącemu przez lekarski sąd dyscyplinarny</w:t>
      </w:r>
      <w:r w:rsidR="00AC01D9" w:rsidRPr="00515FC7">
        <w:rPr>
          <w:rFonts w:ascii="Times New Roman" w:hAnsi="Times New Roman" w:cs="Times New Roman"/>
          <w:bCs/>
          <w:sz w:val="24"/>
          <w:szCs w:val="24"/>
        </w:rPr>
        <w:t xml:space="preserve"> </w:t>
      </w:r>
      <w:r w:rsidR="00EF2158" w:rsidRPr="00515FC7">
        <w:rPr>
          <w:rFonts w:ascii="Times New Roman" w:hAnsi="Times New Roman" w:cs="Times New Roman"/>
          <w:bCs/>
          <w:sz w:val="24"/>
          <w:szCs w:val="24"/>
        </w:rPr>
        <w:t xml:space="preserve">stanowi ingerencje w wolność wyrażania opinii. </w:t>
      </w:r>
    </w:p>
    <w:p w:rsidR="000125E8" w:rsidRPr="00515FC7" w:rsidRDefault="000125E8" w:rsidP="004E2200">
      <w:pPr>
        <w:pStyle w:val="Akapitzlist"/>
        <w:spacing w:before="120" w:after="0" w:line="360" w:lineRule="auto"/>
        <w:ind w:left="0" w:firstLine="709"/>
        <w:contextualSpacing w:val="0"/>
        <w:jc w:val="both"/>
        <w:rPr>
          <w:rFonts w:ascii="Times New Roman" w:hAnsi="Times New Roman" w:cs="Times New Roman"/>
          <w:bCs/>
          <w:sz w:val="24"/>
          <w:szCs w:val="24"/>
        </w:rPr>
      </w:pPr>
    </w:p>
    <w:p w:rsidR="003761F8" w:rsidRPr="00515FC7" w:rsidRDefault="00EF2158" w:rsidP="004E2200">
      <w:pPr>
        <w:pStyle w:val="Nagwek2"/>
        <w:numPr>
          <w:ilvl w:val="0"/>
          <w:numId w:val="19"/>
        </w:numPr>
        <w:spacing w:before="120" w:line="360" w:lineRule="auto"/>
        <w:jc w:val="both"/>
        <w:rPr>
          <w:rFonts w:ascii="Times New Roman" w:hAnsi="Times New Roman" w:cs="Times New Roman"/>
        </w:rPr>
      </w:pPr>
      <w:bookmarkStart w:id="17" w:name="_Toc504117622"/>
      <w:r w:rsidRPr="00515FC7">
        <w:rPr>
          <w:rFonts w:ascii="Times New Roman" w:hAnsi="Times New Roman" w:cs="Times New Roman"/>
        </w:rPr>
        <w:t xml:space="preserve">Sprawa zagrożenia dla korzystania z wolności słowa </w:t>
      </w:r>
      <w:r w:rsidR="004F506D" w:rsidRPr="00515FC7">
        <w:rPr>
          <w:rFonts w:ascii="Times New Roman" w:hAnsi="Times New Roman" w:cs="Times New Roman"/>
        </w:rPr>
        <w:t>i</w:t>
      </w:r>
      <w:r w:rsidR="00DA7701" w:rsidRPr="00515FC7">
        <w:rPr>
          <w:rFonts w:ascii="Times New Roman" w:hAnsi="Times New Roman" w:cs="Times New Roman"/>
        </w:rPr>
        <w:t> </w:t>
      </w:r>
      <w:r w:rsidRPr="00515FC7">
        <w:rPr>
          <w:rFonts w:ascii="Times New Roman" w:hAnsi="Times New Roman" w:cs="Times New Roman"/>
        </w:rPr>
        <w:t xml:space="preserve">dostępu obywateli do informacji </w:t>
      </w:r>
      <w:r w:rsidR="005D35CC" w:rsidRPr="00515FC7">
        <w:rPr>
          <w:rFonts w:ascii="Times New Roman" w:hAnsi="Times New Roman" w:cs="Times New Roman"/>
        </w:rPr>
        <w:t xml:space="preserve">przez </w:t>
      </w:r>
      <w:r w:rsidRPr="00515FC7">
        <w:rPr>
          <w:rFonts w:ascii="Times New Roman" w:hAnsi="Times New Roman" w:cs="Times New Roman"/>
        </w:rPr>
        <w:t>wydawani</w:t>
      </w:r>
      <w:r w:rsidR="005D35CC" w:rsidRPr="00515FC7">
        <w:rPr>
          <w:rFonts w:ascii="Times New Roman" w:hAnsi="Times New Roman" w:cs="Times New Roman"/>
        </w:rPr>
        <w:t>e</w:t>
      </w:r>
      <w:r w:rsidRPr="00515FC7">
        <w:rPr>
          <w:rFonts w:ascii="Times New Roman" w:hAnsi="Times New Roman" w:cs="Times New Roman"/>
        </w:rPr>
        <w:t xml:space="preserve"> prasy przez samorządy lokalne, zwłaszcza na zasadach komercyjnych.</w:t>
      </w:r>
      <w:bookmarkEnd w:id="17"/>
      <w:r w:rsidRPr="00515FC7">
        <w:rPr>
          <w:rFonts w:ascii="Times New Roman" w:hAnsi="Times New Roman" w:cs="Times New Roman"/>
        </w:rPr>
        <w:t xml:space="preserve"> </w:t>
      </w:r>
    </w:p>
    <w:p w:rsidR="003761F8" w:rsidRPr="00515FC7" w:rsidRDefault="00EF2158"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W ocenie Rzecznika jednostki samorządu terytorialnego nie powinny wydawać prasy, a jedynie biuletyny, które zawierają obiektywne informacje, użyteczne dla lokalnej społeczności, publikacje promujące samorząd, a także komunikaty urzędowe. </w:t>
      </w:r>
    </w:p>
    <w:p w:rsidR="00EF2158" w:rsidRDefault="00EF2158" w:rsidP="004E2200">
      <w:pPr>
        <w:pStyle w:val="Akapitzlist"/>
        <w:spacing w:before="120" w:after="0" w:line="360" w:lineRule="auto"/>
        <w:ind w:left="0" w:firstLine="709"/>
        <w:contextualSpacing w:val="0"/>
        <w:jc w:val="both"/>
        <w:rPr>
          <w:rFonts w:ascii="Times New Roman" w:hAnsi="Times New Roman" w:cs="Times New Roman"/>
          <w:bCs/>
          <w:sz w:val="24"/>
          <w:szCs w:val="24"/>
        </w:rPr>
      </w:pPr>
      <w:r w:rsidRPr="00515FC7">
        <w:rPr>
          <w:rFonts w:ascii="Times New Roman" w:hAnsi="Times New Roman" w:cs="Times New Roman"/>
          <w:bCs/>
          <w:sz w:val="24"/>
          <w:szCs w:val="24"/>
        </w:rPr>
        <w:t xml:space="preserve">W sprawie powoływany jest wyrok z 21.10.2010 r. w sprawie </w:t>
      </w:r>
      <w:proofErr w:type="spellStart"/>
      <w:r w:rsidRPr="00515FC7">
        <w:rPr>
          <w:rFonts w:ascii="Times New Roman" w:hAnsi="Times New Roman" w:cs="Times New Roman"/>
          <w:bCs/>
          <w:i/>
          <w:sz w:val="24"/>
          <w:szCs w:val="24"/>
        </w:rPr>
        <w:t>Saliyev</w:t>
      </w:r>
      <w:proofErr w:type="spellEnd"/>
      <w:r w:rsidRPr="00515FC7">
        <w:rPr>
          <w:rFonts w:ascii="Times New Roman" w:hAnsi="Times New Roman" w:cs="Times New Roman"/>
          <w:bCs/>
          <w:i/>
          <w:sz w:val="24"/>
          <w:szCs w:val="24"/>
        </w:rPr>
        <w:t xml:space="preserve"> </w:t>
      </w:r>
      <w:r w:rsidR="00DA7701" w:rsidRPr="00515FC7">
        <w:rPr>
          <w:rFonts w:ascii="Times New Roman" w:hAnsi="Times New Roman" w:cs="Times New Roman"/>
          <w:bCs/>
          <w:i/>
          <w:sz w:val="24"/>
          <w:szCs w:val="24"/>
        </w:rPr>
        <w:t>p</w:t>
      </w:r>
      <w:r w:rsidRPr="00515FC7">
        <w:rPr>
          <w:rFonts w:ascii="Times New Roman" w:hAnsi="Times New Roman" w:cs="Times New Roman"/>
          <w:bCs/>
          <w:i/>
          <w:sz w:val="24"/>
          <w:szCs w:val="24"/>
        </w:rPr>
        <w:t>. Rosja</w:t>
      </w:r>
      <w:r w:rsidRPr="00515FC7">
        <w:rPr>
          <w:rFonts w:ascii="Times New Roman" w:hAnsi="Times New Roman" w:cs="Times New Roman"/>
          <w:bCs/>
          <w:sz w:val="24"/>
          <w:szCs w:val="24"/>
        </w:rPr>
        <w:t>, skarga nr 35016/03, w którym podkreśla się znaczenie niezależnej prasy.</w:t>
      </w:r>
      <w:r w:rsidR="00DA7701" w:rsidRPr="00515FC7">
        <w:rPr>
          <w:rFonts w:ascii="Times New Roman" w:hAnsi="Times New Roman" w:cs="Times New Roman"/>
          <w:bCs/>
          <w:sz w:val="24"/>
          <w:szCs w:val="24"/>
        </w:rPr>
        <w:t xml:space="preserve"> </w:t>
      </w:r>
      <w:proofErr w:type="spellStart"/>
      <w:r w:rsidR="004E2200" w:rsidRPr="00515FC7">
        <w:rPr>
          <w:rFonts w:ascii="Times New Roman" w:hAnsi="Times New Roman" w:cs="Times New Roman"/>
          <w:bCs/>
          <w:sz w:val="24"/>
          <w:szCs w:val="24"/>
        </w:rPr>
        <w:t>EKPC</w:t>
      </w:r>
      <w:r w:rsidRPr="00515FC7">
        <w:rPr>
          <w:rFonts w:ascii="Times New Roman" w:hAnsi="Times New Roman" w:cs="Times New Roman"/>
          <w:bCs/>
          <w:sz w:val="24"/>
          <w:szCs w:val="24"/>
        </w:rPr>
        <w:t>z</w:t>
      </w:r>
      <w:proofErr w:type="spellEnd"/>
      <w:r w:rsidRPr="00515FC7">
        <w:rPr>
          <w:rFonts w:ascii="Times New Roman" w:hAnsi="Times New Roman" w:cs="Times New Roman"/>
          <w:bCs/>
          <w:sz w:val="24"/>
          <w:szCs w:val="24"/>
        </w:rPr>
        <w:t xml:space="preserve"> stwierdził naruszenie art. 10 </w:t>
      </w:r>
      <w:proofErr w:type="spellStart"/>
      <w:r w:rsidRPr="00515FC7">
        <w:rPr>
          <w:rFonts w:ascii="Times New Roman" w:hAnsi="Times New Roman" w:cs="Times New Roman"/>
          <w:bCs/>
          <w:sz w:val="24"/>
          <w:szCs w:val="24"/>
        </w:rPr>
        <w:t>EKPCz</w:t>
      </w:r>
      <w:proofErr w:type="spellEnd"/>
      <w:r w:rsidRPr="00515FC7">
        <w:rPr>
          <w:rFonts w:ascii="Times New Roman" w:hAnsi="Times New Roman" w:cs="Times New Roman"/>
          <w:bCs/>
          <w:sz w:val="24"/>
          <w:szCs w:val="24"/>
        </w:rPr>
        <w:t>, uznając, że struktura własnościowa czasopisma, która wymaga od</w:t>
      </w:r>
      <w:r w:rsidR="00DA7701" w:rsidRPr="00515FC7">
        <w:rPr>
          <w:rFonts w:ascii="Times New Roman" w:hAnsi="Times New Roman" w:cs="Times New Roman"/>
          <w:bCs/>
          <w:sz w:val="24"/>
          <w:szCs w:val="24"/>
        </w:rPr>
        <w:t> </w:t>
      </w:r>
      <w:r w:rsidRPr="00515FC7">
        <w:rPr>
          <w:rFonts w:ascii="Times New Roman" w:hAnsi="Times New Roman" w:cs="Times New Roman"/>
          <w:bCs/>
          <w:sz w:val="24"/>
          <w:szCs w:val="24"/>
        </w:rPr>
        <w:t>redaktora naczelnego utrzymywania lojalności w stosunku do władz lokalnych, narusza swobodę wypowiedzi. Decyzja o zablokowaniu publikacji, uwzględniając jej ważną społecznie tematykę, nie może być natomiast scharakteryzowana inaczej niż jako akt cenzury politycznej</w:t>
      </w:r>
    </w:p>
    <w:p w:rsidR="000125E8" w:rsidRPr="00515FC7" w:rsidRDefault="000125E8" w:rsidP="004E2200">
      <w:pPr>
        <w:pStyle w:val="Akapitzlist"/>
        <w:spacing w:before="120" w:after="0" w:line="360" w:lineRule="auto"/>
        <w:ind w:left="0" w:firstLine="709"/>
        <w:contextualSpacing w:val="0"/>
        <w:jc w:val="both"/>
        <w:rPr>
          <w:rFonts w:ascii="Times New Roman" w:hAnsi="Times New Roman" w:cs="Times New Roman"/>
          <w:bCs/>
          <w:sz w:val="24"/>
          <w:szCs w:val="24"/>
        </w:rPr>
      </w:pPr>
    </w:p>
    <w:p w:rsidR="002B7182" w:rsidRPr="00515FC7" w:rsidRDefault="002B7182" w:rsidP="004E2200">
      <w:pPr>
        <w:pStyle w:val="Nagwek2"/>
        <w:numPr>
          <w:ilvl w:val="0"/>
          <w:numId w:val="19"/>
        </w:numPr>
        <w:spacing w:before="120" w:line="360" w:lineRule="auto"/>
        <w:jc w:val="both"/>
        <w:rPr>
          <w:rFonts w:ascii="Times New Roman" w:hAnsi="Times New Roman" w:cs="Times New Roman"/>
        </w:rPr>
      </w:pPr>
      <w:bookmarkStart w:id="18" w:name="_Toc504117623"/>
      <w:r w:rsidRPr="00515FC7">
        <w:rPr>
          <w:rFonts w:ascii="Times New Roman" w:hAnsi="Times New Roman" w:cs="Times New Roman"/>
        </w:rPr>
        <w:t>P</w:t>
      </w:r>
      <w:r w:rsidR="00C172EC" w:rsidRPr="00515FC7">
        <w:rPr>
          <w:rFonts w:ascii="Times New Roman" w:hAnsi="Times New Roman" w:cs="Times New Roman"/>
        </w:rPr>
        <w:t>rawa wyborcze osób ubezwłasnowolnionych</w:t>
      </w:r>
      <w:bookmarkEnd w:id="18"/>
      <w:r w:rsidR="00C172EC" w:rsidRPr="00515FC7">
        <w:rPr>
          <w:rFonts w:ascii="Times New Roman" w:hAnsi="Times New Roman" w:cs="Times New Roman"/>
        </w:rPr>
        <w:t xml:space="preserve"> </w:t>
      </w:r>
    </w:p>
    <w:p w:rsidR="00C172EC" w:rsidRPr="00515FC7" w:rsidRDefault="00DD072A"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W </w:t>
      </w:r>
      <w:r w:rsidR="00C172EC" w:rsidRPr="00515FC7">
        <w:rPr>
          <w:rFonts w:ascii="Times New Roman" w:hAnsi="Times New Roman" w:cs="Times New Roman"/>
          <w:sz w:val="24"/>
          <w:szCs w:val="24"/>
        </w:rPr>
        <w:t>szeregu wystąpień dotyczących tego problemu wskazywany jest wyrok</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C172EC" w:rsidRPr="00515FC7">
        <w:rPr>
          <w:rFonts w:ascii="Times New Roman" w:hAnsi="Times New Roman" w:cs="Times New Roman"/>
          <w:sz w:val="24"/>
          <w:szCs w:val="24"/>
        </w:rPr>
        <w:t xml:space="preserve"> w</w:t>
      </w:r>
      <w:r w:rsidR="00DA7701" w:rsidRPr="00515FC7">
        <w:rPr>
          <w:rFonts w:ascii="Times New Roman" w:hAnsi="Times New Roman" w:cs="Times New Roman"/>
          <w:sz w:val="24"/>
          <w:szCs w:val="24"/>
        </w:rPr>
        <w:t> </w:t>
      </w:r>
      <w:r w:rsidR="00C172EC" w:rsidRPr="00515FC7">
        <w:rPr>
          <w:rFonts w:ascii="Times New Roman" w:hAnsi="Times New Roman" w:cs="Times New Roman"/>
          <w:sz w:val="24"/>
          <w:szCs w:val="24"/>
        </w:rPr>
        <w:t xml:space="preserve">z dnia 20 maja 2010 r. w sprawie </w:t>
      </w:r>
      <w:proofErr w:type="spellStart"/>
      <w:r w:rsidR="00C172EC" w:rsidRPr="00515FC7">
        <w:rPr>
          <w:rFonts w:ascii="Times New Roman" w:hAnsi="Times New Roman" w:cs="Times New Roman"/>
          <w:i/>
          <w:sz w:val="24"/>
          <w:szCs w:val="24"/>
        </w:rPr>
        <w:t>Alajos</w:t>
      </w:r>
      <w:proofErr w:type="spellEnd"/>
      <w:r w:rsidR="00C172EC" w:rsidRPr="00515FC7">
        <w:rPr>
          <w:rFonts w:ascii="Times New Roman" w:hAnsi="Times New Roman" w:cs="Times New Roman"/>
          <w:i/>
          <w:sz w:val="24"/>
          <w:szCs w:val="24"/>
        </w:rPr>
        <w:t xml:space="preserve"> Kiss v. Węgrom</w:t>
      </w:r>
      <w:r w:rsidR="00C172EC" w:rsidRPr="00515FC7">
        <w:rPr>
          <w:rFonts w:ascii="Times New Roman" w:hAnsi="Times New Roman" w:cs="Times New Roman"/>
          <w:sz w:val="24"/>
          <w:szCs w:val="24"/>
        </w:rPr>
        <w:t>, w którym</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C172EC" w:rsidRPr="00515FC7">
        <w:rPr>
          <w:rFonts w:ascii="Times New Roman" w:hAnsi="Times New Roman" w:cs="Times New Roman"/>
          <w:sz w:val="24"/>
          <w:szCs w:val="24"/>
        </w:rPr>
        <w:t xml:space="preserve"> uznał, że</w:t>
      </w:r>
      <w:r w:rsidR="00DA7701" w:rsidRPr="00515FC7">
        <w:rPr>
          <w:rFonts w:ascii="Times New Roman" w:hAnsi="Times New Roman" w:cs="Times New Roman"/>
          <w:sz w:val="24"/>
          <w:szCs w:val="24"/>
        </w:rPr>
        <w:t> </w:t>
      </w:r>
      <w:r w:rsidR="00C172EC" w:rsidRPr="00515FC7">
        <w:rPr>
          <w:rFonts w:ascii="Times New Roman" w:hAnsi="Times New Roman" w:cs="Times New Roman"/>
          <w:sz w:val="24"/>
          <w:szCs w:val="24"/>
        </w:rPr>
        <w:t xml:space="preserve">procedura przewidująca arbitralne, automatyczne pozbawienie osób ubezwłasnowolnionych prawa głosowania jest niezgodna z art. 3 Protokołu nr 1 do </w:t>
      </w:r>
      <w:proofErr w:type="spellStart"/>
      <w:r w:rsidR="00C172EC"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C172EC" w:rsidRPr="00515FC7">
        <w:rPr>
          <w:rFonts w:ascii="Times New Roman" w:hAnsi="Times New Roman" w:cs="Times New Roman"/>
          <w:sz w:val="24"/>
          <w:szCs w:val="24"/>
        </w:rPr>
        <w:t>.</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C172EC" w:rsidRPr="00515FC7">
        <w:rPr>
          <w:rFonts w:ascii="Times New Roman" w:hAnsi="Times New Roman" w:cs="Times New Roman"/>
          <w:sz w:val="24"/>
          <w:szCs w:val="24"/>
        </w:rPr>
        <w:t xml:space="preserve"> podkreślił, że uznaje tego typu działania za nieuzasadnioną dyskryminację, a</w:t>
      </w:r>
      <w:r w:rsidR="00DA7701" w:rsidRPr="00515FC7">
        <w:rPr>
          <w:rFonts w:ascii="Times New Roman" w:hAnsi="Times New Roman" w:cs="Times New Roman"/>
          <w:sz w:val="24"/>
          <w:szCs w:val="24"/>
        </w:rPr>
        <w:t> </w:t>
      </w:r>
      <w:r w:rsidR="00C172EC" w:rsidRPr="00515FC7">
        <w:rPr>
          <w:rFonts w:ascii="Times New Roman" w:hAnsi="Times New Roman" w:cs="Times New Roman"/>
          <w:sz w:val="24"/>
          <w:szCs w:val="24"/>
        </w:rPr>
        <w:t>wyłączenie osób ubezwłasnowolnionych z możliwości wyboru swoich przedstawicieli stanowi nieuzasadnioną restrykcję</w:t>
      </w:r>
      <w:r w:rsidR="00C172EC" w:rsidRPr="00515FC7">
        <w:rPr>
          <w:rFonts w:ascii="Times New Roman" w:hAnsi="Times New Roman" w:cs="Times New Roman"/>
          <w:sz w:val="24"/>
          <w:szCs w:val="24"/>
          <w:vertAlign w:val="superscript"/>
        </w:rPr>
        <w:t>.</w:t>
      </w:r>
      <w:r w:rsidR="00C172EC" w:rsidRPr="00515FC7">
        <w:rPr>
          <w:rFonts w:ascii="Times New Roman" w:hAnsi="Times New Roman" w:cs="Times New Roman"/>
          <w:sz w:val="24"/>
          <w:szCs w:val="24"/>
        </w:rPr>
        <w:t xml:space="preserve"> W szczególności wskazano, że nie można bez zbadania sprawności intelektualnej ubezwłasnowolnionego stwierdzić, że osoba taka nie może rozeznać się w sytuacji politycznej i dokonać racjonalnego aktu wyborczego. </w:t>
      </w:r>
    </w:p>
    <w:p w:rsidR="00DA532A" w:rsidRPr="00515FC7" w:rsidRDefault="002B7182" w:rsidP="004E2200">
      <w:pPr>
        <w:pStyle w:val="Nagwek2"/>
        <w:numPr>
          <w:ilvl w:val="0"/>
          <w:numId w:val="19"/>
        </w:numPr>
        <w:spacing w:before="120" w:line="360" w:lineRule="auto"/>
        <w:jc w:val="both"/>
        <w:rPr>
          <w:rFonts w:ascii="Times New Roman" w:hAnsi="Times New Roman" w:cs="Times New Roman"/>
        </w:rPr>
      </w:pPr>
      <w:bookmarkStart w:id="19" w:name="_Toc504117624"/>
      <w:r w:rsidRPr="00515FC7">
        <w:rPr>
          <w:rFonts w:ascii="Times New Roman" w:hAnsi="Times New Roman" w:cs="Times New Roman"/>
        </w:rPr>
        <w:t>O</w:t>
      </w:r>
      <w:r w:rsidR="00DA532A" w:rsidRPr="00515FC7">
        <w:rPr>
          <w:rFonts w:ascii="Times New Roman" w:hAnsi="Times New Roman" w:cs="Times New Roman"/>
        </w:rPr>
        <w:t>dpowiedzialność karna za zniesławienie (art. 212 k.k.)</w:t>
      </w:r>
      <w:bookmarkEnd w:id="19"/>
    </w:p>
    <w:p w:rsidR="00DA532A" w:rsidRPr="00515FC7" w:rsidRDefault="00DA532A"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Sprawa ma charakter generalny i dotyczy zasadności pozostawienia w polskim systemie prawnym art. 212 kodeksu karnego, który to przepis przewiduje odpowiedzialność karną za zniesławienie. W ocenie Rzecznika wskazany przepis w negatywny sposób oddziałuje na wolność słowa dziennikarzy. Bardziej uzasadniona byłaby odpowiedzialność cywilnoprawna w tym zakresie</w:t>
      </w:r>
      <w:r w:rsidR="00F60C52" w:rsidRPr="00515FC7">
        <w:rPr>
          <w:rFonts w:ascii="Times New Roman" w:hAnsi="Times New Roman" w:cs="Times New Roman"/>
          <w:sz w:val="24"/>
          <w:szCs w:val="24"/>
        </w:rPr>
        <w:t xml:space="preserve"> - Rzecznik zaproponował pewne rozwiązania, które mogłyby zastąpić obowiązujący art. 212 k.k.</w:t>
      </w:r>
      <w:r w:rsidRPr="00515FC7">
        <w:rPr>
          <w:rFonts w:ascii="Times New Roman" w:hAnsi="Times New Roman" w:cs="Times New Roman"/>
          <w:sz w:val="24"/>
          <w:szCs w:val="24"/>
        </w:rPr>
        <w:t xml:space="preserve">. </w:t>
      </w:r>
    </w:p>
    <w:p w:rsidR="00F60C52" w:rsidRPr="00515FC7" w:rsidRDefault="00DA532A"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W wystąp</w:t>
      </w:r>
      <w:r w:rsidR="00F60C52" w:rsidRPr="00515FC7">
        <w:rPr>
          <w:rFonts w:ascii="Times New Roman" w:hAnsi="Times New Roman" w:cs="Times New Roman"/>
          <w:sz w:val="24"/>
          <w:szCs w:val="24"/>
        </w:rPr>
        <w:t xml:space="preserve">ieniach kierowanych do Ministra Sprawiedliwości, do Kancelarii Prezydenta czy do Przewodniczącego senackiej Komisji Praworządności i Praw Człowieka </w:t>
      </w:r>
      <w:r w:rsidRPr="00515FC7">
        <w:rPr>
          <w:rFonts w:ascii="Times New Roman" w:hAnsi="Times New Roman" w:cs="Times New Roman"/>
          <w:sz w:val="24"/>
          <w:szCs w:val="24"/>
        </w:rPr>
        <w:t xml:space="preserve">Rzecznik wskazał na wyrok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z 19 grudnia 2006 r. w sprawie </w:t>
      </w:r>
      <w:r w:rsidRPr="00515FC7">
        <w:rPr>
          <w:rFonts w:ascii="Times New Roman" w:hAnsi="Times New Roman" w:cs="Times New Roman"/>
          <w:i/>
          <w:sz w:val="24"/>
          <w:szCs w:val="24"/>
        </w:rPr>
        <w:t>Dąbrowski przeciwko Polsce</w:t>
      </w:r>
      <w:r w:rsidRPr="00515FC7">
        <w:rPr>
          <w:rFonts w:ascii="Times New Roman" w:hAnsi="Times New Roman" w:cs="Times New Roman"/>
          <w:sz w:val="24"/>
          <w:szCs w:val="24"/>
        </w:rPr>
        <w:t xml:space="preserve"> (skarga nr 18235/02)</w:t>
      </w:r>
      <w:r w:rsidR="00F60C52" w:rsidRPr="00515FC7">
        <w:rPr>
          <w:rFonts w:ascii="Times New Roman" w:hAnsi="Times New Roman" w:cs="Times New Roman"/>
          <w:sz w:val="24"/>
          <w:szCs w:val="24"/>
        </w:rPr>
        <w:t xml:space="preserve"> oraz </w:t>
      </w:r>
      <w:r w:rsidR="00F60C52" w:rsidRPr="00515FC7">
        <w:rPr>
          <w:rFonts w:ascii="Times New Roman" w:hAnsi="Times New Roman" w:cs="Times New Roman"/>
          <w:i/>
          <w:sz w:val="24"/>
          <w:szCs w:val="24"/>
        </w:rPr>
        <w:t>Długołęcki przeciwko Polsce</w:t>
      </w:r>
      <w:r w:rsidR="00F60C52" w:rsidRPr="00515FC7">
        <w:rPr>
          <w:rFonts w:ascii="Times New Roman" w:hAnsi="Times New Roman" w:cs="Times New Roman"/>
          <w:sz w:val="24"/>
          <w:szCs w:val="24"/>
        </w:rPr>
        <w:t xml:space="preserve"> z dnia 24 lutego 2009 r. (skarga nr</w:t>
      </w:r>
      <w:r w:rsidR="00DA7701" w:rsidRPr="00515FC7">
        <w:rPr>
          <w:rFonts w:ascii="Times New Roman" w:hAnsi="Times New Roman" w:cs="Times New Roman"/>
          <w:sz w:val="24"/>
          <w:szCs w:val="24"/>
        </w:rPr>
        <w:t> </w:t>
      </w:r>
      <w:r w:rsidR="00F60C52" w:rsidRPr="00515FC7">
        <w:rPr>
          <w:rFonts w:ascii="Times New Roman" w:hAnsi="Times New Roman" w:cs="Times New Roman"/>
          <w:sz w:val="24"/>
          <w:szCs w:val="24"/>
        </w:rPr>
        <w:t xml:space="preserve">23806/03) oraz w sprawie </w:t>
      </w:r>
      <w:r w:rsidR="00F60C52" w:rsidRPr="00515FC7">
        <w:rPr>
          <w:rFonts w:ascii="Times New Roman" w:hAnsi="Times New Roman" w:cs="Times New Roman"/>
          <w:i/>
          <w:sz w:val="24"/>
          <w:szCs w:val="24"/>
        </w:rPr>
        <w:t>Maciejewski przeciwko Polsce</w:t>
      </w:r>
      <w:r w:rsidR="00F60C52" w:rsidRPr="00515FC7">
        <w:rPr>
          <w:rFonts w:ascii="Times New Roman" w:hAnsi="Times New Roman" w:cs="Times New Roman"/>
          <w:sz w:val="24"/>
          <w:szCs w:val="24"/>
        </w:rPr>
        <w:t xml:space="preserve"> z 13 stycznia 2015 r. (skarga nr</w:t>
      </w:r>
      <w:r w:rsidR="00DA7701" w:rsidRPr="00515FC7">
        <w:rPr>
          <w:rFonts w:ascii="Times New Roman" w:hAnsi="Times New Roman" w:cs="Times New Roman"/>
          <w:sz w:val="24"/>
          <w:szCs w:val="24"/>
        </w:rPr>
        <w:t> </w:t>
      </w:r>
      <w:r w:rsidR="00F60C52" w:rsidRPr="00515FC7">
        <w:rPr>
          <w:rFonts w:ascii="Times New Roman" w:hAnsi="Times New Roman" w:cs="Times New Roman"/>
          <w:sz w:val="24"/>
          <w:szCs w:val="24"/>
        </w:rPr>
        <w:t>3447/05). Co prawda</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00F60C52" w:rsidRPr="00515FC7">
        <w:rPr>
          <w:rFonts w:ascii="Times New Roman" w:hAnsi="Times New Roman" w:cs="Times New Roman"/>
          <w:sz w:val="24"/>
          <w:szCs w:val="24"/>
        </w:rPr>
        <w:t xml:space="preserve"> w tym wyrokach nie zakwestionował </w:t>
      </w:r>
      <w:r w:rsidRPr="00515FC7">
        <w:rPr>
          <w:rFonts w:ascii="Times New Roman" w:hAnsi="Times New Roman" w:cs="Times New Roman"/>
          <w:sz w:val="24"/>
          <w:szCs w:val="24"/>
        </w:rPr>
        <w:t>obowiązywania art. 212 k.k., a</w:t>
      </w:r>
      <w:r w:rsidR="00F60C52" w:rsidRPr="00515FC7">
        <w:rPr>
          <w:rFonts w:ascii="Times New Roman" w:hAnsi="Times New Roman" w:cs="Times New Roman"/>
          <w:sz w:val="24"/>
          <w:szCs w:val="24"/>
        </w:rPr>
        <w:t xml:space="preserve">le </w:t>
      </w:r>
      <w:r w:rsidRPr="00515FC7">
        <w:rPr>
          <w:rFonts w:ascii="Times New Roman" w:hAnsi="Times New Roman" w:cs="Times New Roman"/>
          <w:sz w:val="24"/>
          <w:szCs w:val="24"/>
        </w:rPr>
        <w:t xml:space="preserve">wskazał, że przy ocenie proporcjonalności ingerencji konieczne jest uwzględnienie charakteru i surowości wymierzonej kary. </w:t>
      </w:r>
      <w:r w:rsidR="00F60C52" w:rsidRPr="00515FC7">
        <w:rPr>
          <w:rFonts w:ascii="Times New Roman" w:hAnsi="Times New Roman" w:cs="Times New Roman"/>
          <w:sz w:val="24"/>
          <w:szCs w:val="24"/>
        </w:rPr>
        <w:t>W innych spr</w:t>
      </w:r>
      <w:r w:rsidR="00960E4D">
        <w:rPr>
          <w:rFonts w:ascii="Times New Roman" w:hAnsi="Times New Roman" w:cs="Times New Roman"/>
          <w:sz w:val="24"/>
          <w:szCs w:val="24"/>
        </w:rPr>
        <w:t>awach, na które powoływał się w </w:t>
      </w:r>
      <w:r w:rsidR="00F60C52" w:rsidRPr="00515FC7">
        <w:rPr>
          <w:rFonts w:ascii="Times New Roman" w:hAnsi="Times New Roman" w:cs="Times New Roman"/>
          <w:sz w:val="24"/>
          <w:szCs w:val="24"/>
        </w:rPr>
        <w:t>swoim stanowisku RPO,</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dokonywał oc</w:t>
      </w:r>
      <w:r w:rsidR="00960E4D">
        <w:rPr>
          <w:rFonts w:ascii="Times New Roman" w:hAnsi="Times New Roman" w:cs="Times New Roman"/>
          <w:sz w:val="24"/>
          <w:szCs w:val="24"/>
        </w:rPr>
        <w:t>eny proporcjonalności sankcji i </w:t>
      </w:r>
      <w:r w:rsidRPr="00515FC7">
        <w:rPr>
          <w:rFonts w:ascii="Times New Roman" w:hAnsi="Times New Roman" w:cs="Times New Roman"/>
          <w:sz w:val="24"/>
          <w:szCs w:val="24"/>
        </w:rPr>
        <w:t>zastosowania standardów wo</w:t>
      </w:r>
      <w:r w:rsidR="00F60C52" w:rsidRPr="00515FC7">
        <w:rPr>
          <w:rFonts w:ascii="Times New Roman" w:hAnsi="Times New Roman" w:cs="Times New Roman"/>
          <w:sz w:val="24"/>
          <w:szCs w:val="24"/>
        </w:rPr>
        <w:t xml:space="preserve">lności słowa przez sądy krajowe (zob. </w:t>
      </w:r>
      <w:proofErr w:type="spellStart"/>
      <w:r w:rsidR="00F60C52" w:rsidRPr="00515FC7">
        <w:rPr>
          <w:rFonts w:ascii="Times New Roman" w:hAnsi="Times New Roman" w:cs="Times New Roman"/>
          <w:i/>
          <w:iCs/>
          <w:sz w:val="24"/>
          <w:szCs w:val="24"/>
        </w:rPr>
        <w:t>Raichinov</w:t>
      </w:r>
      <w:proofErr w:type="spellEnd"/>
      <w:r w:rsidR="00F60C52" w:rsidRPr="00515FC7">
        <w:rPr>
          <w:rFonts w:ascii="Times New Roman" w:hAnsi="Times New Roman" w:cs="Times New Roman"/>
          <w:i/>
          <w:iCs/>
          <w:sz w:val="24"/>
          <w:szCs w:val="24"/>
        </w:rPr>
        <w:t xml:space="preserve"> przeciwko Bułgarii </w:t>
      </w:r>
      <w:r w:rsidR="00F60C52" w:rsidRPr="00515FC7">
        <w:rPr>
          <w:rFonts w:ascii="Times New Roman" w:hAnsi="Times New Roman" w:cs="Times New Roman"/>
          <w:sz w:val="24"/>
          <w:szCs w:val="24"/>
        </w:rPr>
        <w:t>(skarga nr 47579/99),</w:t>
      </w:r>
      <w:r w:rsidR="00DA7701" w:rsidRPr="00515FC7">
        <w:rPr>
          <w:rFonts w:ascii="Times New Roman" w:hAnsi="Times New Roman" w:cs="Times New Roman"/>
          <w:sz w:val="24"/>
          <w:szCs w:val="24"/>
        </w:rPr>
        <w:t xml:space="preserve"> </w:t>
      </w:r>
      <w:proofErr w:type="spellStart"/>
      <w:r w:rsidR="00F60C52" w:rsidRPr="00515FC7">
        <w:rPr>
          <w:rFonts w:ascii="Times New Roman" w:hAnsi="Times New Roman" w:cs="Times New Roman"/>
          <w:i/>
          <w:iCs/>
          <w:sz w:val="24"/>
          <w:szCs w:val="24"/>
        </w:rPr>
        <w:t>Cumpana</w:t>
      </w:r>
      <w:proofErr w:type="spellEnd"/>
      <w:r w:rsidR="00F60C52" w:rsidRPr="00515FC7">
        <w:rPr>
          <w:rFonts w:ascii="Times New Roman" w:hAnsi="Times New Roman" w:cs="Times New Roman"/>
          <w:i/>
          <w:iCs/>
          <w:sz w:val="24"/>
          <w:szCs w:val="24"/>
        </w:rPr>
        <w:t xml:space="preserve"> i </w:t>
      </w:r>
      <w:proofErr w:type="spellStart"/>
      <w:r w:rsidR="00F60C52" w:rsidRPr="00515FC7">
        <w:rPr>
          <w:rFonts w:ascii="Times New Roman" w:hAnsi="Times New Roman" w:cs="Times New Roman"/>
          <w:i/>
          <w:iCs/>
          <w:sz w:val="24"/>
          <w:szCs w:val="24"/>
        </w:rPr>
        <w:t>Mazare</w:t>
      </w:r>
      <w:proofErr w:type="spellEnd"/>
      <w:r w:rsidR="00F60C52" w:rsidRPr="00515FC7">
        <w:rPr>
          <w:rFonts w:ascii="Times New Roman" w:hAnsi="Times New Roman" w:cs="Times New Roman"/>
          <w:i/>
          <w:iCs/>
          <w:sz w:val="24"/>
          <w:szCs w:val="24"/>
        </w:rPr>
        <w:t xml:space="preserve"> przeciwko Rumunii </w:t>
      </w:r>
      <w:r w:rsidR="00F60C52" w:rsidRPr="00515FC7">
        <w:rPr>
          <w:rFonts w:ascii="Times New Roman" w:hAnsi="Times New Roman" w:cs="Times New Roman"/>
          <w:sz w:val="24"/>
          <w:szCs w:val="24"/>
        </w:rPr>
        <w:t xml:space="preserve">(skarga nr 33348/96), </w:t>
      </w:r>
      <w:proofErr w:type="spellStart"/>
      <w:r w:rsidR="00F60C52" w:rsidRPr="00515FC7">
        <w:rPr>
          <w:rFonts w:ascii="Times New Roman" w:hAnsi="Times New Roman" w:cs="Times New Roman"/>
          <w:i/>
          <w:sz w:val="24"/>
          <w:szCs w:val="24"/>
        </w:rPr>
        <w:t>Castells</w:t>
      </w:r>
      <w:proofErr w:type="spellEnd"/>
      <w:r w:rsidR="00F60C52" w:rsidRPr="00515FC7">
        <w:rPr>
          <w:rFonts w:ascii="Times New Roman" w:hAnsi="Times New Roman" w:cs="Times New Roman"/>
          <w:i/>
          <w:sz w:val="24"/>
          <w:szCs w:val="24"/>
        </w:rPr>
        <w:t xml:space="preserve"> przeciwko Hiszpanii</w:t>
      </w:r>
      <w:r w:rsidR="00F60C52" w:rsidRPr="00515FC7">
        <w:rPr>
          <w:rFonts w:ascii="Times New Roman" w:hAnsi="Times New Roman" w:cs="Times New Roman"/>
          <w:sz w:val="24"/>
          <w:szCs w:val="24"/>
        </w:rPr>
        <w:t xml:space="preserve"> (skarga nr 11798/82). </w:t>
      </w:r>
    </w:p>
    <w:p w:rsidR="00F60C52" w:rsidRDefault="00F60C52"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RPO postuluje zatem ponowną analizę potrzeb</w:t>
      </w:r>
      <w:r w:rsidR="00960E4D">
        <w:rPr>
          <w:rFonts w:ascii="Times New Roman" w:hAnsi="Times New Roman" w:cs="Times New Roman"/>
          <w:sz w:val="24"/>
          <w:szCs w:val="24"/>
        </w:rPr>
        <w:t>y obowiązywania art. 212 k.k. w </w:t>
      </w:r>
      <w:r w:rsidRPr="00515FC7">
        <w:rPr>
          <w:rFonts w:ascii="Times New Roman" w:hAnsi="Times New Roman" w:cs="Times New Roman"/>
          <w:sz w:val="24"/>
          <w:szCs w:val="24"/>
        </w:rPr>
        <w:t xml:space="preserve">polskim porządku prawnym, ale także konieczności proporcjonalności ingerencji w prawa podstawowe, w szczególności w prawa zagwarantowane w art. 10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w:t>
      </w:r>
    </w:p>
    <w:p w:rsidR="000125E8" w:rsidRPr="00515FC7" w:rsidRDefault="000125E8" w:rsidP="004E2200">
      <w:pPr>
        <w:pStyle w:val="Akapitzlist"/>
        <w:spacing w:before="120" w:after="0" w:line="360" w:lineRule="auto"/>
        <w:ind w:left="0" w:firstLine="709"/>
        <w:contextualSpacing w:val="0"/>
        <w:jc w:val="both"/>
        <w:rPr>
          <w:rFonts w:ascii="Times New Roman" w:hAnsi="Times New Roman" w:cs="Times New Roman"/>
          <w:sz w:val="24"/>
          <w:szCs w:val="24"/>
        </w:rPr>
      </w:pPr>
    </w:p>
    <w:p w:rsidR="00DA532A" w:rsidRPr="00515FC7" w:rsidRDefault="00F60C52" w:rsidP="004E2200">
      <w:pPr>
        <w:pStyle w:val="Nagwek2"/>
        <w:numPr>
          <w:ilvl w:val="0"/>
          <w:numId w:val="19"/>
        </w:numPr>
        <w:spacing w:before="120" w:line="360" w:lineRule="auto"/>
        <w:jc w:val="both"/>
        <w:rPr>
          <w:rFonts w:ascii="Times New Roman" w:hAnsi="Times New Roman" w:cs="Times New Roman"/>
        </w:rPr>
      </w:pPr>
      <w:bookmarkStart w:id="20" w:name="_Toc504117625"/>
      <w:r w:rsidRPr="00515FC7">
        <w:rPr>
          <w:rFonts w:ascii="Times New Roman" w:hAnsi="Times New Roman" w:cs="Times New Roman"/>
        </w:rPr>
        <w:t>Problem nowelizacji Praw</w:t>
      </w:r>
      <w:r w:rsidR="003761F8" w:rsidRPr="00515FC7">
        <w:rPr>
          <w:rFonts w:ascii="Times New Roman" w:hAnsi="Times New Roman" w:cs="Times New Roman"/>
        </w:rPr>
        <w:t>a</w:t>
      </w:r>
      <w:r w:rsidRPr="00515FC7">
        <w:rPr>
          <w:rFonts w:ascii="Times New Roman" w:hAnsi="Times New Roman" w:cs="Times New Roman"/>
        </w:rPr>
        <w:t xml:space="preserve"> o zgromadzeniach </w:t>
      </w:r>
      <w:r w:rsidR="005D35CC" w:rsidRPr="00515FC7">
        <w:rPr>
          <w:rFonts w:ascii="Times New Roman" w:hAnsi="Times New Roman" w:cs="Times New Roman"/>
        </w:rPr>
        <w:t xml:space="preserve">i </w:t>
      </w:r>
      <w:r w:rsidRPr="00515FC7">
        <w:rPr>
          <w:rFonts w:ascii="Times New Roman" w:hAnsi="Times New Roman" w:cs="Times New Roman"/>
        </w:rPr>
        <w:t>inne naruszeni</w:t>
      </w:r>
      <w:r w:rsidR="005D35CC" w:rsidRPr="00515FC7">
        <w:rPr>
          <w:rFonts w:ascii="Times New Roman" w:hAnsi="Times New Roman" w:cs="Times New Roman"/>
        </w:rPr>
        <w:t>a</w:t>
      </w:r>
      <w:r w:rsidRPr="00515FC7">
        <w:rPr>
          <w:rFonts w:ascii="Times New Roman" w:hAnsi="Times New Roman" w:cs="Times New Roman"/>
        </w:rPr>
        <w:t xml:space="preserve"> prawa do zgromadzeń</w:t>
      </w:r>
      <w:bookmarkEnd w:id="20"/>
    </w:p>
    <w:p w:rsidR="00206264" w:rsidRPr="00515FC7" w:rsidRDefault="00F60C52"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Zarówno w opinii RPO wyrażanej podczas prac legi</w:t>
      </w:r>
      <w:r w:rsidR="00960E4D">
        <w:rPr>
          <w:rFonts w:ascii="Times New Roman" w:hAnsi="Times New Roman" w:cs="Times New Roman"/>
          <w:sz w:val="24"/>
          <w:szCs w:val="24"/>
        </w:rPr>
        <w:t>slacyjnych w parlamencie, jak i </w:t>
      </w:r>
      <w:r w:rsidRPr="00515FC7">
        <w:rPr>
          <w:rFonts w:ascii="Times New Roman" w:hAnsi="Times New Roman" w:cs="Times New Roman"/>
          <w:sz w:val="24"/>
          <w:szCs w:val="24"/>
        </w:rPr>
        <w:t>w</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 xml:space="preserve">innych stanowiskach RPO dotyczących konkretnych zgromadzeń, podczas których dochodzi do naruszenia prawa do zgromadzeń, powoływane są - jako element standardu prawa do zgromadzeń zagwarantowanego przez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 te orzeczenia</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w których Trybunał dokonywał interpretacji </w:t>
      </w:r>
      <w:r w:rsidR="00206264" w:rsidRPr="00515FC7">
        <w:rPr>
          <w:rFonts w:ascii="Times New Roman" w:hAnsi="Times New Roman" w:cs="Times New Roman"/>
          <w:sz w:val="24"/>
          <w:szCs w:val="24"/>
        </w:rPr>
        <w:t>samego pojęcia zgromadzenia, wskazywał na dopuszczalne przesłanki ingerencji, w szczególności możliwość ograniczenia prawa do zgromadzenia</w:t>
      </w:r>
      <w:r w:rsidR="005609DB" w:rsidRPr="00515FC7">
        <w:rPr>
          <w:rFonts w:ascii="Times New Roman" w:hAnsi="Times New Roman" w:cs="Times New Roman"/>
          <w:sz w:val="24"/>
          <w:szCs w:val="24"/>
        </w:rPr>
        <w:t xml:space="preserve">, opierając się w szczególności na sprawie </w:t>
      </w:r>
      <w:r w:rsidR="005609DB" w:rsidRPr="00515FC7">
        <w:rPr>
          <w:rFonts w:ascii="Times New Roman" w:hAnsi="Times New Roman" w:cs="Times New Roman"/>
          <w:i/>
          <w:sz w:val="24"/>
          <w:szCs w:val="24"/>
        </w:rPr>
        <w:t>Bączkowski p. Polsce</w:t>
      </w:r>
      <w:r w:rsidR="005609DB" w:rsidRPr="00515FC7">
        <w:rPr>
          <w:rFonts w:ascii="Times New Roman" w:hAnsi="Times New Roman" w:cs="Times New Roman"/>
          <w:sz w:val="24"/>
          <w:szCs w:val="24"/>
        </w:rPr>
        <w:t>).</w:t>
      </w:r>
    </w:p>
    <w:p w:rsidR="00206264" w:rsidRPr="00515FC7" w:rsidRDefault="00206264" w:rsidP="004E2200">
      <w:pPr>
        <w:pStyle w:val="NormalnyWeb"/>
        <w:shd w:val="clear" w:color="auto" w:fill="FFFEFE"/>
        <w:spacing w:before="120" w:beforeAutospacing="0" w:after="0" w:afterAutospacing="0" w:line="360" w:lineRule="auto"/>
        <w:ind w:firstLine="709"/>
        <w:jc w:val="both"/>
        <w:textAlignment w:val="baseline"/>
      </w:pPr>
      <w:r w:rsidRPr="00515FC7">
        <w:t>RPO wskazywał w szczególności na te wyroki</w:t>
      </w:r>
      <w:r w:rsidR="00DA7701" w:rsidRPr="00515FC7">
        <w:t xml:space="preserve"> </w:t>
      </w:r>
      <w:proofErr w:type="spellStart"/>
      <w:r w:rsidR="004E2200" w:rsidRPr="00515FC7">
        <w:t>EKPC</w:t>
      </w:r>
      <w:r w:rsidR="00DA7701" w:rsidRPr="00515FC7">
        <w:t>z</w:t>
      </w:r>
      <w:proofErr w:type="spellEnd"/>
      <w:r w:rsidRPr="00515FC7">
        <w:t>, które dotyczą prawa do</w:t>
      </w:r>
      <w:r w:rsidR="00DA7701" w:rsidRPr="00515FC7">
        <w:t> </w:t>
      </w:r>
      <w:r w:rsidRPr="00515FC7">
        <w:t>kontrdemonstracji (</w:t>
      </w:r>
      <w:r w:rsidRPr="00515FC7">
        <w:rPr>
          <w:rStyle w:val="Uwydatnienie"/>
          <w:bdr w:val="none" w:sz="0" w:space="0" w:color="auto" w:frame="1"/>
        </w:rPr>
        <w:t xml:space="preserve">Cisse przeciwko Francji, </w:t>
      </w:r>
      <w:r w:rsidRPr="00515FC7">
        <w:t>skarga nr 51346/99),</w:t>
      </w:r>
      <w:r w:rsidRPr="00515FC7">
        <w:rPr>
          <w:rStyle w:val="Uwydatnienie"/>
          <w:bdr w:val="none" w:sz="0" w:space="0" w:color="auto" w:frame="1"/>
        </w:rPr>
        <w:t xml:space="preserve"> Platform „</w:t>
      </w:r>
      <w:proofErr w:type="spellStart"/>
      <w:r w:rsidRPr="00515FC7">
        <w:rPr>
          <w:rStyle w:val="Uwydatnienie"/>
          <w:bdr w:val="none" w:sz="0" w:space="0" w:color="auto" w:frame="1"/>
        </w:rPr>
        <w:t>Ärzte</w:t>
      </w:r>
      <w:proofErr w:type="spellEnd"/>
      <w:r w:rsidRPr="00515FC7">
        <w:rPr>
          <w:rStyle w:val="Uwydatnienie"/>
          <w:bdr w:val="none" w:sz="0" w:space="0" w:color="auto" w:frame="1"/>
        </w:rPr>
        <w:t xml:space="preserve"> </w:t>
      </w:r>
      <w:proofErr w:type="spellStart"/>
      <w:r w:rsidRPr="00515FC7">
        <w:rPr>
          <w:rStyle w:val="Uwydatnienie"/>
          <w:bdr w:val="none" w:sz="0" w:space="0" w:color="auto" w:frame="1"/>
        </w:rPr>
        <w:t>für</w:t>
      </w:r>
      <w:proofErr w:type="spellEnd"/>
      <w:r w:rsidRPr="00515FC7">
        <w:rPr>
          <w:rStyle w:val="Uwydatnienie"/>
          <w:bdr w:val="none" w:sz="0" w:space="0" w:color="auto" w:frame="1"/>
        </w:rPr>
        <w:t xml:space="preserve"> </w:t>
      </w:r>
      <w:proofErr w:type="spellStart"/>
      <w:r w:rsidRPr="00515FC7">
        <w:rPr>
          <w:rStyle w:val="Uwydatnienie"/>
          <w:bdr w:val="none" w:sz="0" w:space="0" w:color="auto" w:frame="1"/>
        </w:rPr>
        <w:t>das</w:t>
      </w:r>
      <w:proofErr w:type="spellEnd"/>
      <w:r w:rsidRPr="00515FC7">
        <w:rPr>
          <w:rStyle w:val="Uwydatnienie"/>
          <w:bdr w:val="none" w:sz="0" w:space="0" w:color="auto" w:frame="1"/>
        </w:rPr>
        <w:t xml:space="preserve"> </w:t>
      </w:r>
      <w:proofErr w:type="spellStart"/>
      <w:r w:rsidRPr="00515FC7">
        <w:rPr>
          <w:rStyle w:val="Uwydatnienie"/>
          <w:bdr w:val="none" w:sz="0" w:space="0" w:color="auto" w:frame="1"/>
        </w:rPr>
        <w:t>Leben</w:t>
      </w:r>
      <w:proofErr w:type="spellEnd"/>
      <w:r w:rsidRPr="00515FC7">
        <w:rPr>
          <w:rStyle w:val="Uwydatnienie"/>
          <w:bdr w:val="none" w:sz="0" w:space="0" w:color="auto" w:frame="1"/>
        </w:rPr>
        <w:t>” przeciwko Austrii</w:t>
      </w:r>
      <w:r w:rsidRPr="00515FC7">
        <w:t> (skarga nr 10126/82) czy </w:t>
      </w:r>
      <w:proofErr w:type="spellStart"/>
      <w:r w:rsidRPr="00515FC7">
        <w:rPr>
          <w:rStyle w:val="Uwydatnienie"/>
          <w:bdr w:val="none" w:sz="0" w:space="0" w:color="auto" w:frame="1"/>
        </w:rPr>
        <w:t>Djavit</w:t>
      </w:r>
      <w:proofErr w:type="spellEnd"/>
      <w:r w:rsidRPr="00515FC7">
        <w:rPr>
          <w:rStyle w:val="Uwydatnienie"/>
          <w:bdr w:val="none" w:sz="0" w:space="0" w:color="auto" w:frame="1"/>
        </w:rPr>
        <w:t xml:space="preserve"> </w:t>
      </w:r>
      <w:proofErr w:type="spellStart"/>
      <w:r w:rsidRPr="00515FC7">
        <w:rPr>
          <w:rStyle w:val="Uwydatnienie"/>
          <w:bdr w:val="none" w:sz="0" w:space="0" w:color="auto" w:frame="1"/>
        </w:rPr>
        <w:t>An</w:t>
      </w:r>
      <w:proofErr w:type="spellEnd"/>
      <w:r w:rsidRPr="00515FC7">
        <w:rPr>
          <w:rStyle w:val="Uwydatnienie"/>
          <w:bdr w:val="none" w:sz="0" w:space="0" w:color="auto" w:frame="1"/>
        </w:rPr>
        <w:t xml:space="preserve"> przeciwko Turcji ( </w:t>
      </w:r>
      <w:r w:rsidRPr="00515FC7">
        <w:t>wyrok z 20 lutego 2003 r., skarga nr 20652/92). RPO podkreślał, że standardem prawa do zgromadzeń jest prawo uczestników kontrdemonstracji do wyrażania niezgody ze stanowiskiem demonstrujących, a państwo ma obowiązek ochrony prawa do zgromadzania się obu demonstrujących grup i poszukiwania środków najmniej restrykcyjnych, które co do zasady umożliwiłyby odbycie obu demonstracji.</w:t>
      </w:r>
      <w:r w:rsidR="005609DB" w:rsidRPr="00515FC7">
        <w:t xml:space="preserve"> </w:t>
      </w:r>
    </w:p>
    <w:p w:rsidR="003761F8" w:rsidRPr="00515FC7" w:rsidRDefault="00206264" w:rsidP="004E2200">
      <w:pPr>
        <w:pStyle w:val="Akapitzlist"/>
        <w:spacing w:before="120" w:after="0" w:line="360" w:lineRule="auto"/>
        <w:ind w:left="0" w:firstLine="709"/>
        <w:contextualSpacing w:val="0"/>
        <w:jc w:val="both"/>
        <w:rPr>
          <w:rFonts w:ascii="Times New Roman" w:hAnsi="Times New Roman" w:cs="Times New Roman"/>
          <w:b/>
          <w:sz w:val="24"/>
          <w:szCs w:val="24"/>
        </w:rPr>
      </w:pPr>
      <w:r w:rsidRPr="00515FC7">
        <w:rPr>
          <w:rFonts w:ascii="Times New Roman" w:hAnsi="Times New Roman" w:cs="Times New Roman"/>
          <w:sz w:val="24"/>
          <w:szCs w:val="24"/>
        </w:rPr>
        <w:t>Z kolei w sprawie dotyczącej zakazu zwołania zgromadzenia, wydanego przez Prezydent m.st. Warszawy w związku z organizowanym przed Teatrem Powszechnym zgromadzeniem publicznym (dot. wystawianej w Teatrze sztuki „Klątwa”),</w:t>
      </w:r>
      <w:r w:rsidRPr="00515FC7">
        <w:rPr>
          <w:rFonts w:ascii="Times New Roman" w:hAnsi="Times New Roman" w:cs="Times New Roman"/>
          <w:b/>
          <w:sz w:val="24"/>
          <w:szCs w:val="24"/>
        </w:rPr>
        <w:t xml:space="preserve"> </w:t>
      </w:r>
      <w:r w:rsidRPr="00515FC7">
        <w:rPr>
          <w:rFonts w:ascii="Times New Roman" w:hAnsi="Times New Roman" w:cs="Times New Roman"/>
          <w:sz w:val="24"/>
          <w:szCs w:val="24"/>
        </w:rPr>
        <w:t>Rzecznik skierował wystąpienie do Prezydent Miasta Stołecznego Warszawy. W związku z tym, że</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decyzja Prezydent M.st. Warszawy została uchylona przez Sąd Okręgowy w Warszawie, RPO uznał, że procedury przewidziane w ustawie - Prawo o zgromadzeniach działają prawidłowo, tym niemniej w piśmie skierowanym do Pani Prezydent przypomniał standardy konstytucyjnych i międzynarodowe obowiązujące w zakresie wolności zgromadzeń.</w:t>
      </w:r>
      <w:r w:rsidRPr="00515FC7">
        <w:rPr>
          <w:rFonts w:ascii="Times New Roman" w:hAnsi="Times New Roman" w:cs="Times New Roman"/>
          <w:b/>
          <w:sz w:val="24"/>
          <w:szCs w:val="24"/>
        </w:rPr>
        <w:t xml:space="preserve"> </w:t>
      </w:r>
    </w:p>
    <w:p w:rsidR="00206264" w:rsidRPr="00515FC7" w:rsidRDefault="00206264"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W piśmie przywołano wyroki</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w sprawach </w:t>
      </w:r>
      <w:proofErr w:type="spellStart"/>
      <w:r w:rsidRPr="00515FC7">
        <w:rPr>
          <w:rFonts w:ascii="Times New Roman" w:eastAsia="Times New Roman" w:hAnsi="Times New Roman" w:cs="Times New Roman"/>
          <w:i/>
          <w:iCs/>
          <w:sz w:val="24"/>
          <w:szCs w:val="24"/>
          <w:lang w:eastAsia="pl-PL"/>
        </w:rPr>
        <w:t>Çiloğlu</w:t>
      </w:r>
      <w:proofErr w:type="spellEnd"/>
      <w:r w:rsidRPr="00515FC7">
        <w:rPr>
          <w:rFonts w:ascii="Times New Roman" w:eastAsia="Times New Roman" w:hAnsi="Times New Roman" w:cs="Times New Roman"/>
          <w:i/>
          <w:iCs/>
          <w:sz w:val="24"/>
          <w:szCs w:val="24"/>
          <w:lang w:eastAsia="pl-PL"/>
        </w:rPr>
        <w:t xml:space="preserve"> i in. p. Turcji, skarga 73333/01, </w:t>
      </w:r>
      <w:proofErr w:type="spellStart"/>
      <w:r w:rsidRPr="00515FC7">
        <w:rPr>
          <w:rFonts w:ascii="Times New Roman" w:eastAsia="Times New Roman" w:hAnsi="Times New Roman" w:cs="Times New Roman"/>
          <w:i/>
          <w:iCs/>
          <w:sz w:val="24"/>
          <w:szCs w:val="24"/>
          <w:lang w:eastAsia="pl-PL"/>
        </w:rPr>
        <w:t>Taranenko</w:t>
      </w:r>
      <w:proofErr w:type="spellEnd"/>
      <w:r w:rsidRPr="00515FC7">
        <w:rPr>
          <w:rFonts w:ascii="Times New Roman" w:eastAsia="Times New Roman" w:hAnsi="Times New Roman" w:cs="Times New Roman"/>
          <w:i/>
          <w:iCs/>
          <w:sz w:val="24"/>
          <w:szCs w:val="24"/>
          <w:lang w:eastAsia="pl-PL"/>
        </w:rPr>
        <w:t xml:space="preserve"> p. Rosji, skarga 19554/05, </w:t>
      </w:r>
      <w:proofErr w:type="spellStart"/>
      <w:r w:rsidRPr="00515FC7">
        <w:rPr>
          <w:rFonts w:ascii="Times New Roman" w:hAnsi="Times New Roman" w:cs="Times New Roman"/>
          <w:i/>
          <w:sz w:val="24"/>
          <w:szCs w:val="24"/>
        </w:rPr>
        <w:t>Schwabe</w:t>
      </w:r>
      <w:proofErr w:type="spellEnd"/>
      <w:r w:rsidRPr="00515FC7">
        <w:rPr>
          <w:rFonts w:ascii="Times New Roman" w:hAnsi="Times New Roman" w:cs="Times New Roman"/>
          <w:i/>
          <w:sz w:val="24"/>
          <w:szCs w:val="24"/>
        </w:rPr>
        <w:t xml:space="preserve"> i M.G. p. Niemcom</w:t>
      </w:r>
      <w:r w:rsidRPr="00515FC7">
        <w:rPr>
          <w:rFonts w:ascii="Times New Roman" w:hAnsi="Times New Roman" w:cs="Times New Roman"/>
          <w:sz w:val="24"/>
          <w:szCs w:val="24"/>
        </w:rPr>
        <w:t>, skargi nr</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 xml:space="preserve">8080/08 i 8577/08, </w:t>
      </w:r>
      <w:proofErr w:type="spellStart"/>
      <w:r w:rsidRPr="00515FC7">
        <w:rPr>
          <w:rFonts w:ascii="Times New Roman" w:eastAsia="Times New Roman" w:hAnsi="Times New Roman" w:cs="Times New Roman"/>
          <w:i/>
          <w:iCs/>
          <w:sz w:val="24"/>
          <w:szCs w:val="24"/>
          <w:lang w:eastAsia="pl-PL"/>
        </w:rPr>
        <w:t>Stankov</w:t>
      </w:r>
      <w:proofErr w:type="spellEnd"/>
      <w:r w:rsidRPr="00515FC7">
        <w:rPr>
          <w:rFonts w:ascii="Times New Roman" w:eastAsia="Times New Roman" w:hAnsi="Times New Roman" w:cs="Times New Roman"/>
          <w:i/>
          <w:iCs/>
          <w:sz w:val="24"/>
          <w:szCs w:val="24"/>
          <w:lang w:eastAsia="pl-PL"/>
        </w:rPr>
        <w:t xml:space="preserve"> i in. p. Bułgarii, skarga 68490/01, </w:t>
      </w:r>
      <w:proofErr w:type="spellStart"/>
      <w:r w:rsidRPr="00515FC7">
        <w:rPr>
          <w:rFonts w:ascii="Times New Roman" w:eastAsia="Times New Roman" w:hAnsi="Times New Roman" w:cs="Times New Roman"/>
          <w:i/>
          <w:iCs/>
          <w:sz w:val="24"/>
          <w:szCs w:val="24"/>
          <w:lang w:eastAsia="pl-PL"/>
        </w:rPr>
        <w:t>Fáber</w:t>
      </w:r>
      <w:proofErr w:type="spellEnd"/>
      <w:r w:rsidRPr="00515FC7">
        <w:rPr>
          <w:rFonts w:ascii="Times New Roman" w:eastAsia="Times New Roman" w:hAnsi="Times New Roman" w:cs="Times New Roman"/>
          <w:i/>
          <w:iCs/>
          <w:sz w:val="24"/>
          <w:szCs w:val="24"/>
          <w:lang w:eastAsia="pl-PL"/>
        </w:rPr>
        <w:t xml:space="preserve"> p. Węgrom, skarga 40721/08, </w:t>
      </w:r>
      <w:r w:rsidRPr="00515FC7">
        <w:rPr>
          <w:rFonts w:ascii="Times New Roman" w:eastAsia="Times New Roman" w:hAnsi="Times New Roman" w:cs="Times New Roman"/>
          <w:i/>
          <w:sz w:val="24"/>
          <w:szCs w:val="24"/>
          <w:lang w:eastAsia="pl-PL"/>
        </w:rPr>
        <w:t>Cisse p. Francji</w:t>
      </w:r>
      <w:r w:rsidRPr="00515FC7">
        <w:rPr>
          <w:rFonts w:ascii="Times New Roman" w:eastAsia="Times New Roman" w:hAnsi="Times New Roman" w:cs="Times New Roman"/>
          <w:sz w:val="24"/>
          <w:szCs w:val="24"/>
          <w:lang w:eastAsia="pl-PL"/>
        </w:rPr>
        <w:t xml:space="preserve">, skarga nr 51346/99, </w:t>
      </w:r>
      <w:proofErr w:type="spellStart"/>
      <w:r w:rsidRPr="00515FC7">
        <w:rPr>
          <w:rFonts w:ascii="Times New Roman" w:eastAsia="Times New Roman" w:hAnsi="Times New Roman" w:cs="Times New Roman"/>
          <w:i/>
          <w:sz w:val="24"/>
          <w:szCs w:val="24"/>
          <w:lang w:eastAsia="pl-PL"/>
        </w:rPr>
        <w:t>Çiloğlu</w:t>
      </w:r>
      <w:proofErr w:type="spellEnd"/>
      <w:r w:rsidRPr="00515FC7">
        <w:rPr>
          <w:rFonts w:ascii="Times New Roman" w:eastAsia="Times New Roman" w:hAnsi="Times New Roman" w:cs="Times New Roman"/>
          <w:i/>
          <w:sz w:val="24"/>
          <w:szCs w:val="24"/>
          <w:lang w:eastAsia="pl-PL"/>
        </w:rPr>
        <w:t xml:space="preserve"> i in. p. Turcji</w:t>
      </w:r>
      <w:r w:rsidRPr="00515FC7">
        <w:rPr>
          <w:rFonts w:ascii="Times New Roman" w:eastAsia="Times New Roman" w:hAnsi="Times New Roman" w:cs="Times New Roman"/>
          <w:sz w:val="24"/>
          <w:szCs w:val="24"/>
          <w:lang w:eastAsia="pl-PL"/>
        </w:rPr>
        <w:t xml:space="preserve">, skarga 73333/01, </w:t>
      </w:r>
      <w:proofErr w:type="spellStart"/>
      <w:r w:rsidRPr="00515FC7">
        <w:rPr>
          <w:rFonts w:ascii="Times New Roman" w:eastAsia="Times New Roman" w:hAnsi="Times New Roman" w:cs="Times New Roman"/>
          <w:i/>
          <w:sz w:val="24"/>
          <w:szCs w:val="24"/>
          <w:lang w:eastAsia="pl-PL"/>
        </w:rPr>
        <w:t>Navalnyy</w:t>
      </w:r>
      <w:proofErr w:type="spellEnd"/>
      <w:r w:rsidRPr="00515FC7">
        <w:rPr>
          <w:rFonts w:ascii="Times New Roman" w:eastAsia="Times New Roman" w:hAnsi="Times New Roman" w:cs="Times New Roman"/>
          <w:i/>
          <w:sz w:val="24"/>
          <w:szCs w:val="24"/>
          <w:lang w:eastAsia="pl-PL"/>
        </w:rPr>
        <w:t xml:space="preserve"> i </w:t>
      </w:r>
      <w:proofErr w:type="spellStart"/>
      <w:r w:rsidRPr="00515FC7">
        <w:rPr>
          <w:rFonts w:ascii="Times New Roman" w:eastAsia="Times New Roman" w:hAnsi="Times New Roman" w:cs="Times New Roman"/>
          <w:i/>
          <w:sz w:val="24"/>
          <w:szCs w:val="24"/>
          <w:lang w:eastAsia="pl-PL"/>
        </w:rPr>
        <w:t>Yashin</w:t>
      </w:r>
      <w:proofErr w:type="spellEnd"/>
      <w:r w:rsidRPr="00515FC7">
        <w:rPr>
          <w:rFonts w:ascii="Times New Roman" w:eastAsia="Times New Roman" w:hAnsi="Times New Roman" w:cs="Times New Roman"/>
          <w:i/>
          <w:sz w:val="24"/>
          <w:szCs w:val="24"/>
          <w:lang w:eastAsia="pl-PL"/>
        </w:rPr>
        <w:t xml:space="preserve"> p. Rosji</w:t>
      </w:r>
      <w:r w:rsidRPr="00515FC7">
        <w:rPr>
          <w:rFonts w:ascii="Times New Roman" w:eastAsia="Times New Roman" w:hAnsi="Times New Roman" w:cs="Times New Roman"/>
          <w:sz w:val="24"/>
          <w:szCs w:val="24"/>
          <w:lang w:eastAsia="pl-PL"/>
        </w:rPr>
        <w:t xml:space="preserve">, skarga nr 76204/11, </w:t>
      </w:r>
      <w:proofErr w:type="spellStart"/>
      <w:r w:rsidRPr="00515FC7">
        <w:rPr>
          <w:rFonts w:ascii="Times New Roman" w:eastAsia="Times New Roman" w:hAnsi="Times New Roman" w:cs="Times New Roman"/>
          <w:i/>
          <w:sz w:val="24"/>
          <w:szCs w:val="24"/>
          <w:lang w:eastAsia="pl-PL"/>
        </w:rPr>
        <w:t>Alekseyev</w:t>
      </w:r>
      <w:proofErr w:type="spellEnd"/>
      <w:r w:rsidRPr="00515FC7">
        <w:rPr>
          <w:rFonts w:ascii="Times New Roman" w:eastAsia="Times New Roman" w:hAnsi="Times New Roman" w:cs="Times New Roman"/>
          <w:i/>
          <w:sz w:val="24"/>
          <w:szCs w:val="24"/>
          <w:lang w:eastAsia="pl-PL"/>
        </w:rPr>
        <w:t xml:space="preserve"> przeciwko Rosji</w:t>
      </w:r>
      <w:r w:rsidRPr="00515FC7">
        <w:rPr>
          <w:rFonts w:ascii="Times New Roman" w:eastAsia="Times New Roman" w:hAnsi="Times New Roman" w:cs="Times New Roman"/>
          <w:sz w:val="24"/>
          <w:szCs w:val="24"/>
          <w:lang w:eastAsia="pl-PL"/>
        </w:rPr>
        <w:t xml:space="preserve">, skargi nr 4916/07, 25924/08 i 145599/09, </w:t>
      </w:r>
      <w:proofErr w:type="spellStart"/>
      <w:r w:rsidRPr="00515FC7">
        <w:rPr>
          <w:rFonts w:ascii="Times New Roman" w:eastAsia="Times New Roman" w:hAnsi="Times New Roman" w:cs="Times New Roman"/>
          <w:i/>
          <w:sz w:val="24"/>
          <w:szCs w:val="24"/>
          <w:lang w:eastAsia="pl-PL"/>
        </w:rPr>
        <w:t>Kudrevičius</w:t>
      </w:r>
      <w:proofErr w:type="spellEnd"/>
      <w:r w:rsidRPr="00515FC7">
        <w:rPr>
          <w:rFonts w:ascii="Times New Roman" w:eastAsia="Times New Roman" w:hAnsi="Times New Roman" w:cs="Times New Roman"/>
          <w:i/>
          <w:sz w:val="24"/>
          <w:szCs w:val="24"/>
          <w:lang w:eastAsia="pl-PL"/>
        </w:rPr>
        <w:t xml:space="preserve"> i inni p. Litwie</w:t>
      </w:r>
      <w:r w:rsidRPr="00515FC7">
        <w:rPr>
          <w:rFonts w:ascii="Times New Roman" w:eastAsia="Times New Roman" w:hAnsi="Times New Roman" w:cs="Times New Roman"/>
          <w:sz w:val="24"/>
          <w:szCs w:val="24"/>
          <w:lang w:eastAsia="pl-PL"/>
        </w:rPr>
        <w:t>, skarga nr 37553/05.</w:t>
      </w:r>
    </w:p>
    <w:p w:rsidR="00206264" w:rsidRPr="00515FC7" w:rsidRDefault="00206264" w:rsidP="004E2200">
      <w:pPr>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Podobnie w pismach kierowanych w związku z utrudnieniem organizacji innych zgromadzeń, w szczególności w Puszczy Białowieskiej, ataku Młodzieży Wszechpolskiej na uczestników zgromadzenia organizowanego przez KOD w Radomiu czy manifestacji na Krakowskim Przedmieściu</w:t>
      </w:r>
      <w:r w:rsidR="00964B7D" w:rsidRPr="00515FC7">
        <w:rPr>
          <w:rFonts w:ascii="Times New Roman" w:hAnsi="Times New Roman" w:cs="Times New Roman"/>
          <w:sz w:val="24"/>
          <w:szCs w:val="24"/>
        </w:rPr>
        <w:t xml:space="preserve"> w Warszawie</w:t>
      </w:r>
      <w:r w:rsidRPr="00515FC7">
        <w:rPr>
          <w:rFonts w:ascii="Times New Roman" w:hAnsi="Times New Roman" w:cs="Times New Roman"/>
          <w:sz w:val="24"/>
          <w:szCs w:val="24"/>
        </w:rPr>
        <w:t>.</w:t>
      </w:r>
    </w:p>
    <w:p w:rsidR="00F60C52" w:rsidRPr="00515FC7" w:rsidRDefault="00F60C52" w:rsidP="004E2200">
      <w:pPr>
        <w:pStyle w:val="Akapitzlist"/>
        <w:spacing w:before="120" w:after="0" w:line="360" w:lineRule="auto"/>
        <w:ind w:left="0" w:firstLine="709"/>
        <w:contextualSpacing w:val="0"/>
        <w:jc w:val="both"/>
        <w:rPr>
          <w:rFonts w:ascii="Times New Roman" w:hAnsi="Times New Roman" w:cs="Times New Roman"/>
          <w:b/>
          <w:sz w:val="24"/>
          <w:szCs w:val="24"/>
        </w:rPr>
      </w:pPr>
    </w:p>
    <w:p w:rsidR="00365422" w:rsidRDefault="00365422" w:rsidP="004E2200">
      <w:pPr>
        <w:pStyle w:val="Nagwek1"/>
        <w:jc w:val="both"/>
        <w:rPr>
          <w:rFonts w:ascii="Times New Roman" w:hAnsi="Times New Roman" w:cs="Times New Roman"/>
          <w:color w:val="auto"/>
          <w:sz w:val="36"/>
        </w:rPr>
      </w:pPr>
      <w:bookmarkStart w:id="21" w:name="_Toc504117626"/>
      <w:r w:rsidRPr="00515FC7">
        <w:rPr>
          <w:rFonts w:ascii="Times New Roman" w:hAnsi="Times New Roman" w:cs="Times New Roman"/>
          <w:color w:val="auto"/>
          <w:sz w:val="36"/>
        </w:rPr>
        <w:t xml:space="preserve">Przykłady wniosków RPO do Trybunału Konstytucyjnego, w których jako wzorzec kontroli powoływane były przepisy </w:t>
      </w:r>
      <w:r w:rsidR="00AD6F44" w:rsidRPr="00515FC7">
        <w:rPr>
          <w:rFonts w:ascii="Times New Roman" w:hAnsi="Times New Roman" w:cs="Times New Roman"/>
          <w:color w:val="auto"/>
          <w:sz w:val="36"/>
        </w:rPr>
        <w:t>EKPC</w:t>
      </w:r>
      <w:r w:rsidRPr="00515FC7">
        <w:rPr>
          <w:rFonts w:ascii="Times New Roman" w:hAnsi="Times New Roman" w:cs="Times New Roman"/>
          <w:color w:val="auto"/>
          <w:sz w:val="36"/>
        </w:rPr>
        <w:t xml:space="preserve"> - a w uzasadnieniu orzecznictwo</w:t>
      </w:r>
      <w:r w:rsidR="00DA7701" w:rsidRPr="00515FC7">
        <w:rPr>
          <w:rFonts w:ascii="Times New Roman" w:hAnsi="Times New Roman" w:cs="Times New Roman"/>
          <w:color w:val="auto"/>
          <w:sz w:val="36"/>
        </w:rPr>
        <w:t xml:space="preserve"> </w:t>
      </w:r>
      <w:proofErr w:type="spellStart"/>
      <w:r w:rsidR="00DA7701" w:rsidRPr="00515FC7">
        <w:rPr>
          <w:rFonts w:ascii="Times New Roman" w:hAnsi="Times New Roman" w:cs="Times New Roman"/>
          <w:color w:val="auto"/>
          <w:sz w:val="36"/>
        </w:rPr>
        <w:t>EKPCz</w:t>
      </w:r>
      <w:bookmarkEnd w:id="21"/>
      <w:proofErr w:type="spellEnd"/>
    </w:p>
    <w:p w:rsidR="000125E8" w:rsidRPr="000125E8" w:rsidRDefault="000125E8" w:rsidP="000125E8"/>
    <w:p w:rsidR="002B7182" w:rsidRPr="00515FC7" w:rsidRDefault="00826652" w:rsidP="004E2200">
      <w:pPr>
        <w:pStyle w:val="Nagwek2"/>
        <w:numPr>
          <w:ilvl w:val="0"/>
          <w:numId w:val="20"/>
        </w:numPr>
        <w:spacing w:before="120" w:line="360" w:lineRule="auto"/>
        <w:jc w:val="both"/>
        <w:rPr>
          <w:rFonts w:ascii="Times New Roman" w:hAnsi="Times New Roman" w:cs="Times New Roman"/>
        </w:rPr>
      </w:pPr>
      <w:bookmarkStart w:id="22" w:name="_Toc504117627"/>
      <w:r w:rsidRPr="00515FC7">
        <w:rPr>
          <w:rFonts w:ascii="Times New Roman" w:hAnsi="Times New Roman" w:cs="Times New Roman"/>
        </w:rPr>
        <w:t>U</w:t>
      </w:r>
      <w:r w:rsidR="00EF2158" w:rsidRPr="00515FC7">
        <w:rPr>
          <w:rFonts w:ascii="Times New Roman" w:hAnsi="Times New Roman" w:cs="Times New Roman"/>
        </w:rPr>
        <w:t>stawa o ustroju sądów powszechnych</w:t>
      </w:r>
      <w:bookmarkEnd w:id="22"/>
    </w:p>
    <w:p w:rsidR="003761F8" w:rsidRPr="00515FC7" w:rsidRDefault="00DD072A"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P</w:t>
      </w:r>
      <w:r w:rsidR="00EF2158" w:rsidRPr="00515FC7">
        <w:rPr>
          <w:rFonts w:ascii="Times New Roman" w:hAnsi="Times New Roman" w:cs="Times New Roman"/>
          <w:sz w:val="24"/>
          <w:szCs w:val="24"/>
        </w:rPr>
        <w:t>roblem konstytucyjny dotyczy dwóch kategorii zagadnień: po pierwsze, kwestii o</w:t>
      </w:r>
      <w:r w:rsidR="00DA7701" w:rsidRPr="00515FC7">
        <w:rPr>
          <w:rFonts w:ascii="Times New Roman" w:hAnsi="Times New Roman" w:cs="Times New Roman"/>
          <w:sz w:val="24"/>
          <w:szCs w:val="24"/>
        </w:rPr>
        <w:t> </w:t>
      </w:r>
      <w:r w:rsidR="00EF2158" w:rsidRPr="00515FC7">
        <w:rPr>
          <w:rFonts w:ascii="Times New Roman" w:hAnsi="Times New Roman" w:cs="Times New Roman"/>
          <w:sz w:val="24"/>
          <w:szCs w:val="24"/>
        </w:rPr>
        <w:t xml:space="preserve">charakterze ustrojowym odnoszącej się do tego, czy sprawowanie zewnętrznego nadzoru administracyjnego nad sądami powszechnymi może zostać ustawowo powierzone organowi władzy wykonawczej, tj. Ministrowi Sprawiedliwości pełniącemu jednocześnie urząd Prokuratora Generalnego; po drugie, oceny konstytucyjności poszczególnych środków przyznanych Ministrowi Sprawiedliwości w ramach tego nadzoru. </w:t>
      </w:r>
    </w:p>
    <w:p w:rsidR="00EF2158" w:rsidRPr="00515FC7" w:rsidRDefault="00EF2158"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W obu przypadkach istota problemu sprowadza się do zbadania tego, czy zakres oraz formy nadzoru nie naruszają zasady odrębności i niezależnośc</w:t>
      </w:r>
      <w:r w:rsidR="00960E4D">
        <w:rPr>
          <w:rFonts w:ascii="Times New Roman" w:hAnsi="Times New Roman" w:cs="Times New Roman"/>
          <w:sz w:val="24"/>
          <w:szCs w:val="24"/>
        </w:rPr>
        <w:t>i władzy sądowniczej (art. 10 w </w:t>
      </w:r>
      <w:r w:rsidRPr="00515FC7">
        <w:rPr>
          <w:rFonts w:ascii="Times New Roman" w:hAnsi="Times New Roman" w:cs="Times New Roman"/>
          <w:sz w:val="24"/>
          <w:szCs w:val="24"/>
        </w:rPr>
        <w:t>zw. z art. 173 Konstytucji) oraz nie ingerują w konstytucyjne prawo obywateli do sądu (art. 45 ust. 1 Konstytucji).</w:t>
      </w:r>
    </w:p>
    <w:p w:rsidR="00EF2158" w:rsidRPr="00515FC7" w:rsidRDefault="00EF2158"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W uzasadnieniu </w:t>
      </w:r>
      <w:r w:rsidR="00D8110B" w:rsidRPr="00515FC7">
        <w:rPr>
          <w:rFonts w:ascii="Times New Roman" w:hAnsi="Times New Roman" w:cs="Times New Roman"/>
          <w:sz w:val="24"/>
          <w:szCs w:val="24"/>
        </w:rPr>
        <w:t xml:space="preserve">pisma o przystąpieniu RPO do sprawy </w:t>
      </w:r>
      <w:r w:rsidRPr="00515FC7">
        <w:rPr>
          <w:rFonts w:ascii="Times New Roman" w:hAnsi="Times New Roman" w:cs="Times New Roman"/>
          <w:sz w:val="24"/>
          <w:szCs w:val="24"/>
        </w:rPr>
        <w:t>powoływane są następujące wyroki</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w:t>
      </w:r>
    </w:p>
    <w:p w:rsidR="00EF2158" w:rsidRPr="00515FC7" w:rsidRDefault="00EF2158" w:rsidP="004E2200">
      <w:pPr>
        <w:pStyle w:val="Akapitzlist"/>
        <w:numPr>
          <w:ilvl w:val="2"/>
          <w:numId w:val="2"/>
        </w:numPr>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Wyrok z 28 czerwca 1984 r. w sprawie </w:t>
      </w:r>
      <w:r w:rsidRPr="00515FC7">
        <w:rPr>
          <w:rFonts w:ascii="Times New Roman" w:hAnsi="Times New Roman" w:cs="Times New Roman"/>
          <w:i/>
          <w:sz w:val="24"/>
          <w:szCs w:val="24"/>
        </w:rPr>
        <w:t xml:space="preserve">Campbell i </w:t>
      </w:r>
      <w:proofErr w:type="spellStart"/>
      <w:r w:rsidRPr="00515FC7">
        <w:rPr>
          <w:rFonts w:ascii="Times New Roman" w:hAnsi="Times New Roman" w:cs="Times New Roman"/>
          <w:i/>
          <w:sz w:val="24"/>
          <w:szCs w:val="24"/>
        </w:rPr>
        <w:t>Fell</w:t>
      </w:r>
      <w:proofErr w:type="spellEnd"/>
      <w:r w:rsidRPr="00515FC7">
        <w:rPr>
          <w:rFonts w:ascii="Times New Roman" w:hAnsi="Times New Roman" w:cs="Times New Roman"/>
          <w:i/>
          <w:sz w:val="24"/>
          <w:szCs w:val="24"/>
        </w:rPr>
        <w:t xml:space="preserve"> przeciwko Zjednoczonemu Królestwu</w:t>
      </w:r>
      <w:r w:rsidRPr="00515FC7">
        <w:rPr>
          <w:rFonts w:ascii="Times New Roman" w:hAnsi="Times New Roman" w:cs="Times New Roman"/>
          <w:sz w:val="24"/>
          <w:szCs w:val="24"/>
        </w:rPr>
        <w:t xml:space="preserve">, skarga nr 7819/77, 7878/77 – podkreślenie, że równie ważne co faktycznie bezstronne i niezawisłe wymierzanie sprawiedliwości przez sądy jest odbiór społeczny co do tego, iż sprawiedliwość wymierzana jest w taki właśnie sposób. Ważny jest w tym kontekście społeczny odbiór pewnych regulacji i </w:t>
      </w:r>
      <w:proofErr w:type="spellStart"/>
      <w:r w:rsidRPr="00515FC7">
        <w:rPr>
          <w:rFonts w:ascii="Times New Roman" w:hAnsi="Times New Roman" w:cs="Times New Roman"/>
          <w:sz w:val="24"/>
          <w:szCs w:val="24"/>
        </w:rPr>
        <w:t>zachowań</w:t>
      </w:r>
      <w:proofErr w:type="spellEnd"/>
      <w:r w:rsidRPr="00515FC7">
        <w:rPr>
          <w:rFonts w:ascii="Times New Roman" w:hAnsi="Times New Roman" w:cs="Times New Roman"/>
          <w:sz w:val="24"/>
          <w:szCs w:val="24"/>
        </w:rPr>
        <w:t>. Sprawiedliwość powinna być wymierzana w sposób, który usuwa potencjalne zastrzeżenia uczestników postępowania co do bezstronności i niezawisłości składu orzekającego, choćby nawet w konkretnym wypadku były one nieuzasadnione, ale sprawiały również dla postronnych wrażenie uzasadnionych lub częściowo uzasadnionych.</w:t>
      </w:r>
    </w:p>
    <w:p w:rsidR="00EF2158" w:rsidRDefault="00EF2158" w:rsidP="004E2200">
      <w:pPr>
        <w:pStyle w:val="Akapitzlist"/>
        <w:numPr>
          <w:ilvl w:val="2"/>
          <w:numId w:val="2"/>
        </w:numPr>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 xml:space="preserve"> wyrok z dnia 9 lutego 2012 r. </w:t>
      </w:r>
      <w:proofErr w:type="spellStart"/>
      <w:r w:rsidRPr="00515FC7">
        <w:rPr>
          <w:rFonts w:ascii="Times New Roman" w:hAnsi="Times New Roman" w:cs="Times New Roman"/>
          <w:i/>
          <w:sz w:val="24"/>
          <w:szCs w:val="24"/>
        </w:rPr>
        <w:t>Kinsky</w:t>
      </w:r>
      <w:proofErr w:type="spellEnd"/>
      <w:r w:rsidRPr="00515FC7">
        <w:rPr>
          <w:rFonts w:ascii="Times New Roman" w:hAnsi="Times New Roman" w:cs="Times New Roman"/>
          <w:i/>
          <w:sz w:val="24"/>
          <w:szCs w:val="24"/>
        </w:rPr>
        <w:t xml:space="preserve"> przeciwko Czechom</w:t>
      </w:r>
      <w:r w:rsidRPr="00515FC7">
        <w:rPr>
          <w:rFonts w:ascii="Times New Roman" w:hAnsi="Times New Roman" w:cs="Times New Roman"/>
          <w:sz w:val="24"/>
          <w:szCs w:val="24"/>
        </w:rPr>
        <w:t>, Izba, Sekcja V, skarga nr 42856/06) – wskazanie, że ingerencją w bezstronność sądu jest nie tylko wydawanie sądowi wyraźnych poleceń co do rozstrzygnięcia, jakie powinno zapaść, ale również tworzenie wokół sprawy, na skutek dostępnych Ministrowi Sprawiedliwości środków nadzoru administracyjnego, swoistego nacisku psychologicznego, który może mieć wpływ na bezstronność sędziego.</w:t>
      </w:r>
    </w:p>
    <w:p w:rsidR="000125E8" w:rsidRPr="00515FC7" w:rsidRDefault="000125E8" w:rsidP="000125E8">
      <w:pPr>
        <w:pStyle w:val="Akapitzlist"/>
        <w:spacing w:before="120" w:after="0" w:line="360" w:lineRule="auto"/>
        <w:ind w:left="709"/>
        <w:contextualSpacing w:val="0"/>
        <w:jc w:val="both"/>
        <w:rPr>
          <w:rFonts w:ascii="Times New Roman" w:hAnsi="Times New Roman" w:cs="Times New Roman"/>
          <w:sz w:val="24"/>
          <w:szCs w:val="24"/>
        </w:rPr>
      </w:pPr>
    </w:p>
    <w:p w:rsidR="002B7182" w:rsidRPr="00515FC7" w:rsidRDefault="005D35CC" w:rsidP="004E2200">
      <w:pPr>
        <w:pStyle w:val="Nagwek2"/>
        <w:numPr>
          <w:ilvl w:val="0"/>
          <w:numId w:val="2"/>
        </w:numPr>
        <w:spacing w:before="120" w:line="360" w:lineRule="auto"/>
        <w:jc w:val="both"/>
        <w:rPr>
          <w:rFonts w:ascii="Times New Roman" w:hAnsi="Times New Roman" w:cs="Times New Roman"/>
          <w:noProof/>
          <w:lang w:eastAsia="pl-PL"/>
        </w:rPr>
      </w:pPr>
      <w:bookmarkStart w:id="23" w:name="_Toc504117628"/>
      <w:r w:rsidRPr="00515FC7">
        <w:rPr>
          <w:rFonts w:ascii="Times New Roman" w:hAnsi="Times New Roman" w:cs="Times New Roman"/>
        </w:rPr>
        <w:t>U</w:t>
      </w:r>
      <w:r w:rsidR="00D7775F" w:rsidRPr="00515FC7">
        <w:rPr>
          <w:rFonts w:ascii="Times New Roman" w:hAnsi="Times New Roman" w:cs="Times New Roman"/>
        </w:rPr>
        <w:t>stawa antyterrorystyczna</w:t>
      </w:r>
      <w:bookmarkEnd w:id="23"/>
      <w:r w:rsidR="00D7775F" w:rsidRPr="00515FC7">
        <w:rPr>
          <w:rFonts w:ascii="Times New Roman" w:hAnsi="Times New Roman" w:cs="Times New Roman"/>
        </w:rPr>
        <w:t xml:space="preserve"> </w:t>
      </w:r>
    </w:p>
    <w:p w:rsidR="003761F8" w:rsidRPr="00515FC7" w:rsidRDefault="00D7775F" w:rsidP="004E2200">
      <w:pPr>
        <w:spacing w:before="120" w:after="0" w:line="360" w:lineRule="auto"/>
        <w:jc w:val="both"/>
        <w:rPr>
          <w:rFonts w:ascii="Times New Roman" w:hAnsi="Times New Roman" w:cs="Times New Roman"/>
          <w:noProof/>
          <w:sz w:val="24"/>
          <w:szCs w:val="24"/>
          <w:lang w:eastAsia="pl-PL"/>
        </w:rPr>
      </w:pPr>
      <w:r w:rsidRPr="00515FC7">
        <w:rPr>
          <w:rFonts w:ascii="Times New Roman" w:hAnsi="Times New Roman" w:cs="Times New Roman"/>
          <w:sz w:val="24"/>
          <w:szCs w:val="24"/>
        </w:rPr>
        <w:t xml:space="preserve">RPO zaskarżył do TK niektóre przepisy ustawy o działaniach antyterrorystycznych. RPO wnioskuje o zbadanie przepisów ustawy nie tylko z Konstytucją, ale również z art. 8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(w zw. z art. 14), z art. 6 i 10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a także z art. 13 w zw. z art. 2 Protokołu nr 4 do </w:t>
      </w:r>
      <w:proofErr w:type="spellStart"/>
      <w:r w:rsidR="00AD6F44"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w:t>
      </w:r>
    </w:p>
    <w:p w:rsidR="003761F8" w:rsidRPr="00515FC7" w:rsidRDefault="00D7775F" w:rsidP="004E2200">
      <w:pPr>
        <w:pStyle w:val="Akapitzlist"/>
        <w:spacing w:before="120" w:after="0" w:line="360" w:lineRule="auto"/>
        <w:ind w:left="0" w:firstLine="709"/>
        <w:contextualSpacing w:val="0"/>
        <w:jc w:val="both"/>
        <w:rPr>
          <w:rFonts w:ascii="Times New Roman" w:hAnsi="Times New Roman" w:cs="Times New Roman"/>
          <w:sz w:val="24"/>
          <w:szCs w:val="24"/>
        </w:rPr>
      </w:pPr>
      <w:r w:rsidRPr="00515FC7">
        <w:rPr>
          <w:rFonts w:ascii="Times New Roman" w:hAnsi="Times New Roman" w:cs="Times New Roman"/>
          <w:sz w:val="24"/>
          <w:szCs w:val="24"/>
        </w:rPr>
        <w:t>W uzasadnieniu powołano stosowne orzeczenia</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wyznaczające standard pojmowania relacji między obowiązkiem państw do walki z terroryzmem a zapewnieniem jednostce prawa do prywatności, prawa do sądu, prawa do ochrony danych osobowych. Wyroki</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w:t>
      </w:r>
      <w:proofErr w:type="spellStart"/>
      <w:r w:rsidRPr="00515FC7">
        <w:rPr>
          <w:rFonts w:ascii="Times New Roman" w:hAnsi="Times New Roman" w:cs="Times New Roman"/>
          <w:i/>
          <w:iCs/>
          <w:sz w:val="24"/>
          <w:szCs w:val="24"/>
        </w:rPr>
        <w:t>Zakharov</w:t>
      </w:r>
      <w:proofErr w:type="spellEnd"/>
      <w:r w:rsidRPr="00515FC7">
        <w:rPr>
          <w:rFonts w:ascii="Times New Roman" w:hAnsi="Times New Roman" w:cs="Times New Roman"/>
          <w:i/>
          <w:iCs/>
          <w:sz w:val="24"/>
          <w:szCs w:val="24"/>
        </w:rPr>
        <w:t xml:space="preserve"> przeciwko Rosji</w:t>
      </w:r>
      <w:r w:rsidRPr="00515FC7">
        <w:rPr>
          <w:rFonts w:ascii="Times New Roman" w:hAnsi="Times New Roman" w:cs="Times New Roman"/>
          <w:iCs/>
          <w:sz w:val="24"/>
          <w:szCs w:val="24"/>
        </w:rPr>
        <w:t xml:space="preserve">, </w:t>
      </w:r>
      <w:r w:rsidRPr="00515FC7">
        <w:rPr>
          <w:rFonts w:ascii="Times New Roman" w:hAnsi="Times New Roman" w:cs="Times New Roman"/>
          <w:sz w:val="24"/>
          <w:szCs w:val="24"/>
        </w:rPr>
        <w:t xml:space="preserve">skarga nr 47413/06 czy </w:t>
      </w:r>
      <w:proofErr w:type="spellStart"/>
      <w:r w:rsidRPr="00515FC7">
        <w:rPr>
          <w:rFonts w:ascii="Times New Roman" w:hAnsi="Times New Roman" w:cs="Times New Roman"/>
          <w:i/>
          <w:iCs/>
          <w:sz w:val="24"/>
          <w:szCs w:val="24"/>
        </w:rPr>
        <w:t>Szabó</w:t>
      </w:r>
      <w:proofErr w:type="spellEnd"/>
      <w:r w:rsidRPr="00515FC7">
        <w:rPr>
          <w:rFonts w:ascii="Times New Roman" w:hAnsi="Times New Roman" w:cs="Times New Roman"/>
          <w:i/>
          <w:iCs/>
          <w:sz w:val="24"/>
          <w:szCs w:val="24"/>
        </w:rPr>
        <w:t xml:space="preserve"> i </w:t>
      </w:r>
      <w:proofErr w:type="spellStart"/>
      <w:r w:rsidRPr="00515FC7">
        <w:rPr>
          <w:rFonts w:ascii="Times New Roman" w:hAnsi="Times New Roman" w:cs="Times New Roman"/>
          <w:i/>
          <w:iCs/>
          <w:sz w:val="24"/>
          <w:szCs w:val="24"/>
        </w:rPr>
        <w:t>Vissy</w:t>
      </w:r>
      <w:proofErr w:type="spellEnd"/>
      <w:r w:rsidRPr="00515FC7">
        <w:rPr>
          <w:rFonts w:ascii="Times New Roman" w:hAnsi="Times New Roman" w:cs="Times New Roman"/>
          <w:i/>
          <w:iCs/>
          <w:sz w:val="24"/>
          <w:szCs w:val="24"/>
        </w:rPr>
        <w:t xml:space="preserve"> przeciwko Węgrom</w:t>
      </w:r>
      <w:r w:rsidRPr="00515FC7">
        <w:rPr>
          <w:rFonts w:ascii="Times New Roman" w:hAnsi="Times New Roman" w:cs="Times New Roman"/>
          <w:iCs/>
          <w:sz w:val="24"/>
          <w:szCs w:val="24"/>
        </w:rPr>
        <w:t xml:space="preserve">, </w:t>
      </w:r>
      <w:r w:rsidRPr="00515FC7">
        <w:rPr>
          <w:rFonts w:ascii="Times New Roman" w:hAnsi="Times New Roman" w:cs="Times New Roman"/>
          <w:sz w:val="24"/>
          <w:szCs w:val="24"/>
        </w:rPr>
        <w:t>skarga 37138/14) stanowiły również potwierdzenie tezy RPO, że</w:t>
      </w:r>
      <w:r w:rsidR="00DA7701" w:rsidRPr="00515FC7">
        <w:rPr>
          <w:rFonts w:ascii="Times New Roman" w:hAnsi="Times New Roman" w:cs="Times New Roman"/>
          <w:sz w:val="24"/>
          <w:szCs w:val="24"/>
        </w:rPr>
        <w:t xml:space="preserve"> </w:t>
      </w:r>
      <w:proofErr w:type="spellStart"/>
      <w:r w:rsidR="004E2200" w:rsidRPr="00515FC7">
        <w:rPr>
          <w:rFonts w:ascii="Times New Roman" w:hAnsi="Times New Roman" w:cs="Times New Roman"/>
          <w:sz w:val="24"/>
          <w:szCs w:val="24"/>
        </w:rPr>
        <w:t>EKPC</w:t>
      </w:r>
      <w:r w:rsidR="00DA7701" w:rsidRPr="00515FC7">
        <w:rPr>
          <w:rFonts w:ascii="Times New Roman" w:hAnsi="Times New Roman" w:cs="Times New Roman"/>
          <w:sz w:val="24"/>
          <w:szCs w:val="24"/>
        </w:rPr>
        <w:t>z</w:t>
      </w:r>
      <w:proofErr w:type="spellEnd"/>
      <w:r w:rsidRPr="00515FC7">
        <w:rPr>
          <w:rFonts w:ascii="Times New Roman" w:hAnsi="Times New Roman" w:cs="Times New Roman"/>
          <w:sz w:val="24"/>
          <w:szCs w:val="24"/>
        </w:rPr>
        <w:t xml:space="preserve"> nigdy nie zanegował dopuszczalności podejmowania działań, któ</w:t>
      </w:r>
      <w:r w:rsidR="00960E4D">
        <w:rPr>
          <w:rFonts w:ascii="Times New Roman" w:hAnsi="Times New Roman" w:cs="Times New Roman"/>
          <w:sz w:val="24"/>
          <w:szCs w:val="24"/>
        </w:rPr>
        <w:t>re ingerują w prawa określone w </w:t>
      </w:r>
      <w:r w:rsidR="00AD6F44" w:rsidRPr="00515FC7">
        <w:rPr>
          <w:rFonts w:ascii="Times New Roman" w:hAnsi="Times New Roman" w:cs="Times New Roman"/>
          <w:sz w:val="24"/>
          <w:szCs w:val="24"/>
        </w:rPr>
        <w:t>EKPC</w:t>
      </w:r>
      <w:r w:rsidRPr="00515FC7">
        <w:rPr>
          <w:rFonts w:ascii="Times New Roman" w:hAnsi="Times New Roman" w:cs="Times New Roman"/>
          <w:sz w:val="24"/>
          <w:szCs w:val="24"/>
        </w:rPr>
        <w:t xml:space="preserve">, np. niejawnego pozyskiwania informacji o osobach przez władze publiczne. </w:t>
      </w:r>
    </w:p>
    <w:p w:rsidR="00D7775F" w:rsidRPr="00515FC7" w:rsidRDefault="00DA7701" w:rsidP="004E2200">
      <w:pPr>
        <w:pStyle w:val="Akapitzlist"/>
        <w:spacing w:before="120" w:after="0" w:line="360" w:lineRule="auto"/>
        <w:ind w:left="0" w:firstLine="709"/>
        <w:contextualSpacing w:val="0"/>
        <w:jc w:val="both"/>
        <w:rPr>
          <w:rFonts w:ascii="Times New Roman" w:hAnsi="Times New Roman" w:cs="Times New Roman"/>
          <w:noProof/>
          <w:sz w:val="24"/>
          <w:szCs w:val="24"/>
          <w:lang w:eastAsia="pl-PL"/>
        </w:rPr>
      </w:pPr>
      <w:r w:rsidRPr="00515FC7">
        <w:rPr>
          <w:rFonts w:ascii="Times New Roman" w:hAnsi="Times New Roman" w:cs="Times New Roman"/>
          <w:sz w:val="24"/>
          <w:szCs w:val="24"/>
        </w:rPr>
        <w:t xml:space="preserve"> </w:t>
      </w:r>
      <w:proofErr w:type="spellStart"/>
      <w:r w:rsidRPr="00515FC7">
        <w:rPr>
          <w:rFonts w:ascii="Times New Roman" w:hAnsi="Times New Roman" w:cs="Times New Roman"/>
          <w:sz w:val="24"/>
          <w:szCs w:val="24"/>
        </w:rPr>
        <w:t>EKPCz</w:t>
      </w:r>
      <w:proofErr w:type="spellEnd"/>
      <w:r w:rsidR="00D7775F" w:rsidRPr="00515FC7">
        <w:rPr>
          <w:rFonts w:ascii="Times New Roman" w:hAnsi="Times New Roman" w:cs="Times New Roman"/>
          <w:sz w:val="24"/>
          <w:szCs w:val="24"/>
        </w:rPr>
        <w:t xml:space="preserve"> wskazywał wręcz na ich niezbędność, jako narzędzia umożliwiającego efektywne działanie odpowiednich służb. Jednocześnie jednak</w:t>
      </w:r>
      <w:r w:rsidRPr="00515FC7">
        <w:rPr>
          <w:rFonts w:ascii="Times New Roman" w:hAnsi="Times New Roman" w:cs="Times New Roman"/>
          <w:sz w:val="24"/>
          <w:szCs w:val="24"/>
        </w:rPr>
        <w:t xml:space="preserve"> </w:t>
      </w:r>
      <w:proofErr w:type="spellStart"/>
      <w:r w:rsidRPr="00515FC7">
        <w:rPr>
          <w:rFonts w:ascii="Times New Roman" w:hAnsi="Times New Roman" w:cs="Times New Roman"/>
          <w:sz w:val="24"/>
          <w:szCs w:val="24"/>
        </w:rPr>
        <w:t>EKPCz</w:t>
      </w:r>
      <w:proofErr w:type="spellEnd"/>
      <w:r w:rsidR="00960E4D">
        <w:rPr>
          <w:rFonts w:ascii="Times New Roman" w:hAnsi="Times New Roman" w:cs="Times New Roman"/>
          <w:sz w:val="24"/>
          <w:szCs w:val="24"/>
        </w:rPr>
        <w:t xml:space="preserve"> wyraźnie podkreślał w </w:t>
      </w:r>
      <w:r w:rsidR="00D7775F" w:rsidRPr="00515FC7">
        <w:rPr>
          <w:rFonts w:ascii="Times New Roman" w:hAnsi="Times New Roman" w:cs="Times New Roman"/>
          <w:sz w:val="24"/>
          <w:szCs w:val="24"/>
        </w:rPr>
        <w:t xml:space="preserve">tych sprawach na konieczność ustanowienia właściwych mechanizmów kontrolnych. Na konieczne </w:t>
      </w:r>
      <w:proofErr w:type="spellStart"/>
      <w:r w:rsidR="00D7775F" w:rsidRPr="00515FC7">
        <w:rPr>
          <w:rFonts w:ascii="Times New Roman" w:hAnsi="Times New Roman" w:cs="Times New Roman"/>
          <w:sz w:val="24"/>
          <w:szCs w:val="24"/>
        </w:rPr>
        <w:t>konieczne</w:t>
      </w:r>
      <w:proofErr w:type="spellEnd"/>
      <w:r w:rsidR="00D7775F" w:rsidRPr="00515FC7">
        <w:rPr>
          <w:rFonts w:ascii="Times New Roman" w:hAnsi="Times New Roman" w:cs="Times New Roman"/>
          <w:sz w:val="24"/>
          <w:szCs w:val="24"/>
        </w:rPr>
        <w:t xml:space="preserve"> gwarancje ustawowe przy zbieraniu danych przez właściwe służby</w:t>
      </w:r>
      <w:r w:rsidRPr="00515FC7">
        <w:rPr>
          <w:rFonts w:ascii="Times New Roman" w:hAnsi="Times New Roman" w:cs="Times New Roman"/>
          <w:sz w:val="24"/>
          <w:szCs w:val="24"/>
        </w:rPr>
        <w:t xml:space="preserve"> </w:t>
      </w:r>
      <w:proofErr w:type="spellStart"/>
      <w:r w:rsidRPr="00515FC7">
        <w:rPr>
          <w:rFonts w:ascii="Times New Roman" w:hAnsi="Times New Roman" w:cs="Times New Roman"/>
          <w:sz w:val="24"/>
          <w:szCs w:val="24"/>
        </w:rPr>
        <w:t>EKPCz</w:t>
      </w:r>
      <w:proofErr w:type="spellEnd"/>
      <w:r w:rsidR="00D7775F" w:rsidRPr="00515FC7">
        <w:rPr>
          <w:rFonts w:ascii="Times New Roman" w:hAnsi="Times New Roman" w:cs="Times New Roman"/>
          <w:sz w:val="24"/>
          <w:szCs w:val="24"/>
        </w:rPr>
        <w:t xml:space="preserve"> wskazywał w sprawach </w:t>
      </w:r>
      <w:r w:rsidR="00D7775F" w:rsidRPr="00515FC7">
        <w:rPr>
          <w:rFonts w:ascii="Times New Roman" w:hAnsi="Times New Roman" w:cs="Times New Roman"/>
          <w:i/>
          <w:sz w:val="24"/>
          <w:szCs w:val="24"/>
        </w:rPr>
        <w:t>Leander p. Szwecji</w:t>
      </w:r>
      <w:r w:rsidR="00D7775F" w:rsidRPr="00515FC7">
        <w:rPr>
          <w:rFonts w:ascii="Times New Roman" w:hAnsi="Times New Roman" w:cs="Times New Roman"/>
          <w:sz w:val="24"/>
          <w:szCs w:val="24"/>
        </w:rPr>
        <w:t xml:space="preserve">, skarga 9248/81, </w:t>
      </w:r>
      <w:proofErr w:type="spellStart"/>
      <w:r w:rsidR="00D7775F" w:rsidRPr="00515FC7">
        <w:rPr>
          <w:rFonts w:ascii="Times New Roman" w:hAnsi="Times New Roman" w:cs="Times New Roman"/>
          <w:i/>
          <w:sz w:val="24"/>
          <w:szCs w:val="24"/>
        </w:rPr>
        <w:t>Amann</w:t>
      </w:r>
      <w:proofErr w:type="spellEnd"/>
      <w:r w:rsidR="00D7775F" w:rsidRPr="00515FC7">
        <w:rPr>
          <w:rFonts w:ascii="Times New Roman" w:hAnsi="Times New Roman" w:cs="Times New Roman"/>
          <w:i/>
          <w:sz w:val="24"/>
          <w:szCs w:val="24"/>
        </w:rPr>
        <w:t xml:space="preserve"> p. Szwajcarii</w:t>
      </w:r>
      <w:r w:rsidR="00D7775F" w:rsidRPr="00515FC7">
        <w:rPr>
          <w:rFonts w:ascii="Times New Roman" w:hAnsi="Times New Roman" w:cs="Times New Roman"/>
          <w:sz w:val="24"/>
          <w:szCs w:val="24"/>
        </w:rPr>
        <w:t xml:space="preserve"> 27798/95. </w:t>
      </w:r>
    </w:p>
    <w:p w:rsidR="00D7775F" w:rsidRDefault="00D7775F" w:rsidP="004E2200">
      <w:pPr>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We wniosku powoływane są również inne orzeczenia</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Pr="00515FC7">
        <w:rPr>
          <w:rFonts w:ascii="Times New Roman" w:hAnsi="Times New Roman" w:cs="Times New Roman"/>
          <w:sz w:val="24"/>
          <w:szCs w:val="24"/>
        </w:rPr>
        <w:t>, dotyczące chociażby definicji życia prywatnego (</w:t>
      </w:r>
      <w:proofErr w:type="spellStart"/>
      <w:r w:rsidRPr="00515FC7">
        <w:rPr>
          <w:rFonts w:ascii="Times New Roman" w:hAnsi="Times New Roman" w:cs="Times New Roman"/>
          <w:i/>
          <w:sz w:val="24"/>
          <w:szCs w:val="24"/>
        </w:rPr>
        <w:t>Niemietz</w:t>
      </w:r>
      <w:proofErr w:type="spellEnd"/>
      <w:r w:rsidRPr="00515FC7">
        <w:rPr>
          <w:rFonts w:ascii="Times New Roman" w:hAnsi="Times New Roman" w:cs="Times New Roman"/>
          <w:i/>
          <w:sz w:val="24"/>
          <w:szCs w:val="24"/>
        </w:rPr>
        <w:t xml:space="preserve"> przeciwko RFN</w:t>
      </w:r>
      <w:r w:rsidRPr="00515FC7">
        <w:rPr>
          <w:rFonts w:ascii="Times New Roman" w:hAnsi="Times New Roman" w:cs="Times New Roman"/>
          <w:sz w:val="24"/>
          <w:szCs w:val="24"/>
        </w:rPr>
        <w:t xml:space="preserve">, skarga 13170/88, </w:t>
      </w:r>
      <w:proofErr w:type="spellStart"/>
      <w:r w:rsidRPr="00515FC7">
        <w:rPr>
          <w:rFonts w:ascii="Times New Roman" w:hAnsi="Times New Roman" w:cs="Times New Roman"/>
          <w:i/>
          <w:sz w:val="24"/>
          <w:szCs w:val="24"/>
        </w:rPr>
        <w:t>Pretty</w:t>
      </w:r>
      <w:proofErr w:type="spellEnd"/>
      <w:r w:rsidRPr="00515FC7">
        <w:rPr>
          <w:rFonts w:ascii="Times New Roman" w:hAnsi="Times New Roman" w:cs="Times New Roman"/>
          <w:i/>
          <w:sz w:val="24"/>
          <w:szCs w:val="24"/>
        </w:rPr>
        <w:t xml:space="preserve"> przeciwko ZK</w:t>
      </w:r>
      <w:r w:rsidRPr="00515FC7">
        <w:rPr>
          <w:rFonts w:ascii="Times New Roman" w:hAnsi="Times New Roman" w:cs="Times New Roman"/>
          <w:sz w:val="24"/>
          <w:szCs w:val="24"/>
        </w:rPr>
        <w:t xml:space="preserve"> 2345/02) czy też dopuszczalności przetwarzania danych biometrycznych (daktyloskopijnych) przez organy państwowe</w:t>
      </w:r>
      <w:r w:rsidR="00AD6F44" w:rsidRPr="00515FC7">
        <w:rPr>
          <w:rFonts w:ascii="Times New Roman" w:hAnsi="Times New Roman" w:cs="Times New Roman"/>
          <w:sz w:val="24"/>
          <w:szCs w:val="24"/>
        </w:rPr>
        <w:t xml:space="preserve"> (</w:t>
      </w:r>
      <w:proofErr w:type="spellStart"/>
      <w:r w:rsidR="00AD6F44" w:rsidRPr="00515FC7">
        <w:rPr>
          <w:rFonts w:ascii="Times New Roman" w:hAnsi="Times New Roman" w:cs="Times New Roman"/>
          <w:i/>
          <w:sz w:val="24"/>
          <w:szCs w:val="24"/>
        </w:rPr>
        <w:t>Marper</w:t>
      </w:r>
      <w:proofErr w:type="spellEnd"/>
      <w:r w:rsidR="00AD6F44" w:rsidRPr="00515FC7">
        <w:rPr>
          <w:rFonts w:ascii="Times New Roman" w:hAnsi="Times New Roman" w:cs="Times New Roman"/>
          <w:i/>
          <w:sz w:val="24"/>
          <w:szCs w:val="24"/>
        </w:rPr>
        <w:t xml:space="preserve"> i S. przeciwko Wielkiej Brytanii</w:t>
      </w:r>
      <w:r w:rsidR="00AD6F44" w:rsidRPr="00515FC7">
        <w:rPr>
          <w:rFonts w:ascii="Times New Roman" w:hAnsi="Times New Roman" w:cs="Times New Roman"/>
          <w:sz w:val="24"/>
          <w:szCs w:val="24"/>
        </w:rPr>
        <w:t>)</w:t>
      </w:r>
      <w:r w:rsidRPr="00515FC7">
        <w:rPr>
          <w:rFonts w:ascii="Times New Roman" w:hAnsi="Times New Roman" w:cs="Times New Roman"/>
          <w:sz w:val="24"/>
          <w:szCs w:val="24"/>
        </w:rPr>
        <w:t xml:space="preserve">. </w:t>
      </w:r>
    </w:p>
    <w:p w:rsidR="000125E8" w:rsidRPr="00515FC7" w:rsidRDefault="000125E8" w:rsidP="004E2200">
      <w:pPr>
        <w:spacing w:before="120" w:after="0" w:line="360" w:lineRule="auto"/>
        <w:ind w:firstLine="709"/>
        <w:jc w:val="both"/>
        <w:rPr>
          <w:rFonts w:ascii="Times New Roman" w:hAnsi="Times New Roman" w:cs="Times New Roman"/>
          <w:sz w:val="24"/>
          <w:szCs w:val="24"/>
        </w:rPr>
      </w:pPr>
    </w:p>
    <w:p w:rsidR="002B7182" w:rsidRPr="00515FC7" w:rsidRDefault="00D7775F" w:rsidP="004E2200">
      <w:pPr>
        <w:pStyle w:val="Nagwek2"/>
        <w:numPr>
          <w:ilvl w:val="0"/>
          <w:numId w:val="2"/>
        </w:numPr>
        <w:spacing w:before="120" w:line="360" w:lineRule="auto"/>
        <w:jc w:val="both"/>
        <w:rPr>
          <w:rFonts w:ascii="Times New Roman" w:hAnsi="Times New Roman" w:cs="Times New Roman"/>
          <w:noProof/>
          <w:lang w:eastAsia="pl-PL"/>
        </w:rPr>
      </w:pPr>
      <w:bookmarkStart w:id="24" w:name="_Toc504117629"/>
      <w:r w:rsidRPr="00515FC7">
        <w:rPr>
          <w:rFonts w:ascii="Times New Roman" w:hAnsi="Times New Roman" w:cs="Times New Roman"/>
          <w:noProof/>
          <w:lang w:eastAsia="pl-PL"/>
        </w:rPr>
        <w:t>Tzw. ustawa inwigilacyjna</w:t>
      </w:r>
      <w:bookmarkEnd w:id="24"/>
    </w:p>
    <w:p w:rsidR="00D7775F" w:rsidRPr="00515FC7" w:rsidRDefault="00304BFA" w:rsidP="004E2200">
      <w:pPr>
        <w:pStyle w:val="Akapitzlist"/>
        <w:spacing w:before="120" w:after="0" w:line="360" w:lineRule="auto"/>
        <w:ind w:left="0" w:firstLine="709"/>
        <w:contextualSpacing w:val="0"/>
        <w:jc w:val="both"/>
        <w:rPr>
          <w:rFonts w:ascii="Times New Roman" w:hAnsi="Times New Roman" w:cs="Times New Roman"/>
          <w:noProof/>
          <w:sz w:val="24"/>
          <w:szCs w:val="24"/>
          <w:lang w:eastAsia="pl-PL"/>
        </w:rPr>
      </w:pPr>
      <w:r w:rsidRPr="00515FC7">
        <w:rPr>
          <w:rFonts w:ascii="Times New Roman" w:hAnsi="Times New Roman" w:cs="Times New Roman"/>
          <w:noProof/>
          <w:sz w:val="24"/>
          <w:szCs w:val="24"/>
          <w:lang w:eastAsia="pl-PL"/>
        </w:rPr>
        <w:t xml:space="preserve">Problem poruszany we wnioku dotyczył m.in. dopuszczalności dostępu przez służby do danych </w:t>
      </w:r>
      <w:r w:rsidR="00D7775F" w:rsidRPr="00515FC7">
        <w:rPr>
          <w:rFonts w:ascii="Times New Roman" w:hAnsi="Times New Roman" w:cs="Times New Roman"/>
          <w:noProof/>
          <w:sz w:val="24"/>
          <w:szCs w:val="24"/>
          <w:lang w:eastAsia="pl-PL"/>
        </w:rPr>
        <w:t xml:space="preserve">telekomunikacyjnych, pocztowych i internetowych. </w:t>
      </w:r>
      <w:r w:rsidRPr="00515FC7">
        <w:rPr>
          <w:rFonts w:ascii="Times New Roman" w:hAnsi="Times New Roman" w:cs="Times New Roman"/>
          <w:noProof/>
          <w:sz w:val="24"/>
          <w:szCs w:val="24"/>
          <w:lang w:eastAsia="pl-PL"/>
        </w:rPr>
        <w:t xml:space="preserve">Wśród wzorców kontroli </w:t>
      </w:r>
      <w:r w:rsidR="00D8110B" w:rsidRPr="00515FC7">
        <w:rPr>
          <w:rFonts w:ascii="Times New Roman" w:hAnsi="Times New Roman" w:cs="Times New Roman"/>
          <w:noProof/>
          <w:sz w:val="24"/>
          <w:szCs w:val="24"/>
          <w:lang w:eastAsia="pl-PL"/>
        </w:rPr>
        <w:t xml:space="preserve">ustawy z dnia 15 lutego 2016 r. o zmianie ustawy o Policji </w:t>
      </w:r>
      <w:r w:rsidR="00960E4D">
        <w:rPr>
          <w:rFonts w:ascii="Times New Roman" w:hAnsi="Times New Roman" w:cs="Times New Roman"/>
          <w:noProof/>
          <w:sz w:val="24"/>
          <w:szCs w:val="24"/>
          <w:lang w:eastAsia="pl-PL"/>
        </w:rPr>
        <w:t>RPO wskazywał m.in. art. 8 </w:t>
      </w:r>
      <w:r w:rsidR="00AD6F44" w:rsidRPr="00515FC7">
        <w:rPr>
          <w:rFonts w:ascii="Times New Roman" w:hAnsi="Times New Roman" w:cs="Times New Roman"/>
          <w:noProof/>
          <w:sz w:val="24"/>
          <w:szCs w:val="24"/>
          <w:lang w:eastAsia="pl-PL"/>
        </w:rPr>
        <w:t>EKPC</w:t>
      </w:r>
      <w:r w:rsidR="00BE08FD" w:rsidRPr="00515FC7">
        <w:rPr>
          <w:rFonts w:ascii="Times New Roman" w:hAnsi="Times New Roman" w:cs="Times New Roman"/>
          <w:noProof/>
          <w:sz w:val="24"/>
          <w:szCs w:val="24"/>
          <w:lang w:eastAsia="pl-PL"/>
        </w:rPr>
        <w:t>z</w:t>
      </w:r>
      <w:r w:rsidRPr="00515FC7">
        <w:rPr>
          <w:rFonts w:ascii="Times New Roman" w:hAnsi="Times New Roman" w:cs="Times New Roman"/>
          <w:noProof/>
          <w:sz w:val="24"/>
          <w:szCs w:val="24"/>
          <w:lang w:eastAsia="pl-PL"/>
        </w:rPr>
        <w:t xml:space="preserve">. </w:t>
      </w:r>
    </w:p>
    <w:p w:rsidR="00383D31" w:rsidRPr="00515FC7" w:rsidRDefault="00D7775F"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 xml:space="preserve">W uzasadnieniu wniosku do TK RPO wskazywał, że </w:t>
      </w:r>
      <w:r w:rsidR="00304BFA" w:rsidRPr="00515FC7">
        <w:rPr>
          <w:rFonts w:ascii="Times New Roman" w:hAnsi="Times New Roman" w:cs="Times New Roman"/>
          <w:sz w:val="24"/>
          <w:szCs w:val="24"/>
        </w:rPr>
        <w:t>w orzecznictwie</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00304BFA" w:rsidRPr="00515FC7">
        <w:rPr>
          <w:rFonts w:ascii="Times New Roman" w:hAnsi="Times New Roman" w:cs="Times New Roman"/>
          <w:sz w:val="24"/>
          <w:szCs w:val="24"/>
        </w:rPr>
        <w:t xml:space="preserve"> wypracowany został standard dopuszczalnego zakresu ingerencji w życie prywatne o</w:t>
      </w:r>
      <w:r w:rsidR="00DA7701" w:rsidRPr="00515FC7">
        <w:rPr>
          <w:rFonts w:ascii="Times New Roman" w:hAnsi="Times New Roman" w:cs="Times New Roman"/>
          <w:sz w:val="24"/>
          <w:szCs w:val="24"/>
        </w:rPr>
        <w:t> </w:t>
      </w:r>
      <w:r w:rsidR="00304BFA" w:rsidRPr="00515FC7">
        <w:rPr>
          <w:rFonts w:ascii="Times New Roman" w:hAnsi="Times New Roman" w:cs="Times New Roman"/>
          <w:sz w:val="24"/>
          <w:szCs w:val="24"/>
        </w:rPr>
        <w:t>korespondencję.</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00304BFA" w:rsidRPr="00515FC7">
        <w:rPr>
          <w:rFonts w:ascii="Times New Roman" w:hAnsi="Times New Roman" w:cs="Times New Roman"/>
          <w:sz w:val="24"/>
          <w:szCs w:val="24"/>
        </w:rPr>
        <w:t xml:space="preserve"> </w:t>
      </w:r>
      <w:r w:rsidRPr="00515FC7">
        <w:rPr>
          <w:rFonts w:ascii="Times New Roman" w:hAnsi="Times New Roman" w:cs="Times New Roman"/>
          <w:sz w:val="24"/>
          <w:szCs w:val="24"/>
        </w:rPr>
        <w:t>wielokrotnie podkreślał, że ingerencję w życie prywatne i</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 xml:space="preserve">korespondencję stanowią nie tylko indywidualne środki niejawnej kontroli skierowane przeciwko oznaczonym podmiotom, ale też strategiczny monitoring połączeń i pozyskiwanie związanych z tym danych osobowych komunikujących się podmiotów. </w:t>
      </w:r>
    </w:p>
    <w:p w:rsidR="00383D31" w:rsidRPr="00515FC7" w:rsidRDefault="00D7775F"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 xml:space="preserve">Kwestia ta była rozpatrywana w sprawie </w:t>
      </w:r>
      <w:r w:rsidRPr="00515FC7">
        <w:rPr>
          <w:rFonts w:ascii="Times New Roman" w:hAnsi="Times New Roman" w:cs="Times New Roman"/>
          <w:i/>
          <w:sz w:val="24"/>
          <w:szCs w:val="24"/>
        </w:rPr>
        <w:t xml:space="preserve">Weber i </w:t>
      </w:r>
      <w:proofErr w:type="spellStart"/>
      <w:r w:rsidRPr="00515FC7">
        <w:rPr>
          <w:rFonts w:ascii="Times New Roman" w:hAnsi="Times New Roman" w:cs="Times New Roman"/>
          <w:i/>
          <w:sz w:val="24"/>
          <w:szCs w:val="24"/>
        </w:rPr>
        <w:t>Saravia</w:t>
      </w:r>
      <w:proofErr w:type="spellEnd"/>
      <w:r w:rsidRPr="00515FC7">
        <w:rPr>
          <w:rFonts w:ascii="Times New Roman" w:hAnsi="Times New Roman" w:cs="Times New Roman"/>
          <w:i/>
          <w:sz w:val="24"/>
          <w:szCs w:val="24"/>
        </w:rPr>
        <w:t xml:space="preserve"> przeciwko Niemcom</w:t>
      </w:r>
      <w:r w:rsidRPr="00515FC7">
        <w:rPr>
          <w:rFonts w:ascii="Times New Roman" w:hAnsi="Times New Roman" w:cs="Times New Roman"/>
          <w:sz w:val="24"/>
          <w:szCs w:val="24"/>
        </w:rPr>
        <w:t>, w</w:t>
      </w:r>
      <w:r w:rsidR="00DA7701" w:rsidRPr="00515FC7">
        <w:rPr>
          <w:rFonts w:ascii="Times New Roman" w:hAnsi="Times New Roman" w:cs="Times New Roman"/>
          <w:sz w:val="24"/>
          <w:szCs w:val="24"/>
        </w:rPr>
        <w:t> </w:t>
      </w:r>
      <w:r w:rsidRPr="00515FC7">
        <w:rPr>
          <w:rFonts w:ascii="Times New Roman" w:hAnsi="Times New Roman" w:cs="Times New Roman"/>
          <w:sz w:val="24"/>
          <w:szCs w:val="24"/>
        </w:rPr>
        <w:t>której zakwestionowano niemieckie przepisy regulujące strategiczny monitoring połączeń telekomunikacyjnych, polegający na utrwalaniu rozmów telefonicznych nieoznaczonego kręgu rozmówców, a następnie identyfikowaniu, za pomocą słów kluczy, informacji zawartych w tych rozmowach, które mogą potencjalnie identyfikować sprawców przestępstw lub plany ich popełnienia (</w:t>
      </w:r>
      <w:r w:rsidR="00D8110B" w:rsidRPr="00515FC7">
        <w:rPr>
          <w:rFonts w:ascii="Times New Roman" w:hAnsi="Times New Roman" w:cs="Times New Roman"/>
          <w:sz w:val="24"/>
          <w:szCs w:val="24"/>
        </w:rPr>
        <w:t xml:space="preserve">sprawa </w:t>
      </w:r>
      <w:r w:rsidRPr="00515FC7">
        <w:rPr>
          <w:rFonts w:ascii="Times New Roman" w:hAnsi="Times New Roman" w:cs="Times New Roman"/>
          <w:i/>
          <w:sz w:val="24"/>
          <w:szCs w:val="24"/>
        </w:rPr>
        <w:t xml:space="preserve">Weber i </w:t>
      </w:r>
      <w:proofErr w:type="spellStart"/>
      <w:r w:rsidRPr="00515FC7">
        <w:rPr>
          <w:rFonts w:ascii="Times New Roman" w:hAnsi="Times New Roman" w:cs="Times New Roman"/>
          <w:i/>
          <w:sz w:val="24"/>
          <w:szCs w:val="24"/>
        </w:rPr>
        <w:t>Saravia</w:t>
      </w:r>
      <w:proofErr w:type="spellEnd"/>
      <w:r w:rsidRPr="00515FC7">
        <w:rPr>
          <w:rFonts w:ascii="Times New Roman" w:hAnsi="Times New Roman" w:cs="Times New Roman"/>
          <w:sz w:val="24"/>
          <w:szCs w:val="24"/>
        </w:rPr>
        <w:t xml:space="preserve">, nr 54934/00). </w:t>
      </w:r>
    </w:p>
    <w:p w:rsidR="00304BFA" w:rsidRPr="00515FC7" w:rsidRDefault="00D7775F"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W świetle orzecznictwa</w:t>
      </w:r>
      <w:r w:rsidR="00DA7701" w:rsidRPr="00515FC7">
        <w:rPr>
          <w:rFonts w:ascii="Times New Roman" w:hAnsi="Times New Roman" w:cs="Times New Roman"/>
          <w:sz w:val="24"/>
          <w:szCs w:val="24"/>
        </w:rPr>
        <w:t xml:space="preserve"> </w:t>
      </w:r>
      <w:proofErr w:type="spellStart"/>
      <w:r w:rsidR="00DA7701" w:rsidRPr="00515FC7">
        <w:rPr>
          <w:rFonts w:ascii="Times New Roman" w:hAnsi="Times New Roman" w:cs="Times New Roman"/>
          <w:sz w:val="24"/>
          <w:szCs w:val="24"/>
        </w:rPr>
        <w:t>EKPCz</w:t>
      </w:r>
      <w:proofErr w:type="spellEnd"/>
      <w:r w:rsidR="00304BFA" w:rsidRPr="00515FC7">
        <w:rPr>
          <w:rFonts w:ascii="Times New Roman" w:hAnsi="Times New Roman" w:cs="Times New Roman"/>
          <w:sz w:val="24"/>
          <w:szCs w:val="24"/>
        </w:rPr>
        <w:t xml:space="preserve"> ingerencją w sferę prywatności jednostki jest też gromadzenie i przechowywanie danych na temat jednostek przez służby państwowe, niezależnie od sposobu, w jaki zostały zgromadzone (</w:t>
      </w:r>
      <w:r w:rsidR="00AD6F44" w:rsidRPr="00515FC7">
        <w:rPr>
          <w:rFonts w:ascii="Times New Roman" w:hAnsi="Times New Roman" w:cs="Times New Roman"/>
          <w:sz w:val="24"/>
          <w:szCs w:val="24"/>
        </w:rPr>
        <w:t xml:space="preserve">sprawa </w:t>
      </w:r>
      <w:proofErr w:type="spellStart"/>
      <w:r w:rsidR="00304BFA" w:rsidRPr="00515FC7">
        <w:rPr>
          <w:rFonts w:ascii="Times New Roman" w:hAnsi="Times New Roman" w:cs="Times New Roman"/>
          <w:i/>
          <w:sz w:val="24"/>
          <w:szCs w:val="24"/>
        </w:rPr>
        <w:t>Rotaru</w:t>
      </w:r>
      <w:proofErr w:type="spellEnd"/>
      <w:r w:rsidR="00304BFA" w:rsidRPr="00515FC7">
        <w:rPr>
          <w:rFonts w:ascii="Times New Roman" w:hAnsi="Times New Roman" w:cs="Times New Roman"/>
          <w:i/>
          <w:sz w:val="24"/>
          <w:szCs w:val="24"/>
        </w:rPr>
        <w:t xml:space="preserve"> p. Rumunii</w:t>
      </w:r>
      <w:r w:rsidR="00304BFA" w:rsidRPr="00515FC7">
        <w:rPr>
          <w:rFonts w:ascii="Times New Roman" w:hAnsi="Times New Roman" w:cs="Times New Roman"/>
          <w:sz w:val="24"/>
          <w:szCs w:val="24"/>
        </w:rPr>
        <w:t>, skarga nr</w:t>
      </w:r>
      <w:r w:rsidR="00DA7701" w:rsidRPr="00515FC7">
        <w:rPr>
          <w:rFonts w:ascii="Times New Roman" w:hAnsi="Times New Roman" w:cs="Times New Roman"/>
          <w:sz w:val="24"/>
          <w:szCs w:val="24"/>
        </w:rPr>
        <w:t> </w:t>
      </w:r>
      <w:r w:rsidR="00304BFA" w:rsidRPr="00515FC7">
        <w:rPr>
          <w:rFonts w:ascii="Times New Roman" w:hAnsi="Times New Roman" w:cs="Times New Roman"/>
          <w:sz w:val="24"/>
          <w:szCs w:val="24"/>
        </w:rPr>
        <w:t>28341/95).</w:t>
      </w:r>
    </w:p>
    <w:p w:rsidR="00D7775F" w:rsidRPr="00515FC7" w:rsidRDefault="00DA7701"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 xml:space="preserve"> </w:t>
      </w:r>
      <w:proofErr w:type="spellStart"/>
      <w:r w:rsidRPr="00515FC7">
        <w:rPr>
          <w:rFonts w:ascii="Times New Roman" w:hAnsi="Times New Roman" w:cs="Times New Roman"/>
          <w:sz w:val="24"/>
          <w:szCs w:val="24"/>
        </w:rPr>
        <w:t>EKPCz</w:t>
      </w:r>
      <w:proofErr w:type="spellEnd"/>
      <w:r w:rsidR="00304BFA" w:rsidRPr="00515FC7">
        <w:rPr>
          <w:rFonts w:ascii="Times New Roman" w:hAnsi="Times New Roman" w:cs="Times New Roman"/>
          <w:sz w:val="24"/>
          <w:szCs w:val="24"/>
        </w:rPr>
        <w:t xml:space="preserve"> zwracał więc uwagę, że wystarczające dla stwierdzenia ingerencji w prawo zagwarantowane przez art. 8 EKPC jest zgromadzenie danych o jednostkach, bez względu na to, w jaki sposób będą one w przyszłości wykorzystane. Tym niemniej</w:t>
      </w:r>
      <w:r w:rsidRPr="00515FC7">
        <w:rPr>
          <w:rFonts w:ascii="Times New Roman" w:hAnsi="Times New Roman" w:cs="Times New Roman"/>
          <w:sz w:val="24"/>
          <w:szCs w:val="24"/>
        </w:rPr>
        <w:t xml:space="preserve"> </w:t>
      </w:r>
      <w:proofErr w:type="spellStart"/>
      <w:r w:rsidRPr="00515FC7">
        <w:rPr>
          <w:rFonts w:ascii="Times New Roman" w:hAnsi="Times New Roman" w:cs="Times New Roman"/>
          <w:sz w:val="24"/>
          <w:szCs w:val="24"/>
        </w:rPr>
        <w:t>EKPCz</w:t>
      </w:r>
      <w:proofErr w:type="spellEnd"/>
      <w:r w:rsidR="00304BFA" w:rsidRPr="00515FC7">
        <w:rPr>
          <w:rFonts w:ascii="Times New Roman" w:hAnsi="Times New Roman" w:cs="Times New Roman"/>
          <w:sz w:val="24"/>
          <w:szCs w:val="24"/>
        </w:rPr>
        <w:t xml:space="preserve"> nie zanegował w ogóle dopuszczalności niejawnego pozyskiwania informacji o osobach przez władze publiczne, lecz wręcz wskazywał na ich niezbędność, jako narzędzia umożliwiającego efektywne zagwarantowanie bezpieczeństwa oraz ochronę instytucji demokratycznego państwa przed wyrafinowanymi formami zagrożeń, zwłaszcza szpiegostwem czy terroryzmem (zob. m.in. orzeczenie</w:t>
      </w:r>
      <w:r w:rsidRPr="00515FC7">
        <w:rPr>
          <w:rFonts w:ascii="Times New Roman" w:hAnsi="Times New Roman" w:cs="Times New Roman"/>
          <w:sz w:val="24"/>
          <w:szCs w:val="24"/>
        </w:rPr>
        <w:t xml:space="preserve"> </w:t>
      </w:r>
      <w:proofErr w:type="spellStart"/>
      <w:r w:rsidRPr="00515FC7">
        <w:rPr>
          <w:rFonts w:ascii="Times New Roman" w:hAnsi="Times New Roman" w:cs="Times New Roman"/>
          <w:sz w:val="24"/>
          <w:szCs w:val="24"/>
        </w:rPr>
        <w:t>EKPCz</w:t>
      </w:r>
      <w:proofErr w:type="spellEnd"/>
      <w:r w:rsidR="00304BFA" w:rsidRPr="00515FC7">
        <w:rPr>
          <w:rFonts w:ascii="Times New Roman" w:hAnsi="Times New Roman" w:cs="Times New Roman"/>
          <w:sz w:val="24"/>
          <w:szCs w:val="24"/>
        </w:rPr>
        <w:t xml:space="preserve"> w sprawie </w:t>
      </w:r>
      <w:proofErr w:type="spellStart"/>
      <w:r w:rsidR="00304BFA" w:rsidRPr="00515FC7">
        <w:rPr>
          <w:rFonts w:ascii="Times New Roman" w:hAnsi="Times New Roman" w:cs="Times New Roman"/>
          <w:i/>
          <w:sz w:val="24"/>
          <w:szCs w:val="24"/>
        </w:rPr>
        <w:t>Klass</w:t>
      </w:r>
      <w:proofErr w:type="spellEnd"/>
      <w:r w:rsidR="00304BFA" w:rsidRPr="00515FC7">
        <w:rPr>
          <w:rFonts w:ascii="Times New Roman" w:hAnsi="Times New Roman" w:cs="Times New Roman"/>
          <w:i/>
          <w:sz w:val="24"/>
          <w:szCs w:val="24"/>
        </w:rPr>
        <w:t xml:space="preserve"> i inni przeciwko Niemcom</w:t>
      </w:r>
      <w:r w:rsidR="00AD6F44" w:rsidRPr="00515FC7">
        <w:rPr>
          <w:rFonts w:ascii="Times New Roman" w:hAnsi="Times New Roman" w:cs="Times New Roman"/>
          <w:i/>
          <w:sz w:val="24"/>
          <w:szCs w:val="24"/>
        </w:rPr>
        <w:t xml:space="preserve">, </w:t>
      </w:r>
      <w:r w:rsidR="00AD6F44" w:rsidRPr="00515FC7">
        <w:rPr>
          <w:rFonts w:ascii="Times New Roman" w:hAnsi="Times New Roman" w:cs="Times New Roman"/>
          <w:sz w:val="24"/>
          <w:szCs w:val="24"/>
        </w:rPr>
        <w:t xml:space="preserve">skarga </w:t>
      </w:r>
      <w:r w:rsidR="00304BFA" w:rsidRPr="00515FC7">
        <w:rPr>
          <w:rFonts w:ascii="Times New Roman" w:hAnsi="Times New Roman" w:cs="Times New Roman"/>
          <w:sz w:val="24"/>
          <w:szCs w:val="24"/>
        </w:rPr>
        <w:t>nr</w:t>
      </w:r>
      <w:r w:rsidR="00AD6F44" w:rsidRPr="00515FC7">
        <w:rPr>
          <w:rFonts w:ascii="Times New Roman" w:hAnsi="Times New Roman" w:cs="Times New Roman"/>
          <w:sz w:val="24"/>
          <w:szCs w:val="24"/>
        </w:rPr>
        <w:t xml:space="preserve"> </w:t>
      </w:r>
      <w:r w:rsidR="00304BFA" w:rsidRPr="00515FC7">
        <w:rPr>
          <w:rFonts w:ascii="Times New Roman" w:hAnsi="Times New Roman" w:cs="Times New Roman"/>
          <w:sz w:val="24"/>
          <w:szCs w:val="24"/>
        </w:rPr>
        <w:t xml:space="preserve">5029/71). </w:t>
      </w:r>
    </w:p>
    <w:p w:rsidR="00304BFA" w:rsidRPr="00515FC7" w:rsidRDefault="00304BFA" w:rsidP="004E2200">
      <w:pPr>
        <w:autoSpaceDE w:val="0"/>
        <w:autoSpaceDN w:val="0"/>
        <w:adjustRightInd w:val="0"/>
        <w:spacing w:before="120" w:after="0" w:line="360" w:lineRule="auto"/>
        <w:ind w:firstLine="709"/>
        <w:jc w:val="both"/>
        <w:rPr>
          <w:rFonts w:ascii="Times New Roman" w:hAnsi="Times New Roman" w:cs="Times New Roman"/>
          <w:sz w:val="24"/>
          <w:szCs w:val="24"/>
        </w:rPr>
      </w:pPr>
      <w:r w:rsidRPr="00515FC7">
        <w:rPr>
          <w:rFonts w:ascii="Times New Roman" w:hAnsi="Times New Roman" w:cs="Times New Roman"/>
          <w:sz w:val="24"/>
          <w:szCs w:val="24"/>
        </w:rPr>
        <w:t xml:space="preserve">W uzasadnieniu wniosku </w:t>
      </w:r>
      <w:r w:rsidR="00AD6F44" w:rsidRPr="00515FC7">
        <w:rPr>
          <w:rFonts w:ascii="Times New Roman" w:hAnsi="Times New Roman" w:cs="Times New Roman"/>
          <w:sz w:val="24"/>
          <w:szCs w:val="24"/>
        </w:rPr>
        <w:t xml:space="preserve">RPO </w:t>
      </w:r>
      <w:r w:rsidRPr="00515FC7">
        <w:rPr>
          <w:rFonts w:ascii="Times New Roman" w:hAnsi="Times New Roman" w:cs="Times New Roman"/>
          <w:sz w:val="24"/>
          <w:szCs w:val="24"/>
        </w:rPr>
        <w:t xml:space="preserve">powołano także sprawy </w:t>
      </w:r>
      <w:proofErr w:type="spellStart"/>
      <w:r w:rsidRPr="00515FC7">
        <w:rPr>
          <w:rFonts w:ascii="Times New Roman" w:hAnsi="Times New Roman" w:cs="Times New Roman"/>
          <w:i/>
          <w:iCs/>
          <w:sz w:val="24"/>
          <w:szCs w:val="24"/>
        </w:rPr>
        <w:t>Zakharov</w:t>
      </w:r>
      <w:proofErr w:type="spellEnd"/>
      <w:r w:rsidRPr="00515FC7">
        <w:rPr>
          <w:rFonts w:ascii="Times New Roman" w:hAnsi="Times New Roman" w:cs="Times New Roman"/>
          <w:i/>
          <w:iCs/>
          <w:sz w:val="24"/>
          <w:szCs w:val="24"/>
        </w:rPr>
        <w:t xml:space="preserve"> przeciwko Rosji, </w:t>
      </w:r>
      <w:r w:rsidRPr="00515FC7">
        <w:rPr>
          <w:rFonts w:ascii="Times New Roman" w:hAnsi="Times New Roman" w:cs="Times New Roman"/>
          <w:sz w:val="24"/>
          <w:szCs w:val="24"/>
        </w:rPr>
        <w:t xml:space="preserve">skarga nr 47413/06 czy </w:t>
      </w:r>
      <w:proofErr w:type="spellStart"/>
      <w:r w:rsidRPr="00515FC7">
        <w:rPr>
          <w:rFonts w:ascii="Times New Roman" w:hAnsi="Times New Roman" w:cs="Times New Roman"/>
          <w:i/>
          <w:iCs/>
          <w:sz w:val="24"/>
          <w:szCs w:val="24"/>
        </w:rPr>
        <w:t>Szabó</w:t>
      </w:r>
      <w:proofErr w:type="spellEnd"/>
      <w:r w:rsidRPr="00515FC7">
        <w:rPr>
          <w:rFonts w:ascii="Times New Roman" w:hAnsi="Times New Roman" w:cs="Times New Roman"/>
          <w:i/>
          <w:iCs/>
          <w:sz w:val="24"/>
          <w:szCs w:val="24"/>
        </w:rPr>
        <w:t xml:space="preserve"> i </w:t>
      </w:r>
      <w:proofErr w:type="spellStart"/>
      <w:r w:rsidRPr="00515FC7">
        <w:rPr>
          <w:rFonts w:ascii="Times New Roman" w:hAnsi="Times New Roman" w:cs="Times New Roman"/>
          <w:i/>
          <w:iCs/>
          <w:sz w:val="24"/>
          <w:szCs w:val="24"/>
        </w:rPr>
        <w:t>Vissy</w:t>
      </w:r>
      <w:proofErr w:type="spellEnd"/>
      <w:r w:rsidRPr="00515FC7">
        <w:rPr>
          <w:rFonts w:ascii="Times New Roman" w:hAnsi="Times New Roman" w:cs="Times New Roman"/>
          <w:i/>
          <w:iCs/>
          <w:sz w:val="24"/>
          <w:szCs w:val="24"/>
        </w:rPr>
        <w:t xml:space="preserve"> przeciwko Węgrom, </w:t>
      </w:r>
      <w:r w:rsidRPr="00515FC7">
        <w:rPr>
          <w:rFonts w:ascii="Times New Roman" w:hAnsi="Times New Roman" w:cs="Times New Roman"/>
          <w:sz w:val="24"/>
          <w:szCs w:val="24"/>
        </w:rPr>
        <w:t xml:space="preserve">skarga 37138/14 wyznaczające standard kontroli nad gromadzeniem i przetwarzaniem danych przez właściwe organy. </w:t>
      </w:r>
    </w:p>
    <w:p w:rsidR="00511E9B" w:rsidRPr="00515FC7" w:rsidRDefault="00511E9B" w:rsidP="004E2200">
      <w:pPr>
        <w:autoSpaceDE w:val="0"/>
        <w:autoSpaceDN w:val="0"/>
        <w:adjustRightInd w:val="0"/>
        <w:spacing w:before="120" w:after="0" w:line="360" w:lineRule="auto"/>
        <w:ind w:firstLine="709"/>
        <w:jc w:val="both"/>
        <w:rPr>
          <w:rFonts w:ascii="Times New Roman" w:hAnsi="Times New Roman" w:cs="Times New Roman"/>
          <w:sz w:val="24"/>
          <w:szCs w:val="24"/>
        </w:rPr>
      </w:pPr>
    </w:p>
    <w:p w:rsidR="002B7182" w:rsidRPr="00515FC7" w:rsidRDefault="00304BFA" w:rsidP="004E2200">
      <w:pPr>
        <w:pStyle w:val="Nagwek2"/>
        <w:numPr>
          <w:ilvl w:val="0"/>
          <w:numId w:val="2"/>
        </w:numPr>
        <w:spacing w:before="120" w:line="360" w:lineRule="auto"/>
        <w:jc w:val="both"/>
        <w:rPr>
          <w:rFonts w:ascii="Times New Roman" w:hAnsi="Times New Roman" w:cs="Times New Roman"/>
          <w:noProof/>
          <w:lang w:eastAsia="pl-PL"/>
        </w:rPr>
      </w:pPr>
      <w:bookmarkStart w:id="25" w:name="_Toc504117630"/>
      <w:r w:rsidRPr="00515FC7">
        <w:rPr>
          <w:rFonts w:ascii="Times New Roman" w:hAnsi="Times New Roman" w:cs="Times New Roman"/>
          <w:noProof/>
          <w:lang w:eastAsia="pl-PL"/>
        </w:rPr>
        <w:t>Tzw. mała ustawa medialna z grudnia 2015 r.</w:t>
      </w:r>
      <w:bookmarkEnd w:id="25"/>
      <w:r w:rsidRPr="00515FC7">
        <w:rPr>
          <w:rFonts w:ascii="Times New Roman" w:hAnsi="Times New Roman" w:cs="Times New Roman"/>
          <w:noProof/>
          <w:lang w:eastAsia="pl-PL"/>
        </w:rPr>
        <w:t xml:space="preserve"> </w:t>
      </w:r>
    </w:p>
    <w:p w:rsidR="00304BFA" w:rsidRPr="00515FC7" w:rsidRDefault="00304BFA" w:rsidP="004E2200">
      <w:pPr>
        <w:pStyle w:val="Akapitzlist"/>
        <w:spacing w:before="120" w:after="0" w:line="360" w:lineRule="auto"/>
        <w:ind w:left="0" w:firstLine="709"/>
        <w:contextualSpacing w:val="0"/>
        <w:jc w:val="both"/>
        <w:rPr>
          <w:rFonts w:ascii="Times New Roman" w:hAnsi="Times New Roman" w:cs="Times New Roman"/>
          <w:noProof/>
          <w:sz w:val="24"/>
          <w:szCs w:val="24"/>
          <w:lang w:eastAsia="pl-PL"/>
        </w:rPr>
      </w:pPr>
      <w:r w:rsidRPr="00515FC7">
        <w:rPr>
          <w:rFonts w:ascii="Times New Roman" w:hAnsi="Times New Roman" w:cs="Times New Roman"/>
          <w:noProof/>
          <w:sz w:val="24"/>
          <w:szCs w:val="24"/>
          <w:lang w:eastAsia="pl-PL"/>
        </w:rPr>
        <w:t xml:space="preserve">Ustawa uchwalona pospiesznie przez Sejm w grudniu 2015 r., prowadząca do zmian kadrowych w zarządach i radach nadzorczych Telewizji Polskiej i Polskiego Radia stała się przedmiotem wniosku RPO do TK. Wśród wzorców kontroli RPO wskazywał m.in. art. 10 </w:t>
      </w:r>
      <w:r w:rsidR="00AD6F44" w:rsidRPr="00515FC7">
        <w:rPr>
          <w:rFonts w:ascii="Times New Roman" w:hAnsi="Times New Roman" w:cs="Times New Roman"/>
          <w:noProof/>
          <w:sz w:val="24"/>
          <w:szCs w:val="24"/>
          <w:lang w:eastAsia="pl-PL"/>
        </w:rPr>
        <w:t>EKPC</w:t>
      </w:r>
      <w:r w:rsidR="00DA7701" w:rsidRPr="00515FC7">
        <w:rPr>
          <w:rFonts w:ascii="Times New Roman" w:hAnsi="Times New Roman" w:cs="Times New Roman"/>
          <w:noProof/>
          <w:sz w:val="24"/>
          <w:szCs w:val="24"/>
          <w:lang w:eastAsia="pl-PL"/>
        </w:rPr>
        <w:t>z</w:t>
      </w:r>
      <w:r w:rsidRPr="00515FC7">
        <w:rPr>
          <w:rFonts w:ascii="Times New Roman" w:hAnsi="Times New Roman" w:cs="Times New Roman"/>
          <w:noProof/>
          <w:sz w:val="24"/>
          <w:szCs w:val="24"/>
          <w:lang w:eastAsia="pl-PL"/>
        </w:rPr>
        <w:t xml:space="preserve">. </w:t>
      </w:r>
    </w:p>
    <w:p w:rsidR="00304BFA" w:rsidRPr="00515FC7" w:rsidRDefault="00304BFA" w:rsidP="004E2200">
      <w:pPr>
        <w:spacing w:before="120" w:after="0" w:line="360" w:lineRule="auto"/>
        <w:ind w:firstLine="709"/>
        <w:jc w:val="both"/>
        <w:rPr>
          <w:rFonts w:ascii="Times New Roman" w:hAnsi="Times New Roman" w:cs="Times New Roman"/>
          <w:noProof/>
          <w:sz w:val="24"/>
          <w:szCs w:val="24"/>
          <w:lang w:eastAsia="pl-PL"/>
        </w:rPr>
      </w:pPr>
      <w:r w:rsidRPr="00515FC7">
        <w:rPr>
          <w:rFonts w:ascii="Times New Roman" w:hAnsi="Times New Roman" w:cs="Times New Roman"/>
          <w:noProof/>
          <w:sz w:val="24"/>
          <w:szCs w:val="24"/>
          <w:lang w:eastAsia="pl-PL"/>
        </w:rPr>
        <w:t xml:space="preserve">W uzasadnieniu wniosku </w:t>
      </w:r>
      <w:r w:rsidR="00531F63" w:rsidRPr="00515FC7">
        <w:rPr>
          <w:rFonts w:ascii="Times New Roman" w:hAnsi="Times New Roman" w:cs="Times New Roman"/>
          <w:noProof/>
          <w:sz w:val="24"/>
          <w:szCs w:val="24"/>
          <w:lang w:eastAsia="pl-PL"/>
        </w:rPr>
        <w:t>RPO powoływał bogate orzecznictwo</w:t>
      </w:r>
      <w:r w:rsidR="00DA7701" w:rsidRPr="00515FC7">
        <w:rPr>
          <w:rFonts w:ascii="Times New Roman" w:hAnsi="Times New Roman" w:cs="Times New Roman"/>
          <w:noProof/>
          <w:sz w:val="24"/>
          <w:szCs w:val="24"/>
          <w:lang w:eastAsia="pl-PL"/>
        </w:rPr>
        <w:t xml:space="preserve"> EKPCz </w:t>
      </w:r>
      <w:r w:rsidR="00531F63" w:rsidRPr="00515FC7">
        <w:rPr>
          <w:rFonts w:ascii="Times New Roman" w:hAnsi="Times New Roman" w:cs="Times New Roman"/>
          <w:noProof/>
          <w:sz w:val="24"/>
          <w:szCs w:val="24"/>
          <w:lang w:eastAsia="pl-PL"/>
        </w:rPr>
        <w:t xml:space="preserve">dotyczące </w:t>
      </w:r>
      <w:r w:rsidRPr="00515FC7">
        <w:rPr>
          <w:rFonts w:ascii="Times New Roman" w:hAnsi="Times New Roman" w:cs="Times New Roman"/>
          <w:noProof/>
          <w:sz w:val="24"/>
          <w:szCs w:val="24"/>
          <w:lang w:eastAsia="pl-PL"/>
        </w:rPr>
        <w:t>tego przepisu Konwencji</w:t>
      </w:r>
      <w:r w:rsidR="00531F63" w:rsidRPr="00515FC7">
        <w:rPr>
          <w:rFonts w:ascii="Times New Roman" w:hAnsi="Times New Roman" w:cs="Times New Roman"/>
          <w:noProof/>
          <w:sz w:val="24"/>
          <w:szCs w:val="24"/>
          <w:lang w:eastAsia="pl-PL"/>
        </w:rPr>
        <w:t>, gdzie Trybunał</w:t>
      </w:r>
      <w:r w:rsidR="00DA7701" w:rsidRPr="00515FC7">
        <w:rPr>
          <w:rFonts w:ascii="Times New Roman" w:hAnsi="Times New Roman" w:cs="Times New Roman"/>
          <w:noProof/>
          <w:sz w:val="24"/>
          <w:szCs w:val="24"/>
          <w:lang w:eastAsia="pl-PL"/>
        </w:rPr>
        <w:t xml:space="preserve"> </w:t>
      </w:r>
      <w:r w:rsidRPr="00515FC7">
        <w:rPr>
          <w:rFonts w:ascii="Times New Roman" w:hAnsi="Times New Roman" w:cs="Times New Roman"/>
          <w:noProof/>
          <w:sz w:val="24"/>
          <w:szCs w:val="24"/>
          <w:lang w:eastAsia="pl-PL"/>
        </w:rPr>
        <w:t>uznał zagwarantowaną w nim wolność za</w:t>
      </w:r>
      <w:r w:rsidR="00DA7701" w:rsidRPr="00515FC7">
        <w:rPr>
          <w:rFonts w:ascii="Times New Roman" w:hAnsi="Times New Roman" w:cs="Times New Roman"/>
          <w:noProof/>
          <w:sz w:val="24"/>
          <w:szCs w:val="24"/>
          <w:lang w:eastAsia="pl-PL"/>
        </w:rPr>
        <w:t> </w:t>
      </w:r>
      <w:r w:rsidRPr="00515FC7">
        <w:rPr>
          <w:rFonts w:ascii="Times New Roman" w:hAnsi="Times New Roman" w:cs="Times New Roman"/>
          <w:noProof/>
          <w:sz w:val="24"/>
          <w:szCs w:val="24"/>
          <w:lang w:eastAsia="pl-PL"/>
        </w:rPr>
        <w:t xml:space="preserve">niezbędny fundament społeczeństwa demokratycznego i warunek rozwoju każdej jednostki (por. podstawowe orzeczenie z 1976 r. w sprawie </w:t>
      </w:r>
      <w:r w:rsidRPr="00515FC7">
        <w:rPr>
          <w:rFonts w:ascii="Times New Roman" w:hAnsi="Times New Roman" w:cs="Times New Roman"/>
          <w:i/>
          <w:noProof/>
          <w:sz w:val="24"/>
          <w:szCs w:val="24"/>
          <w:lang w:eastAsia="pl-PL"/>
        </w:rPr>
        <w:t>Handyside przeciwko Wielkiej Brytanii</w:t>
      </w:r>
      <w:r w:rsidRPr="00515FC7">
        <w:rPr>
          <w:rFonts w:ascii="Times New Roman" w:hAnsi="Times New Roman" w:cs="Times New Roman"/>
          <w:noProof/>
          <w:sz w:val="24"/>
          <w:szCs w:val="24"/>
          <w:lang w:eastAsia="pl-PL"/>
        </w:rPr>
        <w:t>, skarga nr 5493/72).</w:t>
      </w:r>
      <w:r w:rsidR="00DA7701" w:rsidRPr="00515FC7">
        <w:rPr>
          <w:rFonts w:ascii="Times New Roman" w:hAnsi="Times New Roman" w:cs="Times New Roman"/>
          <w:noProof/>
          <w:sz w:val="24"/>
          <w:szCs w:val="24"/>
          <w:lang w:eastAsia="pl-PL"/>
        </w:rPr>
        <w:t xml:space="preserve"> EKPCz</w:t>
      </w:r>
      <w:r w:rsidRPr="00515FC7">
        <w:rPr>
          <w:rFonts w:ascii="Times New Roman" w:hAnsi="Times New Roman" w:cs="Times New Roman"/>
          <w:noProof/>
          <w:sz w:val="24"/>
          <w:szCs w:val="24"/>
          <w:lang w:eastAsia="pl-PL"/>
        </w:rPr>
        <w:t xml:space="preserve"> podkreślił także rolę prasy i mediów w przekazywaniu informacji oraz prawo publiczności do ich otrzymywania (wyrok z 1979 r. </w:t>
      </w:r>
      <w:r w:rsidRPr="00515FC7">
        <w:rPr>
          <w:rFonts w:ascii="Times New Roman" w:hAnsi="Times New Roman" w:cs="Times New Roman"/>
          <w:i/>
          <w:noProof/>
          <w:sz w:val="24"/>
          <w:szCs w:val="24"/>
          <w:lang w:eastAsia="pl-PL"/>
        </w:rPr>
        <w:t>Sunday Times przeciwko Wielkiej Brytanii</w:t>
      </w:r>
      <w:r w:rsidRPr="00515FC7">
        <w:rPr>
          <w:rFonts w:ascii="Times New Roman" w:hAnsi="Times New Roman" w:cs="Times New Roman"/>
          <w:noProof/>
          <w:sz w:val="24"/>
          <w:szCs w:val="24"/>
          <w:lang w:eastAsia="pl-PL"/>
        </w:rPr>
        <w:t>, skarga nr 6548/74). Podkreślając zasadę pluralizmu,</w:t>
      </w:r>
      <w:r w:rsidR="00DA7701" w:rsidRPr="00515FC7">
        <w:rPr>
          <w:rFonts w:ascii="Times New Roman" w:hAnsi="Times New Roman" w:cs="Times New Roman"/>
          <w:noProof/>
          <w:sz w:val="24"/>
          <w:szCs w:val="24"/>
          <w:lang w:eastAsia="pl-PL"/>
        </w:rPr>
        <w:t xml:space="preserve"> EKPCz</w:t>
      </w:r>
      <w:r w:rsidRPr="00515FC7">
        <w:rPr>
          <w:rFonts w:ascii="Times New Roman" w:hAnsi="Times New Roman" w:cs="Times New Roman"/>
          <w:noProof/>
          <w:sz w:val="24"/>
          <w:szCs w:val="24"/>
          <w:lang w:eastAsia="pl-PL"/>
        </w:rPr>
        <w:t xml:space="preserve"> przypisał państwu funkcję najwyższego gwaranta, zwłaszcza w</w:t>
      </w:r>
      <w:r w:rsidR="00960E4D">
        <w:rPr>
          <w:rFonts w:ascii="Times New Roman" w:hAnsi="Times New Roman" w:cs="Times New Roman"/>
          <w:noProof/>
          <w:sz w:val="24"/>
          <w:szCs w:val="24"/>
          <w:lang w:eastAsia="pl-PL"/>
        </w:rPr>
        <w:t>obec mediów audiowizualnych, co </w:t>
      </w:r>
      <w:r w:rsidRPr="00515FC7">
        <w:rPr>
          <w:rFonts w:ascii="Times New Roman" w:hAnsi="Times New Roman" w:cs="Times New Roman"/>
          <w:noProof/>
          <w:sz w:val="24"/>
          <w:szCs w:val="24"/>
          <w:lang w:eastAsia="pl-PL"/>
        </w:rPr>
        <w:t xml:space="preserve">jednak nie uzasadnia monopolu publicznej radiofonii i telewizji (zob. wyrok z 24 listopada 1993 r. </w:t>
      </w:r>
      <w:r w:rsidRPr="00515FC7">
        <w:rPr>
          <w:rFonts w:ascii="Times New Roman" w:hAnsi="Times New Roman" w:cs="Times New Roman"/>
          <w:i/>
          <w:noProof/>
          <w:sz w:val="24"/>
          <w:szCs w:val="24"/>
          <w:lang w:eastAsia="pl-PL"/>
        </w:rPr>
        <w:t>Informationsverein Lentia i in. przeciwko Austrii,</w:t>
      </w:r>
      <w:r w:rsidRPr="00515FC7">
        <w:rPr>
          <w:rFonts w:ascii="Times New Roman" w:hAnsi="Times New Roman" w:cs="Times New Roman"/>
          <w:noProof/>
          <w:sz w:val="24"/>
          <w:szCs w:val="24"/>
          <w:lang w:eastAsia="pl-PL"/>
        </w:rPr>
        <w:t xml:space="preserve"> skarga 13914/88). Z kolei w wyroku z dnia 16 lipca 2009 r. w sprawie </w:t>
      </w:r>
      <w:r w:rsidRPr="00515FC7">
        <w:rPr>
          <w:rFonts w:ascii="Times New Roman" w:hAnsi="Times New Roman" w:cs="Times New Roman"/>
          <w:i/>
          <w:noProof/>
          <w:sz w:val="24"/>
          <w:szCs w:val="24"/>
          <w:lang w:eastAsia="pl-PL"/>
        </w:rPr>
        <w:t>Wojtas-Kaleta przeciwko Polsce</w:t>
      </w:r>
      <w:r w:rsidRPr="00515FC7">
        <w:rPr>
          <w:rFonts w:ascii="Times New Roman" w:hAnsi="Times New Roman" w:cs="Times New Roman"/>
          <w:noProof/>
          <w:sz w:val="24"/>
          <w:szCs w:val="24"/>
          <w:lang w:eastAsia="pl-PL"/>
        </w:rPr>
        <w:t xml:space="preserve"> (skarga 20436/02)</w:t>
      </w:r>
      <w:r w:rsidR="00DA7701" w:rsidRPr="00515FC7">
        <w:rPr>
          <w:rFonts w:ascii="Times New Roman" w:hAnsi="Times New Roman" w:cs="Times New Roman"/>
          <w:noProof/>
          <w:sz w:val="24"/>
          <w:szCs w:val="24"/>
          <w:lang w:eastAsia="pl-PL"/>
        </w:rPr>
        <w:t xml:space="preserve"> EKPCz</w:t>
      </w:r>
      <w:r w:rsidRPr="00515FC7">
        <w:rPr>
          <w:rFonts w:ascii="Times New Roman" w:hAnsi="Times New Roman" w:cs="Times New Roman"/>
          <w:noProof/>
          <w:sz w:val="24"/>
          <w:szCs w:val="24"/>
          <w:lang w:eastAsia="pl-PL"/>
        </w:rPr>
        <w:t xml:space="preserve"> podkreślając, że rola państwa jako gwaranta pluralizmu odnosi się do mediów publicznych stwierdził: „jeśli państwo decyduje się stworzyć system publicznej radiofonii i telewizji, krajowe prawo i praktyka musi gwarantować, że system ten zapewnia pluralistyczne usługi audiowizualne” (pkt 47).</w:t>
      </w:r>
      <w:r w:rsidR="00DA7701" w:rsidRPr="00515FC7">
        <w:rPr>
          <w:rFonts w:ascii="Times New Roman" w:hAnsi="Times New Roman" w:cs="Times New Roman"/>
          <w:noProof/>
          <w:sz w:val="24"/>
          <w:szCs w:val="24"/>
          <w:lang w:eastAsia="pl-PL"/>
        </w:rPr>
        <w:t xml:space="preserve"> EKPCz</w:t>
      </w:r>
      <w:r w:rsidRPr="00515FC7">
        <w:rPr>
          <w:rFonts w:ascii="Times New Roman" w:hAnsi="Times New Roman" w:cs="Times New Roman"/>
          <w:noProof/>
          <w:sz w:val="24"/>
          <w:szCs w:val="24"/>
          <w:lang w:eastAsia="pl-PL"/>
        </w:rPr>
        <w:t xml:space="preserve"> rozbudował to rozumowanie następnie w wyroku z dnia 17 września 2009 r. w sprawie </w:t>
      </w:r>
      <w:r w:rsidRPr="00515FC7">
        <w:rPr>
          <w:rFonts w:ascii="Times New Roman" w:hAnsi="Times New Roman" w:cs="Times New Roman"/>
          <w:i/>
          <w:noProof/>
          <w:sz w:val="24"/>
          <w:szCs w:val="24"/>
          <w:lang w:eastAsia="pl-PL"/>
        </w:rPr>
        <w:t>Manole i in. przeciwko Mołdawii</w:t>
      </w:r>
      <w:r w:rsidRPr="00515FC7">
        <w:rPr>
          <w:rFonts w:ascii="Times New Roman" w:hAnsi="Times New Roman" w:cs="Times New Roman"/>
          <w:noProof/>
          <w:sz w:val="24"/>
          <w:szCs w:val="24"/>
          <w:lang w:eastAsia="pl-PL"/>
        </w:rPr>
        <w:t xml:space="preserve"> (skarga 13936/02), stwierdzając, że (p</w:t>
      </w:r>
      <w:r w:rsidR="00531F63" w:rsidRPr="00515FC7">
        <w:rPr>
          <w:rFonts w:ascii="Times New Roman" w:hAnsi="Times New Roman" w:cs="Times New Roman"/>
          <w:noProof/>
          <w:sz w:val="24"/>
          <w:szCs w:val="24"/>
          <w:lang w:eastAsia="pl-PL"/>
        </w:rPr>
        <w:t>unkt 108.).</w:t>
      </w:r>
    </w:p>
    <w:p w:rsidR="00AD6F44" w:rsidRPr="00515FC7" w:rsidRDefault="00531F63" w:rsidP="004E2200">
      <w:pPr>
        <w:spacing w:before="120" w:after="0" w:line="360" w:lineRule="auto"/>
        <w:ind w:firstLine="709"/>
        <w:jc w:val="both"/>
        <w:rPr>
          <w:rFonts w:ascii="Times New Roman" w:hAnsi="Times New Roman" w:cs="Times New Roman"/>
          <w:noProof/>
          <w:sz w:val="24"/>
          <w:szCs w:val="24"/>
          <w:lang w:eastAsia="pl-PL"/>
        </w:rPr>
      </w:pPr>
      <w:r w:rsidRPr="00515FC7">
        <w:rPr>
          <w:rFonts w:ascii="Times New Roman" w:hAnsi="Times New Roman" w:cs="Times New Roman"/>
          <w:noProof/>
          <w:sz w:val="24"/>
          <w:szCs w:val="24"/>
          <w:lang w:eastAsia="pl-PL"/>
        </w:rPr>
        <w:t>W wyroku z 13 grudnia 2016 r. Trybunał Konstytucyjny przychylił się do części zarzutów RPO, w pozostałym zakresie sprawę umarzając. W wyroku nie znalazło się odniesienie do standardu wolności słowa i mediów wynika</w:t>
      </w:r>
      <w:r w:rsidR="00D8110B" w:rsidRPr="00515FC7">
        <w:rPr>
          <w:rFonts w:ascii="Times New Roman" w:hAnsi="Times New Roman" w:cs="Times New Roman"/>
          <w:noProof/>
          <w:sz w:val="24"/>
          <w:szCs w:val="24"/>
          <w:lang w:eastAsia="pl-PL"/>
        </w:rPr>
        <w:t>j</w:t>
      </w:r>
      <w:r w:rsidRPr="00515FC7">
        <w:rPr>
          <w:rFonts w:ascii="Times New Roman" w:hAnsi="Times New Roman" w:cs="Times New Roman"/>
          <w:noProof/>
          <w:sz w:val="24"/>
          <w:szCs w:val="24"/>
          <w:lang w:eastAsia="pl-PL"/>
        </w:rPr>
        <w:t xml:space="preserve">ącego z </w:t>
      </w:r>
      <w:r w:rsidR="00AD6F44" w:rsidRPr="00515FC7">
        <w:rPr>
          <w:rFonts w:ascii="Times New Roman" w:hAnsi="Times New Roman" w:cs="Times New Roman"/>
          <w:noProof/>
          <w:sz w:val="24"/>
          <w:szCs w:val="24"/>
          <w:lang w:eastAsia="pl-PL"/>
        </w:rPr>
        <w:t>EKPC</w:t>
      </w:r>
      <w:r w:rsidR="00DA7701" w:rsidRPr="00515FC7">
        <w:rPr>
          <w:rFonts w:ascii="Times New Roman" w:hAnsi="Times New Roman" w:cs="Times New Roman"/>
          <w:noProof/>
          <w:sz w:val="24"/>
          <w:szCs w:val="24"/>
          <w:lang w:eastAsia="pl-PL"/>
        </w:rPr>
        <w:t>z</w:t>
      </w:r>
      <w:r w:rsidRPr="00515FC7">
        <w:rPr>
          <w:rFonts w:ascii="Times New Roman" w:hAnsi="Times New Roman" w:cs="Times New Roman"/>
          <w:noProof/>
          <w:sz w:val="24"/>
          <w:szCs w:val="24"/>
          <w:lang w:eastAsia="pl-PL"/>
        </w:rPr>
        <w:t xml:space="preserve"> i orzecznictwa</w:t>
      </w:r>
      <w:r w:rsidR="00DA7701" w:rsidRPr="00515FC7">
        <w:rPr>
          <w:rFonts w:ascii="Times New Roman" w:hAnsi="Times New Roman" w:cs="Times New Roman"/>
          <w:noProof/>
          <w:sz w:val="24"/>
          <w:szCs w:val="24"/>
          <w:lang w:eastAsia="pl-PL"/>
        </w:rPr>
        <w:t xml:space="preserve"> EKPCz</w:t>
      </w:r>
      <w:r w:rsidRPr="00515FC7">
        <w:rPr>
          <w:rFonts w:ascii="Times New Roman" w:hAnsi="Times New Roman" w:cs="Times New Roman"/>
          <w:noProof/>
          <w:sz w:val="24"/>
          <w:szCs w:val="24"/>
          <w:lang w:eastAsia="pl-PL"/>
        </w:rPr>
        <w:t xml:space="preserve">. </w:t>
      </w:r>
      <w:r w:rsidR="00AD6F44" w:rsidRPr="00515FC7">
        <w:rPr>
          <w:rFonts w:ascii="Times New Roman" w:hAnsi="Times New Roman" w:cs="Times New Roman"/>
          <w:noProof/>
          <w:sz w:val="24"/>
          <w:szCs w:val="24"/>
          <w:lang w:eastAsia="pl-PL"/>
        </w:rPr>
        <w:t>Umorzona została również równoległa sprawa z wniosku grupy Senatorów RP, do której przystąpił RPO, w której wzorcem kontroli były wyłącznie przepisy EKPC</w:t>
      </w:r>
      <w:r w:rsidR="00DA7701" w:rsidRPr="00515FC7">
        <w:rPr>
          <w:rFonts w:ascii="Times New Roman" w:hAnsi="Times New Roman" w:cs="Times New Roman"/>
          <w:noProof/>
          <w:sz w:val="24"/>
          <w:szCs w:val="24"/>
          <w:lang w:eastAsia="pl-PL"/>
        </w:rPr>
        <w:t>z</w:t>
      </w:r>
      <w:r w:rsidR="00AD6F44" w:rsidRPr="00515FC7">
        <w:rPr>
          <w:rFonts w:ascii="Times New Roman" w:hAnsi="Times New Roman" w:cs="Times New Roman"/>
          <w:noProof/>
          <w:sz w:val="24"/>
          <w:szCs w:val="24"/>
          <w:lang w:eastAsia="pl-PL"/>
        </w:rPr>
        <w:t xml:space="preserve">. </w:t>
      </w:r>
    </w:p>
    <w:sectPr w:rsidR="00AD6F44" w:rsidRPr="00515FC7" w:rsidSect="00964B7D">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259" w:rsidRDefault="00980259" w:rsidP="00AD6F44">
      <w:pPr>
        <w:spacing w:after="0" w:line="240" w:lineRule="auto"/>
      </w:pPr>
      <w:r>
        <w:separator/>
      </w:r>
    </w:p>
  </w:endnote>
  <w:endnote w:type="continuationSeparator" w:id="0">
    <w:p w:rsidR="00980259" w:rsidRDefault="00980259" w:rsidP="00AD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7D" w:rsidRDefault="00964B7D">
    <w:pPr>
      <w:pStyle w:val="Stopka"/>
    </w:pPr>
    <w:r>
      <w:t>RPO: prawo jest dla ludzi</w:t>
    </w:r>
  </w:p>
  <w:p w:rsidR="004F506D" w:rsidRDefault="004F5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259" w:rsidRDefault="00980259" w:rsidP="00AD6F44">
      <w:pPr>
        <w:spacing w:after="0" w:line="240" w:lineRule="auto"/>
      </w:pPr>
      <w:r>
        <w:separator/>
      </w:r>
    </w:p>
  </w:footnote>
  <w:footnote w:type="continuationSeparator" w:id="0">
    <w:p w:rsidR="00980259" w:rsidRDefault="00980259" w:rsidP="00AD6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78002"/>
      <w:docPartObj>
        <w:docPartGallery w:val="Page Numbers (Margins)"/>
        <w:docPartUnique/>
      </w:docPartObj>
    </w:sdtPr>
    <w:sdtEndPr/>
    <w:sdtContent>
      <w:p w:rsidR="007A4FDA" w:rsidRDefault="007A4FDA">
        <w:pPr>
          <w:pStyle w:val="Nagwek"/>
        </w:pPr>
        <w:r>
          <w:rPr>
            <w:noProof/>
            <w:lang w:eastAsia="pl-PL"/>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DA" w:rsidRDefault="007A4FD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206FB9" w:rsidRPr="00206FB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7A4FDA" w:rsidRDefault="007A4FD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206FB9" w:rsidRPr="00206FB9">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7128"/>
    <w:multiLevelType w:val="hybridMultilevel"/>
    <w:tmpl w:val="ECD4F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214DA2"/>
    <w:multiLevelType w:val="hybridMultilevel"/>
    <w:tmpl w:val="EB80390A"/>
    <w:lvl w:ilvl="0" w:tplc="714CC9F8">
      <w:start w:val="1"/>
      <w:numFmt w:val="decimal"/>
      <w:lvlText w:val="%1."/>
      <w:lvlJc w:val="left"/>
      <w:pPr>
        <w:ind w:left="720" w:hanging="360"/>
      </w:pPr>
      <w:rPr>
        <w:rFonts w:ascii="Arial Black" w:hAnsi="Arial Blac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F319B8"/>
    <w:multiLevelType w:val="hybridMultilevel"/>
    <w:tmpl w:val="C4BC02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E36B70"/>
    <w:multiLevelType w:val="hybridMultilevel"/>
    <w:tmpl w:val="0FB635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FFA29E5"/>
    <w:multiLevelType w:val="hybridMultilevel"/>
    <w:tmpl w:val="AAA03944"/>
    <w:lvl w:ilvl="0" w:tplc="8FCADCB6">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50C7AE2"/>
    <w:multiLevelType w:val="hybridMultilevel"/>
    <w:tmpl w:val="A1282E5E"/>
    <w:lvl w:ilvl="0" w:tplc="034A9C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5D4DE0"/>
    <w:multiLevelType w:val="hybridMultilevel"/>
    <w:tmpl w:val="55B8D3B2"/>
    <w:lvl w:ilvl="0" w:tplc="0415000F">
      <w:start w:val="1"/>
      <w:numFmt w:val="decimal"/>
      <w:lvlText w:val="%1."/>
      <w:lvlJc w:val="left"/>
      <w:pPr>
        <w:ind w:left="720" w:hanging="360"/>
      </w:pPr>
      <w:rPr>
        <w:rFonts w:hint="default"/>
      </w:rPr>
    </w:lvl>
    <w:lvl w:ilvl="1" w:tplc="034A9C4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605398"/>
    <w:multiLevelType w:val="hybridMultilevel"/>
    <w:tmpl w:val="58F2A2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27E3693"/>
    <w:multiLevelType w:val="hybridMultilevel"/>
    <w:tmpl w:val="CEB0D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E2517F"/>
    <w:multiLevelType w:val="hybridMultilevel"/>
    <w:tmpl w:val="0B88B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5E20CD"/>
    <w:multiLevelType w:val="hybridMultilevel"/>
    <w:tmpl w:val="FAEE24E2"/>
    <w:lvl w:ilvl="0" w:tplc="714CC9F8">
      <w:start w:val="1"/>
      <w:numFmt w:val="decimal"/>
      <w:lvlText w:val="%1."/>
      <w:lvlJc w:val="left"/>
      <w:pPr>
        <w:ind w:left="720" w:hanging="360"/>
      </w:pPr>
      <w:rPr>
        <w:rFonts w:ascii="Arial Black" w:hAnsi="Arial Blac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290BDE"/>
    <w:multiLevelType w:val="hybridMultilevel"/>
    <w:tmpl w:val="F7B0A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3922AD"/>
    <w:multiLevelType w:val="hybridMultilevel"/>
    <w:tmpl w:val="21BA2EEA"/>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3">
    <w:nsid w:val="4079229F"/>
    <w:multiLevelType w:val="hybridMultilevel"/>
    <w:tmpl w:val="D6A61D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7D338D"/>
    <w:multiLevelType w:val="hybridMultilevel"/>
    <w:tmpl w:val="058AE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0266D1"/>
    <w:multiLevelType w:val="hybridMultilevel"/>
    <w:tmpl w:val="E7427926"/>
    <w:lvl w:ilvl="0" w:tplc="04150001">
      <w:start w:val="1"/>
      <w:numFmt w:val="bullet"/>
      <w:lvlText w:val=""/>
      <w:lvlJc w:val="left"/>
      <w:pPr>
        <w:ind w:left="2424" w:hanging="360"/>
      </w:pPr>
      <w:rPr>
        <w:rFonts w:ascii="Symbol" w:hAnsi="Symbol" w:hint="default"/>
      </w:rPr>
    </w:lvl>
    <w:lvl w:ilvl="1" w:tplc="04150003">
      <w:start w:val="1"/>
      <w:numFmt w:val="bullet"/>
      <w:lvlText w:val="o"/>
      <w:lvlJc w:val="left"/>
      <w:pPr>
        <w:ind w:left="3144" w:hanging="360"/>
      </w:pPr>
      <w:rPr>
        <w:rFonts w:ascii="Courier New" w:hAnsi="Courier New" w:cs="Courier New" w:hint="default"/>
      </w:rPr>
    </w:lvl>
    <w:lvl w:ilvl="2" w:tplc="04150005" w:tentative="1">
      <w:start w:val="1"/>
      <w:numFmt w:val="bullet"/>
      <w:lvlText w:val=""/>
      <w:lvlJc w:val="left"/>
      <w:pPr>
        <w:ind w:left="3864" w:hanging="360"/>
      </w:pPr>
      <w:rPr>
        <w:rFonts w:ascii="Wingdings" w:hAnsi="Wingdings" w:hint="default"/>
      </w:rPr>
    </w:lvl>
    <w:lvl w:ilvl="3" w:tplc="04150001" w:tentative="1">
      <w:start w:val="1"/>
      <w:numFmt w:val="bullet"/>
      <w:lvlText w:val=""/>
      <w:lvlJc w:val="left"/>
      <w:pPr>
        <w:ind w:left="4584" w:hanging="360"/>
      </w:pPr>
      <w:rPr>
        <w:rFonts w:ascii="Symbol" w:hAnsi="Symbol" w:hint="default"/>
      </w:rPr>
    </w:lvl>
    <w:lvl w:ilvl="4" w:tplc="04150003" w:tentative="1">
      <w:start w:val="1"/>
      <w:numFmt w:val="bullet"/>
      <w:lvlText w:val="o"/>
      <w:lvlJc w:val="left"/>
      <w:pPr>
        <w:ind w:left="5304" w:hanging="360"/>
      </w:pPr>
      <w:rPr>
        <w:rFonts w:ascii="Courier New" w:hAnsi="Courier New" w:cs="Courier New" w:hint="default"/>
      </w:rPr>
    </w:lvl>
    <w:lvl w:ilvl="5" w:tplc="04150005" w:tentative="1">
      <w:start w:val="1"/>
      <w:numFmt w:val="bullet"/>
      <w:lvlText w:val=""/>
      <w:lvlJc w:val="left"/>
      <w:pPr>
        <w:ind w:left="6024" w:hanging="360"/>
      </w:pPr>
      <w:rPr>
        <w:rFonts w:ascii="Wingdings" w:hAnsi="Wingdings" w:hint="default"/>
      </w:rPr>
    </w:lvl>
    <w:lvl w:ilvl="6" w:tplc="04150001" w:tentative="1">
      <w:start w:val="1"/>
      <w:numFmt w:val="bullet"/>
      <w:lvlText w:val=""/>
      <w:lvlJc w:val="left"/>
      <w:pPr>
        <w:ind w:left="6744" w:hanging="360"/>
      </w:pPr>
      <w:rPr>
        <w:rFonts w:ascii="Symbol" w:hAnsi="Symbol" w:hint="default"/>
      </w:rPr>
    </w:lvl>
    <w:lvl w:ilvl="7" w:tplc="04150003" w:tentative="1">
      <w:start w:val="1"/>
      <w:numFmt w:val="bullet"/>
      <w:lvlText w:val="o"/>
      <w:lvlJc w:val="left"/>
      <w:pPr>
        <w:ind w:left="7464" w:hanging="360"/>
      </w:pPr>
      <w:rPr>
        <w:rFonts w:ascii="Courier New" w:hAnsi="Courier New" w:cs="Courier New" w:hint="default"/>
      </w:rPr>
    </w:lvl>
    <w:lvl w:ilvl="8" w:tplc="04150005" w:tentative="1">
      <w:start w:val="1"/>
      <w:numFmt w:val="bullet"/>
      <w:lvlText w:val=""/>
      <w:lvlJc w:val="left"/>
      <w:pPr>
        <w:ind w:left="8184" w:hanging="360"/>
      </w:pPr>
      <w:rPr>
        <w:rFonts w:ascii="Wingdings" w:hAnsi="Wingdings" w:hint="default"/>
      </w:rPr>
    </w:lvl>
  </w:abstractNum>
  <w:abstractNum w:abstractNumId="16">
    <w:nsid w:val="4FE420DC"/>
    <w:multiLevelType w:val="hybridMultilevel"/>
    <w:tmpl w:val="92E60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0185D12"/>
    <w:multiLevelType w:val="hybridMultilevel"/>
    <w:tmpl w:val="905EFD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6175031A"/>
    <w:multiLevelType w:val="hybridMultilevel"/>
    <w:tmpl w:val="B1823B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8F53C03"/>
    <w:multiLevelType w:val="hybridMultilevel"/>
    <w:tmpl w:val="101A0CE8"/>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6E1F6F21"/>
    <w:multiLevelType w:val="hybridMultilevel"/>
    <w:tmpl w:val="1FBCB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3A25573"/>
    <w:multiLevelType w:val="hybridMultilevel"/>
    <w:tmpl w:val="C7C696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9"/>
  </w:num>
  <w:num w:numId="5">
    <w:abstractNumId w:val="4"/>
  </w:num>
  <w:num w:numId="6">
    <w:abstractNumId w:val="12"/>
  </w:num>
  <w:num w:numId="7">
    <w:abstractNumId w:val="7"/>
  </w:num>
  <w:num w:numId="8">
    <w:abstractNumId w:val="3"/>
  </w:num>
  <w:num w:numId="9">
    <w:abstractNumId w:val="21"/>
  </w:num>
  <w:num w:numId="10">
    <w:abstractNumId w:val="17"/>
  </w:num>
  <w:num w:numId="11">
    <w:abstractNumId w:val="5"/>
  </w:num>
  <w:num w:numId="12">
    <w:abstractNumId w:val="13"/>
  </w:num>
  <w:num w:numId="13">
    <w:abstractNumId w:val="8"/>
  </w:num>
  <w:num w:numId="14">
    <w:abstractNumId w:val="11"/>
  </w:num>
  <w:num w:numId="15">
    <w:abstractNumId w:val="0"/>
  </w:num>
  <w:num w:numId="16">
    <w:abstractNumId w:val="20"/>
  </w:num>
  <w:num w:numId="17">
    <w:abstractNumId w:val="16"/>
  </w:num>
  <w:num w:numId="18">
    <w:abstractNumId w:val="18"/>
  </w:num>
  <w:num w:numId="19">
    <w:abstractNumId w:val="1"/>
  </w:num>
  <w:num w:numId="20">
    <w:abstractNumId w:val="10"/>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22"/>
    <w:rsid w:val="000125E8"/>
    <w:rsid w:val="00056D7E"/>
    <w:rsid w:val="00060F2A"/>
    <w:rsid w:val="000A67D2"/>
    <w:rsid w:val="000C5413"/>
    <w:rsid w:val="000C7231"/>
    <w:rsid w:val="000D230D"/>
    <w:rsid w:val="00150048"/>
    <w:rsid w:val="001910D4"/>
    <w:rsid w:val="001C675E"/>
    <w:rsid w:val="001F5B7F"/>
    <w:rsid w:val="00206264"/>
    <w:rsid w:val="00206FB9"/>
    <w:rsid w:val="00207F65"/>
    <w:rsid w:val="00286063"/>
    <w:rsid w:val="002B6058"/>
    <w:rsid w:val="002B7182"/>
    <w:rsid w:val="00304BFA"/>
    <w:rsid w:val="00322498"/>
    <w:rsid w:val="00365422"/>
    <w:rsid w:val="003761F8"/>
    <w:rsid w:val="00383D31"/>
    <w:rsid w:val="003E51C2"/>
    <w:rsid w:val="00433B5A"/>
    <w:rsid w:val="00443B15"/>
    <w:rsid w:val="004C7916"/>
    <w:rsid w:val="004E2200"/>
    <w:rsid w:val="004F506D"/>
    <w:rsid w:val="00511E9B"/>
    <w:rsid w:val="00513D40"/>
    <w:rsid w:val="00515FC7"/>
    <w:rsid w:val="00517544"/>
    <w:rsid w:val="00522C20"/>
    <w:rsid w:val="00531F63"/>
    <w:rsid w:val="00535DCD"/>
    <w:rsid w:val="00550EAD"/>
    <w:rsid w:val="005609DB"/>
    <w:rsid w:val="005934E7"/>
    <w:rsid w:val="00593FDB"/>
    <w:rsid w:val="005D35CC"/>
    <w:rsid w:val="005D4B97"/>
    <w:rsid w:val="0060226B"/>
    <w:rsid w:val="00684C34"/>
    <w:rsid w:val="0072012B"/>
    <w:rsid w:val="00776970"/>
    <w:rsid w:val="007A4FDA"/>
    <w:rsid w:val="007D3C4F"/>
    <w:rsid w:val="00800378"/>
    <w:rsid w:val="00806AE2"/>
    <w:rsid w:val="00826652"/>
    <w:rsid w:val="00830912"/>
    <w:rsid w:val="008D1C0F"/>
    <w:rsid w:val="008D2A18"/>
    <w:rsid w:val="008F2173"/>
    <w:rsid w:val="00926F13"/>
    <w:rsid w:val="00960E4D"/>
    <w:rsid w:val="00964B7D"/>
    <w:rsid w:val="00980259"/>
    <w:rsid w:val="009B2AE1"/>
    <w:rsid w:val="00A10D4F"/>
    <w:rsid w:val="00AB108A"/>
    <w:rsid w:val="00AC01D9"/>
    <w:rsid w:val="00AD6F44"/>
    <w:rsid w:val="00AF2447"/>
    <w:rsid w:val="00B63CB5"/>
    <w:rsid w:val="00B93FC5"/>
    <w:rsid w:val="00B96A0A"/>
    <w:rsid w:val="00BE08FD"/>
    <w:rsid w:val="00C16C54"/>
    <w:rsid w:val="00C172EC"/>
    <w:rsid w:val="00C240D2"/>
    <w:rsid w:val="00C7667A"/>
    <w:rsid w:val="00C938D6"/>
    <w:rsid w:val="00CB2AE1"/>
    <w:rsid w:val="00D7775F"/>
    <w:rsid w:val="00D8110B"/>
    <w:rsid w:val="00DA532A"/>
    <w:rsid w:val="00DA7701"/>
    <w:rsid w:val="00DD072A"/>
    <w:rsid w:val="00DD5B05"/>
    <w:rsid w:val="00DE339F"/>
    <w:rsid w:val="00DF2CDB"/>
    <w:rsid w:val="00EC05DE"/>
    <w:rsid w:val="00EF0222"/>
    <w:rsid w:val="00EF2158"/>
    <w:rsid w:val="00F44783"/>
    <w:rsid w:val="00F60C52"/>
    <w:rsid w:val="00F640FD"/>
    <w:rsid w:val="00FA4DA8"/>
    <w:rsid w:val="00FC3B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B7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B7182"/>
    <w:pPr>
      <w:keepNext/>
      <w:keepLines/>
      <w:spacing w:before="200" w:after="0"/>
      <w:outlineLvl w:val="1"/>
    </w:pPr>
    <w:rPr>
      <w:rFonts w:ascii="Arial Black" w:eastAsiaTheme="majorEastAsia" w:hAnsi="Arial Black"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5422"/>
    <w:pPr>
      <w:ind w:left="720"/>
      <w:contextualSpacing/>
    </w:pPr>
  </w:style>
  <w:style w:type="paragraph" w:styleId="NormalnyWeb">
    <w:name w:val="Normal (Web)"/>
    <w:basedOn w:val="Normalny"/>
    <w:uiPriority w:val="99"/>
    <w:unhideWhenUsed/>
    <w:rsid w:val="002062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6264"/>
    <w:rPr>
      <w:i/>
      <w:iCs/>
    </w:rPr>
  </w:style>
  <w:style w:type="paragraph" w:styleId="Tekstprzypisudolnego">
    <w:name w:val="footnote text"/>
    <w:basedOn w:val="Normalny"/>
    <w:link w:val="TekstprzypisudolnegoZnak"/>
    <w:uiPriority w:val="99"/>
    <w:unhideWhenUsed/>
    <w:rsid w:val="00206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206264"/>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D77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775F"/>
    <w:rPr>
      <w:rFonts w:ascii="Tahoma" w:hAnsi="Tahoma" w:cs="Tahoma"/>
      <w:sz w:val="16"/>
      <w:szCs w:val="16"/>
    </w:rPr>
  </w:style>
  <w:style w:type="paragraph" w:styleId="Bezodstpw">
    <w:name w:val="No Spacing"/>
    <w:uiPriority w:val="1"/>
    <w:qFormat/>
    <w:rsid w:val="001910D4"/>
    <w:pPr>
      <w:spacing w:after="0" w:line="240" w:lineRule="auto"/>
      <w:jc w:val="both"/>
    </w:pPr>
    <w:rPr>
      <w:rFonts w:ascii="Times New Roman" w:eastAsiaTheme="minorEastAsia" w:hAnsi="Times New Roman" w:cs="Times New Roman"/>
      <w:sz w:val="24"/>
      <w:szCs w:val="24"/>
      <w:lang w:val="en-US"/>
    </w:rPr>
  </w:style>
  <w:style w:type="paragraph" w:styleId="Nagwek">
    <w:name w:val="header"/>
    <w:basedOn w:val="Normalny"/>
    <w:link w:val="NagwekZnak"/>
    <w:uiPriority w:val="99"/>
    <w:unhideWhenUsed/>
    <w:rsid w:val="00AD6F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F44"/>
  </w:style>
  <w:style w:type="paragraph" w:styleId="Stopka">
    <w:name w:val="footer"/>
    <w:basedOn w:val="Normalny"/>
    <w:link w:val="StopkaZnak"/>
    <w:uiPriority w:val="99"/>
    <w:unhideWhenUsed/>
    <w:rsid w:val="00AD6F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F44"/>
  </w:style>
  <w:style w:type="character" w:styleId="Odwoanieprzypisudolnego">
    <w:name w:val="footnote reference"/>
    <w:basedOn w:val="Domylnaczcionkaakapitu"/>
    <w:uiPriority w:val="99"/>
    <w:semiHidden/>
    <w:unhideWhenUsed/>
    <w:rsid w:val="00C172EC"/>
    <w:rPr>
      <w:vertAlign w:val="superscript"/>
    </w:rPr>
  </w:style>
  <w:style w:type="character" w:customStyle="1" w:styleId="Nagwek2Znak">
    <w:name w:val="Nagłówek 2 Znak"/>
    <w:basedOn w:val="Domylnaczcionkaakapitu"/>
    <w:link w:val="Nagwek2"/>
    <w:uiPriority w:val="9"/>
    <w:rsid w:val="002B7182"/>
    <w:rPr>
      <w:rFonts w:ascii="Arial Black" w:eastAsiaTheme="majorEastAsia" w:hAnsi="Arial Black" w:cstheme="majorBidi"/>
      <w:b/>
      <w:bCs/>
      <w:sz w:val="26"/>
      <w:szCs w:val="26"/>
    </w:rPr>
  </w:style>
  <w:style w:type="character" w:customStyle="1" w:styleId="Nagwek1Znak">
    <w:name w:val="Nagłówek 1 Znak"/>
    <w:basedOn w:val="Domylnaczcionkaakapitu"/>
    <w:link w:val="Nagwek1"/>
    <w:uiPriority w:val="9"/>
    <w:rsid w:val="002B718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4F506D"/>
    <w:pPr>
      <w:outlineLvl w:val="9"/>
    </w:pPr>
    <w:rPr>
      <w:lang w:eastAsia="pl-PL"/>
    </w:rPr>
  </w:style>
  <w:style w:type="paragraph" w:styleId="Spistreci2">
    <w:name w:val="toc 2"/>
    <w:basedOn w:val="Normalny"/>
    <w:next w:val="Normalny"/>
    <w:autoRedefine/>
    <w:uiPriority w:val="39"/>
    <w:unhideWhenUsed/>
    <w:qFormat/>
    <w:rsid w:val="00443B15"/>
    <w:pPr>
      <w:tabs>
        <w:tab w:val="right" w:leader="dot" w:pos="9062"/>
      </w:tabs>
      <w:spacing w:after="100"/>
      <w:ind w:left="220"/>
    </w:pPr>
    <w:rPr>
      <w:rFonts w:eastAsiaTheme="minorEastAsia"/>
      <w:noProof/>
      <w:sz w:val="28"/>
      <w:lang w:eastAsia="pl-PL"/>
    </w:rPr>
  </w:style>
  <w:style w:type="paragraph" w:styleId="Spistreci1">
    <w:name w:val="toc 1"/>
    <w:basedOn w:val="Normalny"/>
    <w:next w:val="Normalny"/>
    <w:autoRedefine/>
    <w:uiPriority w:val="39"/>
    <w:unhideWhenUsed/>
    <w:qFormat/>
    <w:rsid w:val="004F506D"/>
    <w:pPr>
      <w:spacing w:after="100"/>
    </w:pPr>
    <w:rPr>
      <w:rFonts w:eastAsiaTheme="minorEastAsia"/>
      <w:lang w:eastAsia="pl-PL"/>
    </w:rPr>
  </w:style>
  <w:style w:type="paragraph" w:styleId="Spistreci3">
    <w:name w:val="toc 3"/>
    <w:basedOn w:val="Normalny"/>
    <w:next w:val="Normalny"/>
    <w:autoRedefine/>
    <w:uiPriority w:val="39"/>
    <w:semiHidden/>
    <w:unhideWhenUsed/>
    <w:qFormat/>
    <w:rsid w:val="004F506D"/>
    <w:pPr>
      <w:spacing w:after="100"/>
      <w:ind w:left="440"/>
    </w:pPr>
    <w:rPr>
      <w:rFonts w:eastAsiaTheme="minorEastAsia"/>
      <w:lang w:eastAsia="pl-PL"/>
    </w:rPr>
  </w:style>
  <w:style w:type="character" w:styleId="Hipercze">
    <w:name w:val="Hyperlink"/>
    <w:basedOn w:val="Domylnaczcionkaakapitu"/>
    <w:uiPriority w:val="99"/>
    <w:unhideWhenUsed/>
    <w:rsid w:val="004F506D"/>
    <w:rPr>
      <w:color w:val="0000FF" w:themeColor="hyperlink"/>
      <w:u w:val="single"/>
    </w:rPr>
  </w:style>
  <w:style w:type="paragraph" w:styleId="Tytu">
    <w:name w:val="Title"/>
    <w:basedOn w:val="Normalny"/>
    <w:next w:val="Normalny"/>
    <w:link w:val="TytuZnak"/>
    <w:uiPriority w:val="10"/>
    <w:qFormat/>
    <w:rsid w:val="00443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43B15"/>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C766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7667A"/>
    <w:rPr>
      <w:rFonts w:asciiTheme="majorHAnsi" w:eastAsiaTheme="majorEastAsia" w:hAnsiTheme="majorHAnsi" w:cstheme="majorBidi"/>
      <w:i/>
      <w:iCs/>
      <w:color w:val="4F81BD" w:themeColor="accent1"/>
      <w:spacing w:val="15"/>
      <w:sz w:val="24"/>
      <w:szCs w:val="24"/>
    </w:rPr>
  </w:style>
  <w:style w:type="character" w:styleId="Odwoaniedokomentarza">
    <w:name w:val="annotation reference"/>
    <w:basedOn w:val="Domylnaczcionkaakapitu"/>
    <w:uiPriority w:val="99"/>
    <w:semiHidden/>
    <w:unhideWhenUsed/>
    <w:rsid w:val="00513D40"/>
    <w:rPr>
      <w:sz w:val="16"/>
      <w:szCs w:val="16"/>
    </w:rPr>
  </w:style>
  <w:style w:type="paragraph" w:styleId="Tekstkomentarza">
    <w:name w:val="annotation text"/>
    <w:basedOn w:val="Normalny"/>
    <w:link w:val="TekstkomentarzaZnak"/>
    <w:uiPriority w:val="99"/>
    <w:semiHidden/>
    <w:unhideWhenUsed/>
    <w:rsid w:val="00513D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3D40"/>
    <w:rPr>
      <w:sz w:val="20"/>
      <w:szCs w:val="20"/>
    </w:rPr>
  </w:style>
  <w:style w:type="paragraph" w:styleId="Tematkomentarza">
    <w:name w:val="annotation subject"/>
    <w:basedOn w:val="Tekstkomentarza"/>
    <w:next w:val="Tekstkomentarza"/>
    <w:link w:val="TematkomentarzaZnak"/>
    <w:uiPriority w:val="99"/>
    <w:semiHidden/>
    <w:unhideWhenUsed/>
    <w:rsid w:val="00513D40"/>
    <w:rPr>
      <w:b/>
      <w:bCs/>
    </w:rPr>
  </w:style>
  <w:style w:type="character" w:customStyle="1" w:styleId="TematkomentarzaZnak">
    <w:name w:val="Temat komentarza Znak"/>
    <w:basedOn w:val="TekstkomentarzaZnak"/>
    <w:link w:val="Tematkomentarza"/>
    <w:uiPriority w:val="99"/>
    <w:semiHidden/>
    <w:rsid w:val="00513D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B7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B7182"/>
    <w:pPr>
      <w:keepNext/>
      <w:keepLines/>
      <w:spacing w:before="200" w:after="0"/>
      <w:outlineLvl w:val="1"/>
    </w:pPr>
    <w:rPr>
      <w:rFonts w:ascii="Arial Black" w:eastAsiaTheme="majorEastAsia" w:hAnsi="Arial Black"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5422"/>
    <w:pPr>
      <w:ind w:left="720"/>
      <w:contextualSpacing/>
    </w:pPr>
  </w:style>
  <w:style w:type="paragraph" w:styleId="NormalnyWeb">
    <w:name w:val="Normal (Web)"/>
    <w:basedOn w:val="Normalny"/>
    <w:uiPriority w:val="99"/>
    <w:unhideWhenUsed/>
    <w:rsid w:val="002062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6264"/>
    <w:rPr>
      <w:i/>
      <w:iCs/>
    </w:rPr>
  </w:style>
  <w:style w:type="paragraph" w:styleId="Tekstprzypisudolnego">
    <w:name w:val="footnote text"/>
    <w:basedOn w:val="Normalny"/>
    <w:link w:val="TekstprzypisudolnegoZnak"/>
    <w:uiPriority w:val="99"/>
    <w:unhideWhenUsed/>
    <w:rsid w:val="00206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206264"/>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D77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775F"/>
    <w:rPr>
      <w:rFonts w:ascii="Tahoma" w:hAnsi="Tahoma" w:cs="Tahoma"/>
      <w:sz w:val="16"/>
      <w:szCs w:val="16"/>
    </w:rPr>
  </w:style>
  <w:style w:type="paragraph" w:styleId="Bezodstpw">
    <w:name w:val="No Spacing"/>
    <w:uiPriority w:val="1"/>
    <w:qFormat/>
    <w:rsid w:val="001910D4"/>
    <w:pPr>
      <w:spacing w:after="0" w:line="240" w:lineRule="auto"/>
      <w:jc w:val="both"/>
    </w:pPr>
    <w:rPr>
      <w:rFonts w:ascii="Times New Roman" w:eastAsiaTheme="minorEastAsia" w:hAnsi="Times New Roman" w:cs="Times New Roman"/>
      <w:sz w:val="24"/>
      <w:szCs w:val="24"/>
      <w:lang w:val="en-US"/>
    </w:rPr>
  </w:style>
  <w:style w:type="paragraph" w:styleId="Nagwek">
    <w:name w:val="header"/>
    <w:basedOn w:val="Normalny"/>
    <w:link w:val="NagwekZnak"/>
    <w:uiPriority w:val="99"/>
    <w:unhideWhenUsed/>
    <w:rsid w:val="00AD6F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F44"/>
  </w:style>
  <w:style w:type="paragraph" w:styleId="Stopka">
    <w:name w:val="footer"/>
    <w:basedOn w:val="Normalny"/>
    <w:link w:val="StopkaZnak"/>
    <w:uiPriority w:val="99"/>
    <w:unhideWhenUsed/>
    <w:rsid w:val="00AD6F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F44"/>
  </w:style>
  <w:style w:type="character" w:styleId="Odwoanieprzypisudolnego">
    <w:name w:val="footnote reference"/>
    <w:basedOn w:val="Domylnaczcionkaakapitu"/>
    <w:uiPriority w:val="99"/>
    <w:semiHidden/>
    <w:unhideWhenUsed/>
    <w:rsid w:val="00C172EC"/>
    <w:rPr>
      <w:vertAlign w:val="superscript"/>
    </w:rPr>
  </w:style>
  <w:style w:type="character" w:customStyle="1" w:styleId="Nagwek2Znak">
    <w:name w:val="Nagłówek 2 Znak"/>
    <w:basedOn w:val="Domylnaczcionkaakapitu"/>
    <w:link w:val="Nagwek2"/>
    <w:uiPriority w:val="9"/>
    <w:rsid w:val="002B7182"/>
    <w:rPr>
      <w:rFonts w:ascii="Arial Black" w:eastAsiaTheme="majorEastAsia" w:hAnsi="Arial Black" w:cstheme="majorBidi"/>
      <w:b/>
      <w:bCs/>
      <w:sz w:val="26"/>
      <w:szCs w:val="26"/>
    </w:rPr>
  </w:style>
  <w:style w:type="character" w:customStyle="1" w:styleId="Nagwek1Znak">
    <w:name w:val="Nagłówek 1 Znak"/>
    <w:basedOn w:val="Domylnaczcionkaakapitu"/>
    <w:link w:val="Nagwek1"/>
    <w:uiPriority w:val="9"/>
    <w:rsid w:val="002B718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4F506D"/>
    <w:pPr>
      <w:outlineLvl w:val="9"/>
    </w:pPr>
    <w:rPr>
      <w:lang w:eastAsia="pl-PL"/>
    </w:rPr>
  </w:style>
  <w:style w:type="paragraph" w:styleId="Spistreci2">
    <w:name w:val="toc 2"/>
    <w:basedOn w:val="Normalny"/>
    <w:next w:val="Normalny"/>
    <w:autoRedefine/>
    <w:uiPriority w:val="39"/>
    <w:unhideWhenUsed/>
    <w:qFormat/>
    <w:rsid w:val="00443B15"/>
    <w:pPr>
      <w:tabs>
        <w:tab w:val="right" w:leader="dot" w:pos="9062"/>
      </w:tabs>
      <w:spacing w:after="100"/>
      <w:ind w:left="220"/>
    </w:pPr>
    <w:rPr>
      <w:rFonts w:eastAsiaTheme="minorEastAsia"/>
      <w:noProof/>
      <w:sz w:val="28"/>
      <w:lang w:eastAsia="pl-PL"/>
    </w:rPr>
  </w:style>
  <w:style w:type="paragraph" w:styleId="Spistreci1">
    <w:name w:val="toc 1"/>
    <w:basedOn w:val="Normalny"/>
    <w:next w:val="Normalny"/>
    <w:autoRedefine/>
    <w:uiPriority w:val="39"/>
    <w:unhideWhenUsed/>
    <w:qFormat/>
    <w:rsid w:val="004F506D"/>
    <w:pPr>
      <w:spacing w:after="100"/>
    </w:pPr>
    <w:rPr>
      <w:rFonts w:eastAsiaTheme="minorEastAsia"/>
      <w:lang w:eastAsia="pl-PL"/>
    </w:rPr>
  </w:style>
  <w:style w:type="paragraph" w:styleId="Spistreci3">
    <w:name w:val="toc 3"/>
    <w:basedOn w:val="Normalny"/>
    <w:next w:val="Normalny"/>
    <w:autoRedefine/>
    <w:uiPriority w:val="39"/>
    <w:semiHidden/>
    <w:unhideWhenUsed/>
    <w:qFormat/>
    <w:rsid w:val="004F506D"/>
    <w:pPr>
      <w:spacing w:after="100"/>
      <w:ind w:left="440"/>
    </w:pPr>
    <w:rPr>
      <w:rFonts w:eastAsiaTheme="minorEastAsia"/>
      <w:lang w:eastAsia="pl-PL"/>
    </w:rPr>
  </w:style>
  <w:style w:type="character" w:styleId="Hipercze">
    <w:name w:val="Hyperlink"/>
    <w:basedOn w:val="Domylnaczcionkaakapitu"/>
    <w:uiPriority w:val="99"/>
    <w:unhideWhenUsed/>
    <w:rsid w:val="004F506D"/>
    <w:rPr>
      <w:color w:val="0000FF" w:themeColor="hyperlink"/>
      <w:u w:val="single"/>
    </w:rPr>
  </w:style>
  <w:style w:type="paragraph" w:styleId="Tytu">
    <w:name w:val="Title"/>
    <w:basedOn w:val="Normalny"/>
    <w:next w:val="Normalny"/>
    <w:link w:val="TytuZnak"/>
    <w:uiPriority w:val="10"/>
    <w:qFormat/>
    <w:rsid w:val="00443B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43B15"/>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C766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7667A"/>
    <w:rPr>
      <w:rFonts w:asciiTheme="majorHAnsi" w:eastAsiaTheme="majorEastAsia" w:hAnsiTheme="majorHAnsi" w:cstheme="majorBidi"/>
      <w:i/>
      <w:iCs/>
      <w:color w:val="4F81BD" w:themeColor="accent1"/>
      <w:spacing w:val="15"/>
      <w:sz w:val="24"/>
      <w:szCs w:val="24"/>
    </w:rPr>
  </w:style>
  <w:style w:type="character" w:styleId="Odwoaniedokomentarza">
    <w:name w:val="annotation reference"/>
    <w:basedOn w:val="Domylnaczcionkaakapitu"/>
    <w:uiPriority w:val="99"/>
    <w:semiHidden/>
    <w:unhideWhenUsed/>
    <w:rsid w:val="00513D40"/>
    <w:rPr>
      <w:sz w:val="16"/>
      <w:szCs w:val="16"/>
    </w:rPr>
  </w:style>
  <w:style w:type="paragraph" w:styleId="Tekstkomentarza">
    <w:name w:val="annotation text"/>
    <w:basedOn w:val="Normalny"/>
    <w:link w:val="TekstkomentarzaZnak"/>
    <w:uiPriority w:val="99"/>
    <w:semiHidden/>
    <w:unhideWhenUsed/>
    <w:rsid w:val="00513D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3D40"/>
    <w:rPr>
      <w:sz w:val="20"/>
      <w:szCs w:val="20"/>
    </w:rPr>
  </w:style>
  <w:style w:type="paragraph" w:styleId="Tematkomentarza">
    <w:name w:val="annotation subject"/>
    <w:basedOn w:val="Tekstkomentarza"/>
    <w:next w:val="Tekstkomentarza"/>
    <w:link w:val="TematkomentarzaZnak"/>
    <w:uiPriority w:val="99"/>
    <w:semiHidden/>
    <w:unhideWhenUsed/>
    <w:rsid w:val="00513D40"/>
    <w:rPr>
      <w:b/>
      <w:bCs/>
    </w:rPr>
  </w:style>
  <w:style w:type="character" w:customStyle="1" w:styleId="TematkomentarzaZnak">
    <w:name w:val="Temat komentarza Znak"/>
    <w:basedOn w:val="TekstkomentarzaZnak"/>
    <w:link w:val="Tematkomentarza"/>
    <w:uiPriority w:val="99"/>
    <w:semiHidden/>
    <w:rsid w:val="00513D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13328">
      <w:bodyDiv w:val="1"/>
      <w:marLeft w:val="0"/>
      <w:marRight w:val="0"/>
      <w:marTop w:val="0"/>
      <w:marBottom w:val="0"/>
      <w:divBdr>
        <w:top w:val="none" w:sz="0" w:space="0" w:color="auto"/>
        <w:left w:val="none" w:sz="0" w:space="0" w:color="auto"/>
        <w:bottom w:val="none" w:sz="0" w:space="0" w:color="auto"/>
        <w:right w:val="none" w:sz="0" w:space="0" w:color="auto"/>
      </w:divBdr>
    </w:div>
    <w:div w:id="939525114">
      <w:bodyDiv w:val="1"/>
      <w:marLeft w:val="0"/>
      <w:marRight w:val="0"/>
      <w:marTop w:val="0"/>
      <w:marBottom w:val="0"/>
      <w:divBdr>
        <w:top w:val="none" w:sz="0" w:space="0" w:color="auto"/>
        <w:left w:val="none" w:sz="0" w:space="0" w:color="auto"/>
        <w:bottom w:val="none" w:sz="0" w:space="0" w:color="auto"/>
        <w:right w:val="none" w:sz="0" w:space="0" w:color="auto"/>
      </w:divBdr>
    </w:div>
    <w:div w:id="940644255">
      <w:bodyDiv w:val="1"/>
      <w:marLeft w:val="0"/>
      <w:marRight w:val="0"/>
      <w:marTop w:val="0"/>
      <w:marBottom w:val="0"/>
      <w:divBdr>
        <w:top w:val="none" w:sz="0" w:space="0" w:color="auto"/>
        <w:left w:val="none" w:sz="0" w:space="0" w:color="auto"/>
        <w:bottom w:val="none" w:sz="0" w:space="0" w:color="auto"/>
        <w:right w:val="none" w:sz="0" w:space="0" w:color="auto"/>
      </w:divBdr>
    </w:div>
    <w:div w:id="1169445407">
      <w:bodyDiv w:val="1"/>
      <w:marLeft w:val="0"/>
      <w:marRight w:val="0"/>
      <w:marTop w:val="0"/>
      <w:marBottom w:val="0"/>
      <w:divBdr>
        <w:top w:val="none" w:sz="0" w:space="0" w:color="auto"/>
        <w:left w:val="none" w:sz="0" w:space="0" w:color="auto"/>
        <w:bottom w:val="none" w:sz="0" w:space="0" w:color="auto"/>
        <w:right w:val="none" w:sz="0" w:space="0" w:color="auto"/>
      </w:divBdr>
    </w:div>
    <w:div w:id="1383362448">
      <w:bodyDiv w:val="1"/>
      <w:marLeft w:val="0"/>
      <w:marRight w:val="0"/>
      <w:marTop w:val="0"/>
      <w:marBottom w:val="0"/>
      <w:divBdr>
        <w:top w:val="none" w:sz="0" w:space="0" w:color="auto"/>
        <w:left w:val="none" w:sz="0" w:space="0" w:color="auto"/>
        <w:bottom w:val="none" w:sz="0" w:space="0" w:color="auto"/>
        <w:right w:val="none" w:sz="0" w:space="0" w:color="auto"/>
      </w:divBdr>
    </w:div>
    <w:div w:id="1540433610">
      <w:bodyDiv w:val="1"/>
      <w:marLeft w:val="0"/>
      <w:marRight w:val="0"/>
      <w:marTop w:val="0"/>
      <w:marBottom w:val="0"/>
      <w:divBdr>
        <w:top w:val="none" w:sz="0" w:space="0" w:color="auto"/>
        <w:left w:val="none" w:sz="0" w:space="0" w:color="auto"/>
        <w:bottom w:val="none" w:sz="0" w:space="0" w:color="auto"/>
        <w:right w:val="none" w:sz="0" w:space="0" w:color="auto"/>
      </w:divBdr>
    </w:div>
    <w:div w:id="1691831179">
      <w:bodyDiv w:val="1"/>
      <w:marLeft w:val="0"/>
      <w:marRight w:val="0"/>
      <w:marTop w:val="0"/>
      <w:marBottom w:val="0"/>
      <w:divBdr>
        <w:top w:val="none" w:sz="0" w:space="0" w:color="auto"/>
        <w:left w:val="none" w:sz="0" w:space="0" w:color="auto"/>
        <w:bottom w:val="none" w:sz="0" w:space="0" w:color="auto"/>
        <w:right w:val="none" w:sz="0" w:space="0" w:color="auto"/>
      </w:divBdr>
    </w:div>
    <w:div w:id="2114590503">
      <w:bodyDiv w:val="1"/>
      <w:marLeft w:val="0"/>
      <w:marRight w:val="0"/>
      <w:marTop w:val="0"/>
      <w:marBottom w:val="0"/>
      <w:divBdr>
        <w:top w:val="none" w:sz="0" w:space="0" w:color="auto"/>
        <w:left w:val="none" w:sz="0" w:space="0" w:color="auto"/>
        <w:bottom w:val="none" w:sz="0" w:space="0" w:color="auto"/>
        <w:right w:val="none" w:sz="0" w:space="0" w:color="auto"/>
      </w:divBdr>
    </w:div>
    <w:div w:id="21427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3C21-08B2-4186-9171-148B00F3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5419</Words>
  <Characters>32518</Characters>
  <Application>Microsoft Office Word</Application>
  <DocSecurity>0</DocSecurity>
  <Lines>270</Lines>
  <Paragraphs>75</Paragraphs>
  <ScaleCrop>false</ScaleCrop>
  <Company/>
  <LinksUpToDate>false</LinksUpToDate>
  <CharactersWithSpaces>37862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2018-01-19T12:09:00Z</dcterms:created>
  <dcterms:modified xsi:type="dcterms:W3CDTF">2018-01-19T12:09:00Z</dcterms:modified>
</cp:coreProperties>
</file>